
<file path=[Content_Types].xml><?xml version="1.0" encoding="utf-8"?>
<Types xmlns="http://schemas.openxmlformats.org/package/2006/content-types">
  <Default Extension="emf" ContentType="image/x-emf"/>
  <Default Extension="json" ContentType="application/vnd.baytech.document-metadata+json"/>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baytech/electronic-signing-metadata.json" ContentType="application/vnd.baytech.electronic-signing-metadata+json"/>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baytech.com.au/ooxml/rels/document-metadata" Target="baytech/document-metadata.json"/><Relationship Id="rId5" Type="http://schema.baytech.com.au/ooxml/rels/electronic-signing-metadata" Target="baytech/electronic-signing-metadata.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2E10F4" w14:textId="77777777" w:rsidR="00F752DB" w:rsidRDefault="00103DB9">
      <w:r w:rsidRPr="007927EC">
        <w:rPr>
          <w:noProof/>
        </w:rPr>
        <w:drawing>
          <wp:anchor distT="0" distB="0" distL="114300" distR="114300" simplePos="0" relativeHeight="251658241" behindDoc="1" locked="1" layoutInCell="1" allowOverlap="1" wp14:anchorId="169C73B5" wp14:editId="0B0FB728">
            <wp:simplePos x="0" y="0"/>
            <wp:positionH relativeFrom="leftMargin">
              <wp:posOffset>344170</wp:posOffset>
            </wp:positionH>
            <wp:positionV relativeFrom="margin">
              <wp:align>bottom</wp:align>
            </wp:positionV>
            <wp:extent cx="527050" cy="9702800"/>
            <wp:effectExtent l="0" t="0" r="6350" b="0"/>
            <wp:wrapNone/>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27050" cy="970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D4D10" w14:textId="77777777" w:rsidR="00701011" w:rsidRDefault="00701011" w:rsidP="000140F8">
      <w:pPr>
        <w:pStyle w:val="Title"/>
      </w:pPr>
    </w:p>
    <w:p w14:paraId="5992325B" w14:textId="77777777" w:rsidR="00701011" w:rsidRDefault="00701011" w:rsidP="000140F8">
      <w:pPr>
        <w:pStyle w:val="Title"/>
      </w:pPr>
    </w:p>
    <w:p w14:paraId="58A2BB34" w14:textId="3F88DA5A" w:rsidR="00701011" w:rsidRDefault="00701011" w:rsidP="000140F8">
      <w:pPr>
        <w:pStyle w:val="Title"/>
      </w:pPr>
    </w:p>
    <w:p w14:paraId="75F4942D" w14:textId="3A7BE385" w:rsidR="00701011" w:rsidRDefault="00701011" w:rsidP="000140F8">
      <w:pPr>
        <w:pStyle w:val="Title"/>
      </w:pPr>
    </w:p>
    <w:p w14:paraId="42E57DD4" w14:textId="69CB186E" w:rsidR="00701011" w:rsidRPr="000C2896" w:rsidRDefault="00103DB9" w:rsidP="00F905BC">
      <w:pPr>
        <w:pStyle w:val="Title"/>
        <w:ind w:left="851"/>
        <w:rPr>
          <w:color w:val="A91D37"/>
          <w:sz w:val="64"/>
          <w:szCs w:val="64"/>
        </w:rPr>
      </w:pPr>
      <w:r>
        <w:rPr>
          <w:color w:val="A91D37"/>
          <w:sz w:val="64"/>
          <w:szCs w:val="64"/>
        </w:rPr>
        <w:t>Best practice principles: Quality, safe workplaces</w:t>
      </w:r>
    </w:p>
    <w:p w14:paraId="7919150A" w14:textId="32CAE304" w:rsidR="00307382" w:rsidRDefault="00103DB9" w:rsidP="00307382">
      <w:pPr>
        <w:pStyle w:val="Subtitle"/>
        <w:ind w:left="851"/>
        <w:rPr>
          <w:color w:val="373636"/>
        </w:rPr>
      </w:pPr>
      <w:r>
        <w:rPr>
          <w:color w:val="373636"/>
        </w:rPr>
        <w:t>Queensland Government Procurement</w:t>
      </w:r>
    </w:p>
    <w:p w14:paraId="52491778" w14:textId="692C18E0" w:rsidR="00307382" w:rsidRPr="00307382" w:rsidRDefault="00103DB9" w:rsidP="00307382">
      <w:pPr>
        <w:pStyle w:val="Subtitle"/>
        <w:ind w:left="851"/>
        <w:rPr>
          <w:color w:val="373636"/>
        </w:rPr>
      </w:pPr>
      <w:r>
        <w:rPr>
          <w:color w:val="373636"/>
        </w:rPr>
        <w:t>Office of Industrial Relations</w:t>
      </w:r>
    </w:p>
    <w:p w14:paraId="591633BA" w14:textId="5142A7E7" w:rsidR="00F752DB" w:rsidRPr="00607EAC" w:rsidRDefault="00103DB9" w:rsidP="001E7E00">
      <w:pPr>
        <w:pStyle w:val="Subtitle"/>
        <w:ind w:left="851"/>
        <w:rPr>
          <w:color w:val="B21936"/>
          <w:sz w:val="24"/>
          <w:szCs w:val="24"/>
        </w:rPr>
      </w:pPr>
      <w:r w:rsidRPr="00B90187">
        <w:rPr>
          <w:noProof/>
        </w:rPr>
        <w:drawing>
          <wp:anchor distT="0" distB="0" distL="114300" distR="114300" simplePos="0" relativeHeight="251656192" behindDoc="1" locked="1" layoutInCell="1" allowOverlap="1" wp14:anchorId="74F2292F" wp14:editId="0530265C">
            <wp:simplePos x="0" y="0"/>
            <wp:positionH relativeFrom="column">
              <wp:posOffset>3862475</wp:posOffset>
            </wp:positionH>
            <wp:positionV relativeFrom="page">
              <wp:posOffset>9287510</wp:posOffset>
            </wp:positionV>
            <wp:extent cx="2295525" cy="749300"/>
            <wp:effectExtent l="0" t="0" r="9525" b="0"/>
            <wp:wrapNone/>
            <wp:docPr id="20" name="Picture 20" descr="Queensland Governmen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Queensland Government Logo "/>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295525"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C216C9">
        <w:rPr>
          <w:rStyle w:val="SubtleEmphasis"/>
          <w:color w:val="A91D37"/>
          <w:sz w:val="24"/>
          <w:szCs w:val="24"/>
        </w:rPr>
        <w:t>November 2024</w:t>
      </w:r>
      <w:r w:rsidRPr="00607EAC">
        <w:rPr>
          <w:rStyle w:val="SubtleEmphasis"/>
          <w:color w:val="B21936"/>
          <w:sz w:val="24"/>
          <w:szCs w:val="24"/>
        </w:rPr>
        <w:br w:type="page"/>
      </w:r>
    </w:p>
    <w:p w14:paraId="43CB5E4E" w14:textId="77777777" w:rsidR="00307382" w:rsidRDefault="00307382" w:rsidP="00307382">
      <w:pPr>
        <w:ind w:left="284"/>
        <w:rPr>
          <w:b/>
          <w:i/>
          <w:sz w:val="18"/>
        </w:rPr>
      </w:pPr>
    </w:p>
    <w:p w14:paraId="6BEDBA37" w14:textId="77777777" w:rsidR="00307382" w:rsidRDefault="00307382" w:rsidP="00307382">
      <w:pPr>
        <w:ind w:left="284"/>
        <w:rPr>
          <w:b/>
          <w:i/>
          <w:sz w:val="18"/>
        </w:rPr>
      </w:pPr>
    </w:p>
    <w:p w14:paraId="1A0DAEB1" w14:textId="219E662E" w:rsidR="00307382" w:rsidRDefault="00307382" w:rsidP="00307382">
      <w:pPr>
        <w:ind w:left="284"/>
        <w:rPr>
          <w:b/>
          <w:i/>
          <w:sz w:val="18"/>
        </w:rPr>
      </w:pPr>
    </w:p>
    <w:p w14:paraId="2E7DCFA7" w14:textId="77777777" w:rsidR="00307382" w:rsidRDefault="00307382" w:rsidP="00307382">
      <w:pPr>
        <w:ind w:left="284"/>
        <w:rPr>
          <w:b/>
          <w:i/>
          <w:sz w:val="18"/>
        </w:rPr>
      </w:pPr>
    </w:p>
    <w:p w14:paraId="2B93F9E2" w14:textId="77777777" w:rsidR="00307382" w:rsidRDefault="00307382" w:rsidP="00307382">
      <w:pPr>
        <w:ind w:left="284"/>
        <w:rPr>
          <w:b/>
          <w:i/>
          <w:sz w:val="18"/>
        </w:rPr>
      </w:pPr>
    </w:p>
    <w:p w14:paraId="256B6157" w14:textId="77777777" w:rsidR="00307382" w:rsidRDefault="00103DB9" w:rsidP="00B825EB">
      <w:pPr>
        <w:ind w:firstLine="284"/>
        <w:rPr>
          <w:b/>
          <w:i/>
          <w:sz w:val="18"/>
        </w:rPr>
      </w:pPr>
      <w:r>
        <w:rPr>
          <w:b/>
          <w:i/>
          <w:sz w:val="18"/>
        </w:rPr>
        <w:t>Best practice principles: Quality, safe workplaces</w:t>
      </w:r>
    </w:p>
    <w:p w14:paraId="238207CC" w14:textId="6F6A6B6A" w:rsidR="00307382" w:rsidRDefault="00103DB9" w:rsidP="00307382">
      <w:pPr>
        <w:ind w:left="284"/>
        <w:rPr>
          <w:rFonts w:cs="Arial"/>
          <w:bCs/>
          <w:i/>
          <w:color w:val="000000" w:themeColor="text1"/>
          <w:sz w:val="18"/>
          <w:szCs w:val="18"/>
          <w:lang w:eastAsia="en-AU"/>
        </w:rPr>
      </w:pPr>
      <w:r>
        <w:rPr>
          <w:rFonts w:cs="Arial"/>
          <w:bCs/>
          <w:i/>
          <w:color w:val="000000" w:themeColor="text1"/>
          <w:sz w:val="18"/>
          <w:szCs w:val="18"/>
          <w:lang w:eastAsia="en-AU"/>
        </w:rPr>
        <w:t>v</w:t>
      </w:r>
      <w:r w:rsidR="00C216C9">
        <w:rPr>
          <w:rFonts w:cs="Arial"/>
          <w:bCs/>
          <w:i/>
          <w:color w:val="000000" w:themeColor="text1"/>
          <w:sz w:val="18"/>
          <w:szCs w:val="18"/>
          <w:lang w:eastAsia="en-AU"/>
        </w:rPr>
        <w:t>4.0 November 2024</w:t>
      </w:r>
      <w:r w:rsidR="00E006F7">
        <w:rPr>
          <w:rFonts w:cs="Arial"/>
          <w:bCs/>
          <w:i/>
          <w:color w:val="000000" w:themeColor="text1"/>
          <w:sz w:val="18"/>
          <w:szCs w:val="18"/>
          <w:lang w:eastAsia="en-AU"/>
        </w:rPr>
        <w:t xml:space="preserve"> </w:t>
      </w:r>
    </w:p>
    <w:p w14:paraId="4E71D1A2" w14:textId="77777777" w:rsidR="00307382" w:rsidRPr="0097469C" w:rsidRDefault="00103DB9" w:rsidP="00307382">
      <w:pPr>
        <w:ind w:left="284"/>
        <w:rPr>
          <w:rFonts w:cs="Arial"/>
          <w:b/>
          <w:iCs/>
          <w:color w:val="000000" w:themeColor="text1"/>
          <w:sz w:val="18"/>
          <w:szCs w:val="18"/>
          <w:lang w:eastAsia="en-AU"/>
        </w:rPr>
      </w:pPr>
      <w:r w:rsidRPr="0097469C">
        <w:rPr>
          <w:rFonts w:cs="Arial"/>
          <w:b/>
          <w:iCs/>
          <w:color w:val="000000" w:themeColor="text1"/>
          <w:sz w:val="18"/>
          <w:szCs w:val="18"/>
          <w:lang w:eastAsia="en-AU"/>
        </w:rPr>
        <w:t>Version history</w:t>
      </w:r>
    </w:p>
    <w:tbl>
      <w:tblPr>
        <w:tblStyle w:val="TableGridLight"/>
        <w:tblW w:w="4851" w:type="pct"/>
        <w:tblInd w:w="279" w:type="dxa"/>
        <w:tblLook w:val="04A0" w:firstRow="1" w:lastRow="0" w:firstColumn="1" w:lastColumn="0" w:noHBand="0" w:noVBand="1"/>
      </w:tblPr>
      <w:tblGrid>
        <w:gridCol w:w="878"/>
        <w:gridCol w:w="1329"/>
        <w:gridCol w:w="6860"/>
      </w:tblGrid>
      <w:tr w:rsidR="00044A45" w14:paraId="40BA9A32" w14:textId="77777777" w:rsidTr="00975C29">
        <w:tc>
          <w:tcPr>
            <w:tcW w:w="4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70240"/>
            <w:hideMark/>
          </w:tcPr>
          <w:p w14:paraId="7F841A5A" w14:textId="77777777" w:rsidR="00307382" w:rsidRDefault="00103DB9" w:rsidP="00931A22">
            <w:pPr>
              <w:rPr>
                <w:b/>
                <w:bCs/>
                <w:sz w:val="18"/>
              </w:rPr>
            </w:pPr>
            <w:r>
              <w:rPr>
                <w:b/>
                <w:bCs/>
                <w:sz w:val="18"/>
              </w:rPr>
              <w:t>Version</w:t>
            </w:r>
          </w:p>
        </w:tc>
        <w:tc>
          <w:tcPr>
            <w:tcW w:w="7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70240"/>
            <w:hideMark/>
          </w:tcPr>
          <w:p w14:paraId="09F3DB1F" w14:textId="77777777" w:rsidR="00307382" w:rsidRDefault="00103DB9" w:rsidP="00931A22">
            <w:pPr>
              <w:rPr>
                <w:b/>
                <w:bCs/>
                <w:sz w:val="18"/>
              </w:rPr>
            </w:pPr>
            <w:r>
              <w:rPr>
                <w:b/>
                <w:bCs/>
                <w:sz w:val="18"/>
              </w:rPr>
              <w:t>Date</w:t>
            </w:r>
          </w:p>
        </w:tc>
        <w:tc>
          <w:tcPr>
            <w:tcW w:w="37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70240"/>
            <w:hideMark/>
          </w:tcPr>
          <w:p w14:paraId="6B29E171" w14:textId="77777777" w:rsidR="00307382" w:rsidRDefault="00103DB9" w:rsidP="00931A22">
            <w:pPr>
              <w:rPr>
                <w:b/>
                <w:bCs/>
                <w:sz w:val="18"/>
              </w:rPr>
            </w:pPr>
            <w:r>
              <w:rPr>
                <w:b/>
                <w:bCs/>
                <w:sz w:val="18"/>
              </w:rPr>
              <w:t>Comments</w:t>
            </w:r>
          </w:p>
        </w:tc>
      </w:tr>
      <w:tr w:rsidR="00044A45" w14:paraId="1DD6F752" w14:textId="77777777" w:rsidTr="00975C29">
        <w:tc>
          <w:tcPr>
            <w:tcW w:w="4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BA4A9A" w14:textId="77777777" w:rsidR="00307382" w:rsidRDefault="00103DB9" w:rsidP="00931A22">
            <w:pPr>
              <w:rPr>
                <w:sz w:val="18"/>
              </w:rPr>
            </w:pPr>
            <w:r>
              <w:rPr>
                <w:sz w:val="18"/>
              </w:rPr>
              <w:t>1.0</w:t>
            </w:r>
          </w:p>
        </w:tc>
        <w:tc>
          <w:tcPr>
            <w:tcW w:w="7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CCD8FF" w14:textId="77777777" w:rsidR="00307382" w:rsidRDefault="00103DB9" w:rsidP="00931A22">
            <w:pPr>
              <w:rPr>
                <w:sz w:val="18"/>
              </w:rPr>
            </w:pPr>
            <w:r>
              <w:rPr>
                <w:sz w:val="18"/>
              </w:rPr>
              <w:t>August 2018</w:t>
            </w:r>
          </w:p>
        </w:tc>
        <w:tc>
          <w:tcPr>
            <w:tcW w:w="37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ADB3C9" w14:textId="77777777" w:rsidR="00307382" w:rsidRDefault="00103DB9" w:rsidP="00931A22">
            <w:pPr>
              <w:rPr>
                <w:sz w:val="18"/>
              </w:rPr>
            </w:pPr>
            <w:r>
              <w:rPr>
                <w:sz w:val="18"/>
              </w:rPr>
              <w:t>Guide published</w:t>
            </w:r>
          </w:p>
        </w:tc>
      </w:tr>
      <w:tr w:rsidR="00044A45" w14:paraId="13ACCD3F" w14:textId="77777777" w:rsidTr="00975C29">
        <w:tc>
          <w:tcPr>
            <w:tcW w:w="4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DABB56" w14:textId="77777777" w:rsidR="00307382" w:rsidRDefault="00103DB9" w:rsidP="00931A22">
            <w:pPr>
              <w:rPr>
                <w:sz w:val="18"/>
              </w:rPr>
            </w:pPr>
            <w:r>
              <w:rPr>
                <w:sz w:val="18"/>
              </w:rPr>
              <w:t>2.0</w:t>
            </w:r>
          </w:p>
        </w:tc>
        <w:tc>
          <w:tcPr>
            <w:tcW w:w="7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51B513" w14:textId="77777777" w:rsidR="00307382" w:rsidRDefault="00103DB9" w:rsidP="00931A22">
            <w:pPr>
              <w:rPr>
                <w:sz w:val="18"/>
              </w:rPr>
            </w:pPr>
            <w:r>
              <w:rPr>
                <w:sz w:val="18"/>
              </w:rPr>
              <w:t>September</w:t>
            </w:r>
            <w:r w:rsidR="00E006F7">
              <w:rPr>
                <w:sz w:val="18"/>
              </w:rPr>
              <w:t xml:space="preserve"> 2021</w:t>
            </w:r>
          </w:p>
        </w:tc>
        <w:tc>
          <w:tcPr>
            <w:tcW w:w="37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9C63C9" w14:textId="77777777" w:rsidR="00307382" w:rsidRDefault="00103DB9" w:rsidP="00931A22">
            <w:pPr>
              <w:rPr>
                <w:sz w:val="18"/>
              </w:rPr>
            </w:pPr>
            <w:r>
              <w:rPr>
                <w:sz w:val="18"/>
              </w:rPr>
              <w:t>Updated version published</w:t>
            </w:r>
          </w:p>
        </w:tc>
      </w:tr>
      <w:tr w:rsidR="00044A45" w14:paraId="5840F8D4" w14:textId="77777777" w:rsidTr="00975C29">
        <w:tc>
          <w:tcPr>
            <w:tcW w:w="4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4A9857" w14:textId="77777777" w:rsidR="00F82585" w:rsidRDefault="00103DB9" w:rsidP="00931A22">
            <w:pPr>
              <w:rPr>
                <w:sz w:val="18"/>
              </w:rPr>
            </w:pPr>
            <w:r>
              <w:rPr>
                <w:sz w:val="18"/>
              </w:rPr>
              <w:t>3.0</w:t>
            </w:r>
          </w:p>
        </w:tc>
        <w:tc>
          <w:tcPr>
            <w:tcW w:w="7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C3331F" w14:textId="5BC91756" w:rsidR="00F82585" w:rsidRDefault="007D406C" w:rsidP="00931A22">
            <w:pPr>
              <w:rPr>
                <w:sz w:val="18"/>
              </w:rPr>
            </w:pPr>
            <w:r>
              <w:rPr>
                <w:sz w:val="18"/>
              </w:rPr>
              <w:t>April</w:t>
            </w:r>
            <w:r w:rsidR="00103DB9">
              <w:rPr>
                <w:sz w:val="18"/>
              </w:rPr>
              <w:t xml:space="preserve"> 2023</w:t>
            </w:r>
          </w:p>
        </w:tc>
        <w:tc>
          <w:tcPr>
            <w:tcW w:w="37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8D0D38" w14:textId="77777777" w:rsidR="00F82585" w:rsidRDefault="00103DB9" w:rsidP="00931A22">
            <w:pPr>
              <w:rPr>
                <w:sz w:val="18"/>
              </w:rPr>
            </w:pPr>
            <w:r>
              <w:rPr>
                <w:sz w:val="18"/>
              </w:rPr>
              <w:t>Updated version published –</w:t>
            </w:r>
            <w:r w:rsidR="0023742E">
              <w:rPr>
                <w:sz w:val="18"/>
              </w:rPr>
              <w:t xml:space="preserve"> clarified</w:t>
            </w:r>
            <w:r>
              <w:rPr>
                <w:sz w:val="18"/>
              </w:rPr>
              <w:t xml:space="preserve"> BPICs approval process</w:t>
            </w:r>
            <w:r w:rsidR="0023742E">
              <w:rPr>
                <w:sz w:val="18"/>
              </w:rPr>
              <w:t xml:space="preserve"> via Executive Government</w:t>
            </w:r>
            <w:r w:rsidR="00727808">
              <w:rPr>
                <w:sz w:val="18"/>
              </w:rPr>
              <w:t xml:space="preserve"> prior to incorporation into tender</w:t>
            </w:r>
          </w:p>
        </w:tc>
      </w:tr>
      <w:tr w:rsidR="00C216C9" w14:paraId="007BDEE6" w14:textId="77777777" w:rsidTr="00975C29">
        <w:tc>
          <w:tcPr>
            <w:tcW w:w="48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3A82A8" w14:textId="337B8887" w:rsidR="00C216C9" w:rsidRDefault="00C216C9" w:rsidP="00931A22">
            <w:pPr>
              <w:rPr>
                <w:sz w:val="18"/>
              </w:rPr>
            </w:pPr>
            <w:r>
              <w:rPr>
                <w:sz w:val="18"/>
              </w:rPr>
              <w:t>4.0</w:t>
            </w:r>
          </w:p>
        </w:tc>
        <w:tc>
          <w:tcPr>
            <w:tcW w:w="7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B3557B" w14:textId="677A831F" w:rsidR="00C216C9" w:rsidRDefault="007E660A" w:rsidP="00931A22">
            <w:pPr>
              <w:rPr>
                <w:sz w:val="18"/>
              </w:rPr>
            </w:pPr>
            <w:r>
              <w:rPr>
                <w:sz w:val="18"/>
              </w:rPr>
              <w:t>11</w:t>
            </w:r>
            <w:r w:rsidR="00856668">
              <w:rPr>
                <w:sz w:val="18"/>
              </w:rPr>
              <w:t xml:space="preserve"> </w:t>
            </w:r>
            <w:r w:rsidR="00C216C9">
              <w:rPr>
                <w:sz w:val="18"/>
              </w:rPr>
              <w:t>November 2024</w:t>
            </w:r>
          </w:p>
        </w:tc>
        <w:tc>
          <w:tcPr>
            <w:tcW w:w="378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E2F91E" w14:textId="4D0B9DD7" w:rsidR="00C216C9" w:rsidRDefault="00651239" w:rsidP="00931A22">
            <w:pPr>
              <w:rPr>
                <w:sz w:val="18"/>
              </w:rPr>
            </w:pPr>
            <w:r>
              <w:rPr>
                <w:sz w:val="18"/>
              </w:rPr>
              <w:t>Updated</w:t>
            </w:r>
            <w:r w:rsidR="00C216C9">
              <w:rPr>
                <w:sz w:val="18"/>
              </w:rPr>
              <w:t xml:space="preserve"> version published – </w:t>
            </w:r>
            <w:r>
              <w:rPr>
                <w:sz w:val="18"/>
              </w:rPr>
              <w:t xml:space="preserve">Reflecting </w:t>
            </w:r>
            <w:r w:rsidR="0079174A">
              <w:rPr>
                <w:sz w:val="18"/>
              </w:rPr>
              <w:t>temporary</w:t>
            </w:r>
            <w:r>
              <w:rPr>
                <w:sz w:val="18"/>
              </w:rPr>
              <w:t xml:space="preserve"> </w:t>
            </w:r>
            <w:r w:rsidR="002B501A">
              <w:rPr>
                <w:sz w:val="18"/>
              </w:rPr>
              <w:t xml:space="preserve">suspension of </w:t>
            </w:r>
            <w:r w:rsidR="00856668">
              <w:rPr>
                <w:sz w:val="18"/>
              </w:rPr>
              <w:t>the industrial relations best practice principle in the Queensland Procurement Policy, and temporary suspension of the</w:t>
            </w:r>
            <w:r w:rsidR="00856668" w:rsidDel="002B501A">
              <w:rPr>
                <w:sz w:val="18"/>
              </w:rPr>
              <w:t xml:space="preserve"> </w:t>
            </w:r>
            <w:r w:rsidR="002B501A">
              <w:rPr>
                <w:sz w:val="18"/>
              </w:rPr>
              <w:t>BPICs</w:t>
            </w:r>
            <w:r w:rsidR="00856668">
              <w:rPr>
                <w:sz w:val="18"/>
              </w:rPr>
              <w:t>;</w:t>
            </w:r>
            <w:r w:rsidR="002B501A">
              <w:rPr>
                <w:sz w:val="18"/>
              </w:rPr>
              <w:t xml:space="preserve"> </w:t>
            </w:r>
            <w:r>
              <w:rPr>
                <w:sz w:val="18"/>
              </w:rPr>
              <w:t>and machinery of government changes</w:t>
            </w:r>
          </w:p>
        </w:tc>
      </w:tr>
    </w:tbl>
    <w:p w14:paraId="4F96D4E6" w14:textId="77777777" w:rsidR="00307382" w:rsidRDefault="00307382" w:rsidP="00307382">
      <w:pPr>
        <w:ind w:left="284"/>
        <w:rPr>
          <w:rFonts w:cs="Arial"/>
          <w:bCs/>
          <w:i/>
          <w:color w:val="000000" w:themeColor="text1"/>
          <w:sz w:val="18"/>
          <w:szCs w:val="18"/>
          <w:lang w:eastAsia="en-AU"/>
        </w:rPr>
      </w:pPr>
    </w:p>
    <w:p w14:paraId="68726D5E" w14:textId="77777777" w:rsidR="00307382" w:rsidRDefault="00307382" w:rsidP="00307382">
      <w:pPr>
        <w:ind w:left="284"/>
        <w:rPr>
          <w:b/>
          <w:i/>
          <w:sz w:val="18"/>
        </w:rPr>
      </w:pPr>
    </w:p>
    <w:p w14:paraId="08DAABFC" w14:textId="5F00C8E1" w:rsidR="00307382" w:rsidRDefault="00103DB9" w:rsidP="00307382">
      <w:pPr>
        <w:ind w:left="284"/>
        <w:rPr>
          <w:b/>
          <w:sz w:val="18"/>
        </w:rPr>
      </w:pPr>
      <w:r>
        <w:rPr>
          <w:b/>
          <w:sz w:val="18"/>
        </w:rPr>
        <w:t xml:space="preserve">The State of Queensland (Department of </w:t>
      </w:r>
      <w:r w:rsidR="00C216C9">
        <w:rPr>
          <w:b/>
          <w:sz w:val="18"/>
        </w:rPr>
        <w:t>Housing</w:t>
      </w:r>
      <w:r>
        <w:rPr>
          <w:b/>
          <w:sz w:val="18"/>
        </w:rPr>
        <w:t xml:space="preserve"> and Public Works) 202</w:t>
      </w:r>
      <w:r w:rsidR="00C216C9">
        <w:rPr>
          <w:b/>
          <w:sz w:val="18"/>
        </w:rPr>
        <w:t>4</w:t>
      </w:r>
    </w:p>
    <w:p w14:paraId="48048730" w14:textId="77777777" w:rsidR="00307382" w:rsidRDefault="00307382" w:rsidP="00307382">
      <w:pPr>
        <w:ind w:left="284"/>
        <w:rPr>
          <w:b/>
          <w:sz w:val="18"/>
        </w:rPr>
      </w:pPr>
    </w:p>
    <w:p w14:paraId="70C30F75" w14:textId="77777777" w:rsidR="00307382" w:rsidRDefault="00103DB9" w:rsidP="00307382">
      <w:pPr>
        <w:ind w:left="284"/>
        <w:rPr>
          <w:sz w:val="18"/>
        </w:rPr>
      </w:pPr>
      <w:r>
        <w:rPr>
          <w:noProof/>
          <w:lang w:eastAsia="en-AU"/>
        </w:rPr>
        <w:drawing>
          <wp:anchor distT="0" distB="0" distL="114300" distR="114300" simplePos="0" relativeHeight="251657216" behindDoc="0" locked="0" layoutInCell="1" allowOverlap="1" wp14:anchorId="19AB4519" wp14:editId="5A86922B">
            <wp:simplePos x="0" y="0"/>
            <wp:positionH relativeFrom="column">
              <wp:posOffset>180975</wp:posOffset>
            </wp:positionH>
            <wp:positionV relativeFrom="paragraph">
              <wp:posOffset>-151130</wp:posOffset>
            </wp:positionV>
            <wp:extent cx="828675" cy="276225"/>
            <wp:effectExtent l="0" t="0" r="9525" b="9525"/>
            <wp:wrapNone/>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234966" name="Picture 193"/>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286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34DF3D" w14:textId="77777777" w:rsidR="00307382" w:rsidRDefault="00D2597E" w:rsidP="00307382">
      <w:pPr>
        <w:ind w:left="284"/>
        <w:rPr>
          <w:sz w:val="18"/>
        </w:rPr>
      </w:pPr>
      <w:hyperlink r:id="rId14" w:history="1">
        <w:r w:rsidR="00E006F7">
          <w:rPr>
            <w:rStyle w:val="Hyperlink"/>
            <w:sz w:val="18"/>
          </w:rPr>
          <w:t>http://creativecommons.org/licenses/by/4.0/deed.en</w:t>
        </w:r>
      </w:hyperlink>
      <w:r w:rsidR="00E006F7">
        <w:rPr>
          <w:sz w:val="18"/>
        </w:rPr>
        <w:t xml:space="preserve"> </w:t>
      </w:r>
    </w:p>
    <w:p w14:paraId="3564D1A5" w14:textId="4834B04D" w:rsidR="00307382" w:rsidRDefault="00103DB9" w:rsidP="00307382">
      <w:pPr>
        <w:ind w:left="284"/>
        <w:rPr>
          <w:sz w:val="18"/>
        </w:rPr>
      </w:pPr>
      <w:r>
        <w:rPr>
          <w:sz w:val="18"/>
        </w:rPr>
        <w:t xml:space="preserve">This work is licensed under a Creative </w:t>
      </w:r>
      <w:r w:rsidRPr="00A20A4B">
        <w:rPr>
          <w:sz w:val="18"/>
        </w:rPr>
        <w:t xml:space="preserve">Commons Attribution 4.0 Australia Licence. You are free to copy, communicate and adapt this work, </w:t>
      </w:r>
      <w:proofErr w:type="gramStart"/>
      <w:r w:rsidRPr="00A20A4B">
        <w:rPr>
          <w:sz w:val="18"/>
        </w:rPr>
        <w:t>as long as</w:t>
      </w:r>
      <w:proofErr w:type="gramEnd"/>
      <w:r w:rsidRPr="00A20A4B">
        <w:rPr>
          <w:sz w:val="18"/>
        </w:rPr>
        <w:t xml:space="preserve"> you attribute by citing ‘</w:t>
      </w:r>
      <w:r>
        <w:rPr>
          <w:sz w:val="18"/>
        </w:rPr>
        <w:t>Best practice principles: Quality, safe workplaces</w:t>
      </w:r>
      <w:r w:rsidRPr="00A20A4B">
        <w:rPr>
          <w:sz w:val="18"/>
        </w:rPr>
        <w:t>,</w:t>
      </w:r>
      <w:r>
        <w:rPr>
          <w:sz w:val="18"/>
        </w:rPr>
        <w:t xml:space="preserve"> State of Queensland (Department of </w:t>
      </w:r>
      <w:r w:rsidR="00C216C9">
        <w:rPr>
          <w:sz w:val="18"/>
        </w:rPr>
        <w:t>Housing</w:t>
      </w:r>
      <w:r>
        <w:rPr>
          <w:sz w:val="18"/>
        </w:rPr>
        <w:t xml:space="preserve"> and Public Works) 202</w:t>
      </w:r>
      <w:r w:rsidR="00C216C9">
        <w:rPr>
          <w:sz w:val="18"/>
        </w:rPr>
        <w:t>4</w:t>
      </w:r>
      <w:r>
        <w:rPr>
          <w:sz w:val="18"/>
        </w:rPr>
        <w:t>’.</w:t>
      </w:r>
    </w:p>
    <w:p w14:paraId="5509EAF9" w14:textId="1F55501B" w:rsidR="00307382" w:rsidRDefault="00103DB9" w:rsidP="00307382">
      <w:pPr>
        <w:spacing w:before="240"/>
        <w:ind w:left="284"/>
        <w:rPr>
          <w:sz w:val="18"/>
        </w:rPr>
      </w:pPr>
      <w:r>
        <w:rPr>
          <w:b/>
          <w:sz w:val="18"/>
        </w:rPr>
        <w:t>Contact us</w:t>
      </w:r>
      <w:r>
        <w:rPr>
          <w:b/>
          <w:sz w:val="18"/>
        </w:rPr>
        <w:br/>
      </w:r>
      <w:r w:rsidR="00B9333D">
        <w:rPr>
          <w:sz w:val="18"/>
        </w:rPr>
        <w:t>Queensland Government Procurement</w:t>
      </w:r>
      <w:r>
        <w:rPr>
          <w:sz w:val="18"/>
        </w:rPr>
        <w:t xml:space="preserve"> is committed to continuous improvement. If you have any suggestions about how we can improve this guide, or if you have any questions, contact us at</w:t>
      </w:r>
      <w:r w:rsidR="002B501A">
        <w:rPr>
          <w:sz w:val="18"/>
        </w:rPr>
        <w:t xml:space="preserve"> </w:t>
      </w:r>
      <w:r w:rsidR="002B501A" w:rsidRPr="002B501A">
        <w:rPr>
          <w:sz w:val="18"/>
        </w:rPr>
        <w:t>betterprocurement@epw.qld.gov.au</w:t>
      </w:r>
      <w:hyperlink r:id="rId15" w:history="1"/>
      <w:r>
        <w:rPr>
          <w:sz w:val="18"/>
        </w:rPr>
        <w:t xml:space="preserve">. </w:t>
      </w:r>
    </w:p>
    <w:p w14:paraId="78884086" w14:textId="77777777" w:rsidR="00307382" w:rsidRDefault="00103DB9" w:rsidP="00307382">
      <w:pPr>
        <w:ind w:left="284"/>
        <w:rPr>
          <w:rFonts w:ascii="Calibri" w:hAnsi="Calibri"/>
          <w:sz w:val="18"/>
          <w:szCs w:val="18"/>
        </w:rPr>
      </w:pPr>
      <w:r>
        <w:rPr>
          <w:b/>
          <w:sz w:val="18"/>
        </w:rPr>
        <w:t>Disclaimer</w:t>
      </w:r>
      <w:r>
        <w:rPr>
          <w:b/>
          <w:sz w:val="18"/>
        </w:rPr>
        <w:br/>
      </w:r>
      <w:r>
        <w:rPr>
          <w:sz w:val="18"/>
          <w:szCs w:val="18"/>
        </w:rPr>
        <w:t xml:space="preserve">This document is intended as a </w:t>
      </w:r>
      <w:r w:rsidRPr="006C6018">
        <w:rPr>
          <w:sz w:val="18"/>
          <w:szCs w:val="18"/>
        </w:rPr>
        <w:t xml:space="preserve">guide </w:t>
      </w:r>
      <w:r w:rsidRPr="00DA6D27">
        <w:rPr>
          <w:sz w:val="18"/>
          <w:szCs w:val="18"/>
        </w:rPr>
        <w:t>for Queensland Government</w:t>
      </w:r>
      <w:r>
        <w:rPr>
          <w:sz w:val="18"/>
          <w:szCs w:val="18"/>
        </w:rPr>
        <w:t xml:space="preserve"> only. It may not be relied on by any other party. It should be read in conjunction with the Queensland Procurement Policy, agency procurement policies and procedures, and any other relevant documents.   </w:t>
      </w:r>
    </w:p>
    <w:p w14:paraId="1E204E5E" w14:textId="322899FA" w:rsidR="00307382" w:rsidRDefault="00103DB9" w:rsidP="00307382">
      <w:pPr>
        <w:ind w:left="284"/>
        <w:rPr>
          <w:sz w:val="18"/>
        </w:rPr>
      </w:pPr>
      <w:r>
        <w:rPr>
          <w:sz w:val="18"/>
        </w:rPr>
        <w:t xml:space="preserve">The Department of </w:t>
      </w:r>
      <w:r w:rsidR="00C216C9">
        <w:rPr>
          <w:sz w:val="18"/>
        </w:rPr>
        <w:t>Housing</w:t>
      </w:r>
      <w:r>
        <w:rPr>
          <w:sz w:val="18"/>
        </w:rPr>
        <w:t xml:space="preserve"> and Public Works disclaims all liability that may arise from the use of this document. This guide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the attention of the Department of </w:t>
      </w:r>
      <w:r w:rsidR="00C216C9">
        <w:rPr>
          <w:sz w:val="18"/>
        </w:rPr>
        <w:t>Housing</w:t>
      </w:r>
      <w:r>
        <w:rPr>
          <w:sz w:val="18"/>
        </w:rPr>
        <w:t xml:space="preserve"> and Public Works, a reasonable effort will be made to correct them.</w:t>
      </w:r>
    </w:p>
    <w:sdt>
      <w:sdtPr>
        <w:rPr>
          <w:rFonts w:ascii="Arial" w:eastAsiaTheme="minorEastAsia" w:hAnsi="Arial" w:cstheme="minorBidi"/>
          <w:color w:val="auto"/>
          <w:sz w:val="20"/>
          <w:szCs w:val="20"/>
          <w:lang w:val="en-AU"/>
        </w:rPr>
        <w:id w:val="1897934682"/>
        <w:docPartObj>
          <w:docPartGallery w:val="Table of Contents"/>
          <w:docPartUnique/>
        </w:docPartObj>
      </w:sdtPr>
      <w:sdtEndPr>
        <w:rPr>
          <w:b/>
          <w:bCs/>
          <w:noProof/>
        </w:rPr>
      </w:sdtEndPr>
      <w:sdtContent>
        <w:p w14:paraId="586B1F06" w14:textId="77777777" w:rsidR="002204D1" w:rsidRPr="002204D1" w:rsidRDefault="00103DB9">
          <w:pPr>
            <w:pStyle w:val="TOCHeading"/>
            <w:rPr>
              <w:rStyle w:val="Heading1Char"/>
            </w:rPr>
          </w:pPr>
          <w:r w:rsidRPr="002204D1">
            <w:rPr>
              <w:rStyle w:val="Heading1Char"/>
            </w:rPr>
            <w:t>Table of Contents</w:t>
          </w:r>
        </w:p>
        <w:p w14:paraId="3FC321AF" w14:textId="30CA8A21" w:rsidR="00C7219B" w:rsidRDefault="00103DB9">
          <w:pPr>
            <w:pStyle w:val="TOC1"/>
            <w:rPr>
              <w:rFonts w:asciiTheme="minorHAnsi" w:eastAsiaTheme="minorEastAsia" w:hAnsiTheme="minorHAnsi" w:cstheme="minorBidi"/>
              <w:b w:val="0"/>
              <w:bCs w:val="0"/>
              <w:noProof/>
              <w:color w:val="auto"/>
              <w:kern w:val="2"/>
              <w:sz w:val="24"/>
              <w:szCs w:val="24"/>
              <w14:ligatures w14:val="standardContextual"/>
            </w:rPr>
          </w:pPr>
          <w:r>
            <w:fldChar w:fldCharType="begin"/>
          </w:r>
          <w:r>
            <w:instrText xml:space="preserve"> TOC \o "1-3" \h \z \u </w:instrText>
          </w:r>
          <w:r>
            <w:fldChar w:fldCharType="separate"/>
          </w:r>
          <w:hyperlink w:anchor="_Toc182462548" w:history="1">
            <w:r w:rsidR="00C7219B" w:rsidRPr="00CC1729">
              <w:rPr>
                <w:rStyle w:val="Hyperlink"/>
                <w:noProof/>
              </w:rPr>
              <w:t>Best practice principles: Quality, safe workplaces</w:t>
            </w:r>
            <w:r w:rsidR="00C7219B">
              <w:rPr>
                <w:noProof/>
                <w:webHidden/>
              </w:rPr>
              <w:tab/>
            </w:r>
            <w:r w:rsidR="00C7219B">
              <w:rPr>
                <w:noProof/>
                <w:webHidden/>
              </w:rPr>
              <w:fldChar w:fldCharType="begin"/>
            </w:r>
            <w:r w:rsidR="00C7219B">
              <w:rPr>
                <w:noProof/>
                <w:webHidden/>
              </w:rPr>
              <w:instrText xml:space="preserve"> PAGEREF _Toc182462548 \h </w:instrText>
            </w:r>
            <w:r w:rsidR="00C7219B">
              <w:rPr>
                <w:noProof/>
                <w:webHidden/>
              </w:rPr>
            </w:r>
            <w:r w:rsidR="00C7219B">
              <w:rPr>
                <w:noProof/>
                <w:webHidden/>
              </w:rPr>
              <w:fldChar w:fldCharType="separate"/>
            </w:r>
            <w:r w:rsidR="00C7219B">
              <w:rPr>
                <w:noProof/>
                <w:webHidden/>
              </w:rPr>
              <w:t>5</w:t>
            </w:r>
            <w:r w:rsidR="00C7219B">
              <w:rPr>
                <w:noProof/>
                <w:webHidden/>
              </w:rPr>
              <w:fldChar w:fldCharType="end"/>
            </w:r>
          </w:hyperlink>
        </w:p>
        <w:p w14:paraId="3BF01C2B" w14:textId="39DFBC0C"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49" w:history="1">
            <w:r w:rsidR="00C7219B" w:rsidRPr="00CC1729">
              <w:rPr>
                <w:rStyle w:val="Hyperlink"/>
                <w:rFonts w:eastAsia="Times New Roman"/>
                <w:noProof/>
              </w:rPr>
              <w:t>Introduction</w:t>
            </w:r>
            <w:r w:rsidR="00C7219B">
              <w:rPr>
                <w:noProof/>
                <w:webHidden/>
              </w:rPr>
              <w:tab/>
            </w:r>
            <w:r w:rsidR="00C7219B">
              <w:rPr>
                <w:noProof/>
                <w:webHidden/>
              </w:rPr>
              <w:fldChar w:fldCharType="begin"/>
            </w:r>
            <w:r w:rsidR="00C7219B">
              <w:rPr>
                <w:noProof/>
                <w:webHidden/>
              </w:rPr>
              <w:instrText xml:space="preserve"> PAGEREF _Toc182462549 \h </w:instrText>
            </w:r>
            <w:r w:rsidR="00C7219B">
              <w:rPr>
                <w:noProof/>
                <w:webHidden/>
              </w:rPr>
            </w:r>
            <w:r w:rsidR="00C7219B">
              <w:rPr>
                <w:noProof/>
                <w:webHidden/>
              </w:rPr>
              <w:fldChar w:fldCharType="separate"/>
            </w:r>
            <w:r w:rsidR="00C7219B">
              <w:rPr>
                <w:noProof/>
                <w:webHidden/>
              </w:rPr>
              <w:t>5</w:t>
            </w:r>
            <w:r w:rsidR="00C7219B">
              <w:rPr>
                <w:noProof/>
                <w:webHidden/>
              </w:rPr>
              <w:fldChar w:fldCharType="end"/>
            </w:r>
          </w:hyperlink>
        </w:p>
        <w:p w14:paraId="057573DE" w14:textId="44EFEF74"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50" w:history="1">
            <w:r w:rsidR="00C7219B" w:rsidRPr="00CC1729">
              <w:rPr>
                <w:rStyle w:val="Hyperlink"/>
                <w:rFonts w:eastAsia="Times New Roman"/>
                <w:noProof/>
              </w:rPr>
              <w:t>Purpose</w:t>
            </w:r>
            <w:r w:rsidR="00C7219B">
              <w:rPr>
                <w:noProof/>
                <w:webHidden/>
              </w:rPr>
              <w:tab/>
            </w:r>
            <w:r w:rsidR="00C7219B">
              <w:rPr>
                <w:noProof/>
                <w:webHidden/>
              </w:rPr>
              <w:fldChar w:fldCharType="begin"/>
            </w:r>
            <w:r w:rsidR="00C7219B">
              <w:rPr>
                <w:noProof/>
                <w:webHidden/>
              </w:rPr>
              <w:instrText xml:space="preserve"> PAGEREF _Toc182462550 \h </w:instrText>
            </w:r>
            <w:r w:rsidR="00C7219B">
              <w:rPr>
                <w:noProof/>
                <w:webHidden/>
              </w:rPr>
            </w:r>
            <w:r w:rsidR="00C7219B">
              <w:rPr>
                <w:noProof/>
                <w:webHidden/>
              </w:rPr>
              <w:fldChar w:fldCharType="separate"/>
            </w:r>
            <w:r w:rsidR="00C7219B">
              <w:rPr>
                <w:noProof/>
                <w:webHidden/>
              </w:rPr>
              <w:t>5</w:t>
            </w:r>
            <w:r w:rsidR="00C7219B">
              <w:rPr>
                <w:noProof/>
                <w:webHidden/>
              </w:rPr>
              <w:fldChar w:fldCharType="end"/>
            </w:r>
          </w:hyperlink>
        </w:p>
        <w:p w14:paraId="05EAC1C0" w14:textId="4769B1A0"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51" w:history="1">
            <w:r w:rsidR="00C7219B" w:rsidRPr="00CC1729">
              <w:rPr>
                <w:rStyle w:val="Hyperlink"/>
                <w:rFonts w:eastAsia="Times New Roman"/>
                <w:noProof/>
              </w:rPr>
              <w:t>Best practice principles</w:t>
            </w:r>
            <w:r w:rsidR="00C7219B">
              <w:rPr>
                <w:noProof/>
                <w:webHidden/>
              </w:rPr>
              <w:tab/>
            </w:r>
            <w:r w:rsidR="00C7219B">
              <w:rPr>
                <w:noProof/>
                <w:webHidden/>
              </w:rPr>
              <w:fldChar w:fldCharType="begin"/>
            </w:r>
            <w:r w:rsidR="00C7219B">
              <w:rPr>
                <w:noProof/>
                <w:webHidden/>
              </w:rPr>
              <w:instrText xml:space="preserve"> PAGEREF _Toc182462551 \h </w:instrText>
            </w:r>
            <w:r w:rsidR="00C7219B">
              <w:rPr>
                <w:noProof/>
                <w:webHidden/>
              </w:rPr>
            </w:r>
            <w:r w:rsidR="00C7219B">
              <w:rPr>
                <w:noProof/>
                <w:webHidden/>
              </w:rPr>
              <w:fldChar w:fldCharType="separate"/>
            </w:r>
            <w:r w:rsidR="00C7219B">
              <w:rPr>
                <w:noProof/>
                <w:webHidden/>
              </w:rPr>
              <w:t>5</w:t>
            </w:r>
            <w:r w:rsidR="00C7219B">
              <w:rPr>
                <w:noProof/>
                <w:webHidden/>
              </w:rPr>
              <w:fldChar w:fldCharType="end"/>
            </w:r>
          </w:hyperlink>
        </w:p>
        <w:p w14:paraId="1A179BC6" w14:textId="03266235"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52" w:history="1">
            <w:r w:rsidR="00C7219B" w:rsidRPr="00CC1729">
              <w:rPr>
                <w:rStyle w:val="Hyperlink"/>
                <w:rFonts w:eastAsia="Times New Roman"/>
                <w:noProof/>
              </w:rPr>
              <w:t>Scope</w:t>
            </w:r>
            <w:r w:rsidR="00C7219B">
              <w:rPr>
                <w:noProof/>
                <w:webHidden/>
              </w:rPr>
              <w:tab/>
            </w:r>
            <w:r w:rsidR="00C7219B">
              <w:rPr>
                <w:noProof/>
                <w:webHidden/>
              </w:rPr>
              <w:fldChar w:fldCharType="begin"/>
            </w:r>
            <w:r w:rsidR="00C7219B">
              <w:rPr>
                <w:noProof/>
                <w:webHidden/>
              </w:rPr>
              <w:instrText xml:space="preserve"> PAGEREF _Toc182462552 \h </w:instrText>
            </w:r>
            <w:r w:rsidR="00C7219B">
              <w:rPr>
                <w:noProof/>
                <w:webHidden/>
              </w:rPr>
            </w:r>
            <w:r w:rsidR="00C7219B">
              <w:rPr>
                <w:noProof/>
                <w:webHidden/>
              </w:rPr>
              <w:fldChar w:fldCharType="separate"/>
            </w:r>
            <w:r w:rsidR="00C7219B">
              <w:rPr>
                <w:noProof/>
                <w:webHidden/>
              </w:rPr>
              <w:t>5</w:t>
            </w:r>
            <w:r w:rsidR="00C7219B">
              <w:rPr>
                <w:noProof/>
                <w:webHidden/>
              </w:rPr>
              <w:fldChar w:fldCharType="end"/>
            </w:r>
          </w:hyperlink>
        </w:p>
        <w:p w14:paraId="16BFB72D" w14:textId="297208B0"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53" w:history="1">
            <w:r w:rsidR="00C7219B" w:rsidRPr="00CC1729">
              <w:rPr>
                <w:rStyle w:val="Hyperlink"/>
                <w:rFonts w:eastAsia="Times New Roman"/>
                <w:noProof/>
              </w:rPr>
              <w:t>Declared projects</w:t>
            </w:r>
            <w:r w:rsidR="00C7219B">
              <w:rPr>
                <w:noProof/>
                <w:webHidden/>
              </w:rPr>
              <w:tab/>
            </w:r>
            <w:r w:rsidR="00C7219B">
              <w:rPr>
                <w:noProof/>
                <w:webHidden/>
              </w:rPr>
              <w:fldChar w:fldCharType="begin"/>
            </w:r>
            <w:r w:rsidR="00C7219B">
              <w:rPr>
                <w:noProof/>
                <w:webHidden/>
              </w:rPr>
              <w:instrText xml:space="preserve"> PAGEREF _Toc182462553 \h </w:instrText>
            </w:r>
            <w:r w:rsidR="00C7219B">
              <w:rPr>
                <w:noProof/>
                <w:webHidden/>
              </w:rPr>
            </w:r>
            <w:r w:rsidR="00C7219B">
              <w:rPr>
                <w:noProof/>
                <w:webHidden/>
              </w:rPr>
              <w:fldChar w:fldCharType="separate"/>
            </w:r>
            <w:r w:rsidR="00C7219B">
              <w:rPr>
                <w:noProof/>
                <w:webHidden/>
              </w:rPr>
              <w:t>6</w:t>
            </w:r>
            <w:r w:rsidR="00C7219B">
              <w:rPr>
                <w:noProof/>
                <w:webHidden/>
              </w:rPr>
              <w:fldChar w:fldCharType="end"/>
            </w:r>
          </w:hyperlink>
        </w:p>
        <w:p w14:paraId="53E2EE52" w14:textId="6022558E"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54" w:history="1">
            <w:r w:rsidR="00C7219B" w:rsidRPr="00CC1729">
              <w:rPr>
                <w:rStyle w:val="Hyperlink"/>
                <w:rFonts w:eastAsia="Times New Roman"/>
                <w:noProof/>
              </w:rPr>
              <w:t>Best practice principles project</w:t>
            </w:r>
            <w:r w:rsidR="00C7219B">
              <w:rPr>
                <w:noProof/>
                <w:webHidden/>
              </w:rPr>
              <w:tab/>
            </w:r>
            <w:r w:rsidR="00C7219B">
              <w:rPr>
                <w:noProof/>
                <w:webHidden/>
              </w:rPr>
              <w:fldChar w:fldCharType="begin"/>
            </w:r>
            <w:r w:rsidR="00C7219B">
              <w:rPr>
                <w:noProof/>
                <w:webHidden/>
              </w:rPr>
              <w:instrText xml:space="preserve"> PAGEREF _Toc182462554 \h </w:instrText>
            </w:r>
            <w:r w:rsidR="00C7219B">
              <w:rPr>
                <w:noProof/>
                <w:webHidden/>
              </w:rPr>
            </w:r>
            <w:r w:rsidR="00C7219B">
              <w:rPr>
                <w:noProof/>
                <w:webHidden/>
              </w:rPr>
              <w:fldChar w:fldCharType="separate"/>
            </w:r>
            <w:r w:rsidR="00C7219B">
              <w:rPr>
                <w:noProof/>
                <w:webHidden/>
              </w:rPr>
              <w:t>6</w:t>
            </w:r>
            <w:r w:rsidR="00C7219B">
              <w:rPr>
                <w:noProof/>
                <w:webHidden/>
              </w:rPr>
              <w:fldChar w:fldCharType="end"/>
            </w:r>
          </w:hyperlink>
        </w:p>
        <w:p w14:paraId="43DDA9BD" w14:textId="42ACBC80"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55" w:history="1">
            <w:r w:rsidR="00C7219B" w:rsidRPr="00CC1729">
              <w:rPr>
                <w:rStyle w:val="Hyperlink"/>
                <w:noProof/>
              </w:rPr>
              <w:t>Declaration process</w:t>
            </w:r>
            <w:r w:rsidR="00C7219B">
              <w:rPr>
                <w:noProof/>
                <w:webHidden/>
              </w:rPr>
              <w:tab/>
            </w:r>
            <w:r w:rsidR="00C7219B">
              <w:rPr>
                <w:noProof/>
                <w:webHidden/>
              </w:rPr>
              <w:fldChar w:fldCharType="begin"/>
            </w:r>
            <w:r w:rsidR="00C7219B">
              <w:rPr>
                <w:noProof/>
                <w:webHidden/>
              </w:rPr>
              <w:instrText xml:space="preserve"> PAGEREF _Toc182462555 \h </w:instrText>
            </w:r>
            <w:r w:rsidR="00C7219B">
              <w:rPr>
                <w:noProof/>
                <w:webHidden/>
              </w:rPr>
            </w:r>
            <w:r w:rsidR="00C7219B">
              <w:rPr>
                <w:noProof/>
                <w:webHidden/>
              </w:rPr>
              <w:fldChar w:fldCharType="separate"/>
            </w:r>
            <w:r w:rsidR="00C7219B">
              <w:rPr>
                <w:noProof/>
                <w:webHidden/>
              </w:rPr>
              <w:t>7</w:t>
            </w:r>
            <w:r w:rsidR="00C7219B">
              <w:rPr>
                <w:noProof/>
                <w:webHidden/>
              </w:rPr>
              <w:fldChar w:fldCharType="end"/>
            </w:r>
          </w:hyperlink>
        </w:p>
        <w:p w14:paraId="29C58B5B" w14:textId="7A05965D"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56" w:history="1">
            <w:r w:rsidR="00C7219B" w:rsidRPr="00CC1729">
              <w:rPr>
                <w:rStyle w:val="Hyperlink"/>
                <w:noProof/>
              </w:rPr>
              <w:t>Relationship between the best practice principles and other legislation</w:t>
            </w:r>
            <w:r w:rsidR="00C7219B">
              <w:rPr>
                <w:noProof/>
                <w:webHidden/>
              </w:rPr>
              <w:tab/>
            </w:r>
            <w:r w:rsidR="00C7219B">
              <w:rPr>
                <w:noProof/>
                <w:webHidden/>
              </w:rPr>
              <w:fldChar w:fldCharType="begin"/>
            </w:r>
            <w:r w:rsidR="00C7219B">
              <w:rPr>
                <w:noProof/>
                <w:webHidden/>
              </w:rPr>
              <w:instrText xml:space="preserve"> PAGEREF _Toc182462556 \h </w:instrText>
            </w:r>
            <w:r w:rsidR="00C7219B">
              <w:rPr>
                <w:noProof/>
                <w:webHidden/>
              </w:rPr>
            </w:r>
            <w:r w:rsidR="00C7219B">
              <w:rPr>
                <w:noProof/>
                <w:webHidden/>
              </w:rPr>
              <w:fldChar w:fldCharType="separate"/>
            </w:r>
            <w:r w:rsidR="00C7219B">
              <w:rPr>
                <w:noProof/>
                <w:webHidden/>
              </w:rPr>
              <w:t>8</w:t>
            </w:r>
            <w:r w:rsidR="00C7219B">
              <w:rPr>
                <w:noProof/>
                <w:webHidden/>
              </w:rPr>
              <w:fldChar w:fldCharType="end"/>
            </w:r>
          </w:hyperlink>
        </w:p>
        <w:p w14:paraId="1A7FF7C7" w14:textId="04C9FAD9" w:rsidR="00C7219B" w:rsidRDefault="00D2597E">
          <w:pPr>
            <w:pStyle w:val="TOC1"/>
            <w:rPr>
              <w:rFonts w:asciiTheme="minorHAnsi" w:eastAsiaTheme="minorEastAsia" w:hAnsiTheme="minorHAnsi" w:cstheme="minorBidi"/>
              <w:b w:val="0"/>
              <w:bCs w:val="0"/>
              <w:noProof/>
              <w:color w:val="auto"/>
              <w:kern w:val="2"/>
              <w:sz w:val="24"/>
              <w:szCs w:val="24"/>
              <w14:ligatures w14:val="standardContextual"/>
            </w:rPr>
          </w:pPr>
          <w:hyperlink w:anchor="_Toc182462557" w:history="1">
            <w:r w:rsidR="00C7219B" w:rsidRPr="00CC1729">
              <w:rPr>
                <w:rStyle w:val="Hyperlink"/>
                <w:rFonts w:eastAsiaTheme="majorEastAsia"/>
                <w:noProof/>
              </w:rPr>
              <w:t>When is a project subject to the best practice principles?</w:t>
            </w:r>
            <w:r w:rsidR="00C7219B">
              <w:rPr>
                <w:noProof/>
                <w:webHidden/>
              </w:rPr>
              <w:tab/>
            </w:r>
            <w:r w:rsidR="00C7219B">
              <w:rPr>
                <w:noProof/>
                <w:webHidden/>
              </w:rPr>
              <w:fldChar w:fldCharType="begin"/>
            </w:r>
            <w:r w:rsidR="00C7219B">
              <w:rPr>
                <w:noProof/>
                <w:webHidden/>
              </w:rPr>
              <w:instrText xml:space="preserve"> PAGEREF _Toc182462557 \h </w:instrText>
            </w:r>
            <w:r w:rsidR="00C7219B">
              <w:rPr>
                <w:noProof/>
                <w:webHidden/>
              </w:rPr>
            </w:r>
            <w:r w:rsidR="00C7219B">
              <w:rPr>
                <w:noProof/>
                <w:webHidden/>
              </w:rPr>
              <w:fldChar w:fldCharType="separate"/>
            </w:r>
            <w:r w:rsidR="00C7219B">
              <w:rPr>
                <w:noProof/>
                <w:webHidden/>
              </w:rPr>
              <w:t>8</w:t>
            </w:r>
            <w:r w:rsidR="00C7219B">
              <w:rPr>
                <w:noProof/>
                <w:webHidden/>
              </w:rPr>
              <w:fldChar w:fldCharType="end"/>
            </w:r>
          </w:hyperlink>
        </w:p>
        <w:p w14:paraId="3A515F57" w14:textId="08281180"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58" w:history="1">
            <w:r w:rsidR="00C7219B" w:rsidRPr="00CC1729">
              <w:rPr>
                <w:rStyle w:val="Hyperlink"/>
                <w:noProof/>
              </w:rPr>
              <w:t>1. Is this a project?</w:t>
            </w:r>
            <w:r w:rsidR="00C7219B">
              <w:rPr>
                <w:noProof/>
                <w:webHidden/>
              </w:rPr>
              <w:tab/>
            </w:r>
            <w:r w:rsidR="00C7219B">
              <w:rPr>
                <w:noProof/>
                <w:webHidden/>
              </w:rPr>
              <w:fldChar w:fldCharType="begin"/>
            </w:r>
            <w:r w:rsidR="00C7219B">
              <w:rPr>
                <w:noProof/>
                <w:webHidden/>
              </w:rPr>
              <w:instrText xml:space="preserve"> PAGEREF _Toc182462558 \h </w:instrText>
            </w:r>
            <w:r w:rsidR="00C7219B">
              <w:rPr>
                <w:noProof/>
                <w:webHidden/>
              </w:rPr>
            </w:r>
            <w:r w:rsidR="00C7219B">
              <w:rPr>
                <w:noProof/>
                <w:webHidden/>
              </w:rPr>
              <w:fldChar w:fldCharType="separate"/>
            </w:r>
            <w:r w:rsidR="00C7219B">
              <w:rPr>
                <w:noProof/>
                <w:webHidden/>
              </w:rPr>
              <w:t>8</w:t>
            </w:r>
            <w:r w:rsidR="00C7219B">
              <w:rPr>
                <w:noProof/>
                <w:webHidden/>
              </w:rPr>
              <w:fldChar w:fldCharType="end"/>
            </w:r>
          </w:hyperlink>
        </w:p>
        <w:p w14:paraId="5EC36279" w14:textId="3DE84415"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59" w:history="1">
            <w:r w:rsidR="00C7219B" w:rsidRPr="00CC1729">
              <w:rPr>
                <w:rStyle w:val="Hyperlink"/>
                <w:noProof/>
              </w:rPr>
              <w:t>2. Does the QPP apply to the project?</w:t>
            </w:r>
            <w:r w:rsidR="00C7219B">
              <w:rPr>
                <w:noProof/>
                <w:webHidden/>
              </w:rPr>
              <w:tab/>
            </w:r>
            <w:r w:rsidR="00C7219B">
              <w:rPr>
                <w:noProof/>
                <w:webHidden/>
              </w:rPr>
              <w:fldChar w:fldCharType="begin"/>
            </w:r>
            <w:r w:rsidR="00C7219B">
              <w:rPr>
                <w:noProof/>
                <w:webHidden/>
              </w:rPr>
              <w:instrText xml:space="preserve"> PAGEREF _Toc182462559 \h </w:instrText>
            </w:r>
            <w:r w:rsidR="00C7219B">
              <w:rPr>
                <w:noProof/>
                <w:webHidden/>
              </w:rPr>
            </w:r>
            <w:r w:rsidR="00C7219B">
              <w:rPr>
                <w:noProof/>
                <w:webHidden/>
              </w:rPr>
              <w:fldChar w:fldCharType="separate"/>
            </w:r>
            <w:r w:rsidR="00C7219B">
              <w:rPr>
                <w:noProof/>
                <w:webHidden/>
              </w:rPr>
              <w:t>8</w:t>
            </w:r>
            <w:r w:rsidR="00C7219B">
              <w:rPr>
                <w:noProof/>
                <w:webHidden/>
              </w:rPr>
              <w:fldChar w:fldCharType="end"/>
            </w:r>
          </w:hyperlink>
        </w:p>
        <w:p w14:paraId="08A59BF2" w14:textId="6A7FA7A8"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60" w:history="1">
            <w:r w:rsidR="00C7219B" w:rsidRPr="00CC1729">
              <w:rPr>
                <w:rStyle w:val="Hyperlink"/>
                <w:noProof/>
              </w:rPr>
              <w:t>3. Which procurement category does the project fall under?</w:t>
            </w:r>
            <w:r w:rsidR="00C7219B">
              <w:rPr>
                <w:noProof/>
                <w:webHidden/>
              </w:rPr>
              <w:tab/>
            </w:r>
            <w:r w:rsidR="00C7219B">
              <w:rPr>
                <w:noProof/>
                <w:webHidden/>
              </w:rPr>
              <w:fldChar w:fldCharType="begin"/>
            </w:r>
            <w:r w:rsidR="00C7219B">
              <w:rPr>
                <w:noProof/>
                <w:webHidden/>
              </w:rPr>
              <w:instrText xml:space="preserve"> PAGEREF _Toc182462560 \h </w:instrText>
            </w:r>
            <w:r w:rsidR="00C7219B">
              <w:rPr>
                <w:noProof/>
                <w:webHidden/>
              </w:rPr>
            </w:r>
            <w:r w:rsidR="00C7219B">
              <w:rPr>
                <w:noProof/>
                <w:webHidden/>
              </w:rPr>
              <w:fldChar w:fldCharType="separate"/>
            </w:r>
            <w:r w:rsidR="00C7219B">
              <w:rPr>
                <w:noProof/>
                <w:webHidden/>
              </w:rPr>
              <w:t>8</w:t>
            </w:r>
            <w:r w:rsidR="00C7219B">
              <w:rPr>
                <w:noProof/>
                <w:webHidden/>
              </w:rPr>
              <w:fldChar w:fldCharType="end"/>
            </w:r>
          </w:hyperlink>
        </w:p>
        <w:p w14:paraId="545C3A2D" w14:textId="3200BAC0"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61" w:history="1">
            <w:r w:rsidR="00C7219B" w:rsidRPr="00CC1729">
              <w:rPr>
                <w:rStyle w:val="Hyperlink"/>
                <w:noProof/>
              </w:rPr>
              <w:t>4. Is the project’s total value $100 million or more?</w:t>
            </w:r>
            <w:r w:rsidR="00C7219B">
              <w:rPr>
                <w:noProof/>
                <w:webHidden/>
              </w:rPr>
              <w:tab/>
            </w:r>
            <w:r w:rsidR="00C7219B">
              <w:rPr>
                <w:noProof/>
                <w:webHidden/>
              </w:rPr>
              <w:fldChar w:fldCharType="begin"/>
            </w:r>
            <w:r w:rsidR="00C7219B">
              <w:rPr>
                <w:noProof/>
                <w:webHidden/>
              </w:rPr>
              <w:instrText xml:space="preserve"> PAGEREF _Toc182462561 \h </w:instrText>
            </w:r>
            <w:r w:rsidR="00C7219B">
              <w:rPr>
                <w:noProof/>
                <w:webHidden/>
              </w:rPr>
            </w:r>
            <w:r w:rsidR="00C7219B">
              <w:rPr>
                <w:noProof/>
                <w:webHidden/>
              </w:rPr>
              <w:fldChar w:fldCharType="separate"/>
            </w:r>
            <w:r w:rsidR="00C7219B">
              <w:rPr>
                <w:noProof/>
                <w:webHidden/>
              </w:rPr>
              <w:t>9</w:t>
            </w:r>
            <w:r w:rsidR="00C7219B">
              <w:rPr>
                <w:noProof/>
                <w:webHidden/>
              </w:rPr>
              <w:fldChar w:fldCharType="end"/>
            </w:r>
          </w:hyperlink>
        </w:p>
        <w:p w14:paraId="7130B114" w14:textId="6A0F6034"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62" w:history="1">
            <w:r w:rsidR="00C7219B" w:rsidRPr="00CC1729">
              <w:rPr>
                <w:rStyle w:val="Hyperlink"/>
                <w:noProof/>
              </w:rPr>
              <w:t>5. Is the project a declared project?</w:t>
            </w:r>
            <w:r w:rsidR="00C7219B">
              <w:rPr>
                <w:noProof/>
                <w:webHidden/>
              </w:rPr>
              <w:tab/>
            </w:r>
            <w:r w:rsidR="00C7219B">
              <w:rPr>
                <w:noProof/>
                <w:webHidden/>
              </w:rPr>
              <w:fldChar w:fldCharType="begin"/>
            </w:r>
            <w:r w:rsidR="00C7219B">
              <w:rPr>
                <w:noProof/>
                <w:webHidden/>
              </w:rPr>
              <w:instrText xml:space="preserve"> PAGEREF _Toc182462562 \h </w:instrText>
            </w:r>
            <w:r w:rsidR="00C7219B">
              <w:rPr>
                <w:noProof/>
                <w:webHidden/>
              </w:rPr>
            </w:r>
            <w:r w:rsidR="00C7219B">
              <w:rPr>
                <w:noProof/>
                <w:webHidden/>
              </w:rPr>
              <w:fldChar w:fldCharType="separate"/>
            </w:r>
            <w:r w:rsidR="00C7219B">
              <w:rPr>
                <w:noProof/>
                <w:webHidden/>
              </w:rPr>
              <w:t>9</w:t>
            </w:r>
            <w:r w:rsidR="00C7219B">
              <w:rPr>
                <w:noProof/>
                <w:webHidden/>
              </w:rPr>
              <w:fldChar w:fldCharType="end"/>
            </w:r>
          </w:hyperlink>
        </w:p>
        <w:p w14:paraId="74063935" w14:textId="430619A6"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63" w:history="1">
            <w:r w:rsidR="00C7219B" w:rsidRPr="00CC1729">
              <w:rPr>
                <w:rStyle w:val="Hyperlink"/>
                <w:noProof/>
              </w:rPr>
              <w:t>Common-use supply arrangements</w:t>
            </w:r>
            <w:r w:rsidR="00C7219B">
              <w:rPr>
                <w:noProof/>
                <w:webHidden/>
              </w:rPr>
              <w:tab/>
            </w:r>
            <w:r w:rsidR="00C7219B">
              <w:rPr>
                <w:noProof/>
                <w:webHidden/>
              </w:rPr>
              <w:fldChar w:fldCharType="begin"/>
            </w:r>
            <w:r w:rsidR="00C7219B">
              <w:rPr>
                <w:noProof/>
                <w:webHidden/>
              </w:rPr>
              <w:instrText xml:space="preserve"> PAGEREF _Toc182462563 \h </w:instrText>
            </w:r>
            <w:r w:rsidR="00C7219B">
              <w:rPr>
                <w:noProof/>
                <w:webHidden/>
              </w:rPr>
            </w:r>
            <w:r w:rsidR="00C7219B">
              <w:rPr>
                <w:noProof/>
                <w:webHidden/>
              </w:rPr>
              <w:fldChar w:fldCharType="separate"/>
            </w:r>
            <w:r w:rsidR="00C7219B">
              <w:rPr>
                <w:noProof/>
                <w:webHidden/>
              </w:rPr>
              <w:t>9</w:t>
            </w:r>
            <w:r w:rsidR="00C7219B">
              <w:rPr>
                <w:noProof/>
                <w:webHidden/>
              </w:rPr>
              <w:fldChar w:fldCharType="end"/>
            </w:r>
          </w:hyperlink>
        </w:p>
        <w:p w14:paraId="2DCDAAA7" w14:textId="2B831F02"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64" w:history="1">
            <w:r w:rsidR="00C7219B" w:rsidRPr="00CC1729">
              <w:rPr>
                <w:rStyle w:val="Hyperlink"/>
                <w:noProof/>
              </w:rPr>
              <w:t>Key next steps</w:t>
            </w:r>
            <w:r w:rsidR="00C7219B">
              <w:rPr>
                <w:noProof/>
                <w:webHidden/>
              </w:rPr>
              <w:tab/>
            </w:r>
            <w:r w:rsidR="00C7219B">
              <w:rPr>
                <w:noProof/>
                <w:webHidden/>
              </w:rPr>
              <w:fldChar w:fldCharType="begin"/>
            </w:r>
            <w:r w:rsidR="00C7219B">
              <w:rPr>
                <w:noProof/>
                <w:webHidden/>
              </w:rPr>
              <w:instrText xml:space="preserve"> PAGEREF _Toc182462564 \h </w:instrText>
            </w:r>
            <w:r w:rsidR="00C7219B">
              <w:rPr>
                <w:noProof/>
                <w:webHidden/>
              </w:rPr>
            </w:r>
            <w:r w:rsidR="00C7219B">
              <w:rPr>
                <w:noProof/>
                <w:webHidden/>
              </w:rPr>
              <w:fldChar w:fldCharType="separate"/>
            </w:r>
            <w:r w:rsidR="00C7219B">
              <w:rPr>
                <w:noProof/>
                <w:webHidden/>
              </w:rPr>
              <w:t>10</w:t>
            </w:r>
            <w:r w:rsidR="00C7219B">
              <w:rPr>
                <w:noProof/>
                <w:webHidden/>
              </w:rPr>
              <w:fldChar w:fldCharType="end"/>
            </w:r>
          </w:hyperlink>
        </w:p>
        <w:p w14:paraId="4618A102" w14:textId="5504A90C" w:rsidR="00C7219B" w:rsidRDefault="00D2597E">
          <w:pPr>
            <w:pStyle w:val="TOC1"/>
            <w:rPr>
              <w:rFonts w:asciiTheme="minorHAnsi" w:eastAsiaTheme="minorEastAsia" w:hAnsiTheme="minorHAnsi" w:cstheme="minorBidi"/>
              <w:b w:val="0"/>
              <w:bCs w:val="0"/>
              <w:noProof/>
              <w:color w:val="auto"/>
              <w:kern w:val="2"/>
              <w:sz w:val="24"/>
              <w:szCs w:val="24"/>
              <w14:ligatures w14:val="standardContextual"/>
            </w:rPr>
          </w:pPr>
          <w:hyperlink w:anchor="_Toc182462565" w:history="1">
            <w:r w:rsidR="00C7219B" w:rsidRPr="00CC1729">
              <w:rPr>
                <w:rStyle w:val="Hyperlink"/>
                <w:rFonts w:eastAsiaTheme="majorEastAsia"/>
                <w:noProof/>
              </w:rPr>
              <w:t>How to apply the best practice principles</w:t>
            </w:r>
            <w:r w:rsidR="00C7219B">
              <w:rPr>
                <w:noProof/>
                <w:webHidden/>
              </w:rPr>
              <w:tab/>
            </w:r>
            <w:r w:rsidR="00C7219B">
              <w:rPr>
                <w:noProof/>
                <w:webHidden/>
              </w:rPr>
              <w:fldChar w:fldCharType="begin"/>
            </w:r>
            <w:r w:rsidR="00C7219B">
              <w:rPr>
                <w:noProof/>
                <w:webHidden/>
              </w:rPr>
              <w:instrText xml:space="preserve"> PAGEREF _Toc182462565 \h </w:instrText>
            </w:r>
            <w:r w:rsidR="00C7219B">
              <w:rPr>
                <w:noProof/>
                <w:webHidden/>
              </w:rPr>
            </w:r>
            <w:r w:rsidR="00C7219B">
              <w:rPr>
                <w:noProof/>
                <w:webHidden/>
              </w:rPr>
              <w:fldChar w:fldCharType="separate"/>
            </w:r>
            <w:r w:rsidR="00C7219B">
              <w:rPr>
                <w:noProof/>
                <w:webHidden/>
              </w:rPr>
              <w:t>11</w:t>
            </w:r>
            <w:r w:rsidR="00C7219B">
              <w:rPr>
                <w:noProof/>
                <w:webHidden/>
              </w:rPr>
              <w:fldChar w:fldCharType="end"/>
            </w:r>
          </w:hyperlink>
        </w:p>
        <w:p w14:paraId="39E5A97C" w14:textId="6A1E117C"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66" w:history="1">
            <w:r w:rsidR="00C7219B" w:rsidRPr="00CC1729">
              <w:rPr>
                <w:rStyle w:val="Hyperlink"/>
                <w:noProof/>
              </w:rPr>
              <w:t>Procurement planning</w:t>
            </w:r>
            <w:r w:rsidR="00C7219B">
              <w:rPr>
                <w:noProof/>
                <w:webHidden/>
              </w:rPr>
              <w:tab/>
            </w:r>
            <w:r w:rsidR="00C7219B">
              <w:rPr>
                <w:noProof/>
                <w:webHidden/>
              </w:rPr>
              <w:fldChar w:fldCharType="begin"/>
            </w:r>
            <w:r w:rsidR="00C7219B">
              <w:rPr>
                <w:noProof/>
                <w:webHidden/>
              </w:rPr>
              <w:instrText xml:space="preserve"> PAGEREF _Toc182462566 \h </w:instrText>
            </w:r>
            <w:r w:rsidR="00C7219B">
              <w:rPr>
                <w:noProof/>
                <w:webHidden/>
              </w:rPr>
            </w:r>
            <w:r w:rsidR="00C7219B">
              <w:rPr>
                <w:noProof/>
                <w:webHidden/>
              </w:rPr>
              <w:fldChar w:fldCharType="separate"/>
            </w:r>
            <w:r w:rsidR="00C7219B">
              <w:rPr>
                <w:noProof/>
                <w:webHidden/>
              </w:rPr>
              <w:t>11</w:t>
            </w:r>
            <w:r w:rsidR="00C7219B">
              <w:rPr>
                <w:noProof/>
                <w:webHidden/>
              </w:rPr>
              <w:fldChar w:fldCharType="end"/>
            </w:r>
          </w:hyperlink>
        </w:p>
        <w:p w14:paraId="3AA3D922" w14:textId="67B300E1"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67" w:history="1">
            <w:r w:rsidR="00C7219B" w:rsidRPr="00CC1729">
              <w:rPr>
                <w:rStyle w:val="Hyperlink"/>
                <w:noProof/>
              </w:rPr>
              <w:t>Procurement strategy development</w:t>
            </w:r>
            <w:r w:rsidR="00C7219B">
              <w:rPr>
                <w:noProof/>
                <w:webHidden/>
              </w:rPr>
              <w:tab/>
            </w:r>
            <w:r w:rsidR="00C7219B">
              <w:rPr>
                <w:noProof/>
                <w:webHidden/>
              </w:rPr>
              <w:fldChar w:fldCharType="begin"/>
            </w:r>
            <w:r w:rsidR="00C7219B">
              <w:rPr>
                <w:noProof/>
                <w:webHidden/>
              </w:rPr>
              <w:instrText xml:space="preserve"> PAGEREF _Toc182462567 \h </w:instrText>
            </w:r>
            <w:r w:rsidR="00C7219B">
              <w:rPr>
                <w:noProof/>
                <w:webHidden/>
              </w:rPr>
            </w:r>
            <w:r w:rsidR="00C7219B">
              <w:rPr>
                <w:noProof/>
                <w:webHidden/>
              </w:rPr>
              <w:fldChar w:fldCharType="separate"/>
            </w:r>
            <w:r w:rsidR="00C7219B">
              <w:rPr>
                <w:noProof/>
                <w:webHidden/>
              </w:rPr>
              <w:t>11</w:t>
            </w:r>
            <w:r w:rsidR="00C7219B">
              <w:rPr>
                <w:noProof/>
                <w:webHidden/>
              </w:rPr>
              <w:fldChar w:fldCharType="end"/>
            </w:r>
          </w:hyperlink>
        </w:p>
        <w:p w14:paraId="3ACDB416" w14:textId="34F5C7E0"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68" w:history="1">
            <w:r w:rsidR="00C7219B" w:rsidRPr="00CC1729">
              <w:rPr>
                <w:rStyle w:val="Hyperlink"/>
                <w:noProof/>
              </w:rPr>
              <w:t>Tender development</w:t>
            </w:r>
            <w:r w:rsidR="00C7219B">
              <w:rPr>
                <w:noProof/>
                <w:webHidden/>
              </w:rPr>
              <w:tab/>
            </w:r>
            <w:r w:rsidR="00C7219B">
              <w:rPr>
                <w:noProof/>
                <w:webHidden/>
              </w:rPr>
              <w:fldChar w:fldCharType="begin"/>
            </w:r>
            <w:r w:rsidR="00C7219B">
              <w:rPr>
                <w:noProof/>
                <w:webHidden/>
              </w:rPr>
              <w:instrText xml:space="preserve"> PAGEREF _Toc182462568 \h </w:instrText>
            </w:r>
            <w:r w:rsidR="00C7219B">
              <w:rPr>
                <w:noProof/>
                <w:webHidden/>
              </w:rPr>
            </w:r>
            <w:r w:rsidR="00C7219B">
              <w:rPr>
                <w:noProof/>
                <w:webHidden/>
              </w:rPr>
              <w:fldChar w:fldCharType="separate"/>
            </w:r>
            <w:r w:rsidR="00C7219B">
              <w:rPr>
                <w:noProof/>
                <w:webHidden/>
              </w:rPr>
              <w:t>11</w:t>
            </w:r>
            <w:r w:rsidR="00C7219B">
              <w:rPr>
                <w:noProof/>
                <w:webHidden/>
              </w:rPr>
              <w:fldChar w:fldCharType="end"/>
            </w:r>
          </w:hyperlink>
        </w:p>
        <w:p w14:paraId="00827574" w14:textId="69EBB6CB"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69" w:history="1">
            <w:r w:rsidR="00C7219B" w:rsidRPr="00CC1729">
              <w:rPr>
                <w:rStyle w:val="Hyperlink"/>
                <w:noProof/>
              </w:rPr>
              <w:t>Going to market</w:t>
            </w:r>
            <w:r w:rsidR="00C7219B">
              <w:rPr>
                <w:noProof/>
                <w:webHidden/>
              </w:rPr>
              <w:tab/>
            </w:r>
            <w:r w:rsidR="00C7219B">
              <w:rPr>
                <w:noProof/>
                <w:webHidden/>
              </w:rPr>
              <w:fldChar w:fldCharType="begin"/>
            </w:r>
            <w:r w:rsidR="00C7219B">
              <w:rPr>
                <w:noProof/>
                <w:webHidden/>
              </w:rPr>
              <w:instrText xml:space="preserve"> PAGEREF _Toc182462569 \h </w:instrText>
            </w:r>
            <w:r w:rsidR="00C7219B">
              <w:rPr>
                <w:noProof/>
                <w:webHidden/>
              </w:rPr>
            </w:r>
            <w:r w:rsidR="00C7219B">
              <w:rPr>
                <w:noProof/>
                <w:webHidden/>
              </w:rPr>
              <w:fldChar w:fldCharType="separate"/>
            </w:r>
            <w:r w:rsidR="00C7219B">
              <w:rPr>
                <w:noProof/>
                <w:webHidden/>
              </w:rPr>
              <w:t>16</w:t>
            </w:r>
            <w:r w:rsidR="00C7219B">
              <w:rPr>
                <w:noProof/>
                <w:webHidden/>
              </w:rPr>
              <w:fldChar w:fldCharType="end"/>
            </w:r>
          </w:hyperlink>
        </w:p>
        <w:p w14:paraId="27E0A53B" w14:textId="487CF35F"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70" w:history="1">
            <w:r w:rsidR="00C7219B" w:rsidRPr="00CC1729">
              <w:rPr>
                <w:rStyle w:val="Hyperlink"/>
                <w:noProof/>
              </w:rPr>
              <w:t>Evaluation</w:t>
            </w:r>
            <w:r w:rsidR="00C7219B">
              <w:rPr>
                <w:noProof/>
                <w:webHidden/>
              </w:rPr>
              <w:tab/>
            </w:r>
            <w:r w:rsidR="00C7219B">
              <w:rPr>
                <w:noProof/>
                <w:webHidden/>
              </w:rPr>
              <w:fldChar w:fldCharType="begin"/>
            </w:r>
            <w:r w:rsidR="00C7219B">
              <w:rPr>
                <w:noProof/>
                <w:webHidden/>
              </w:rPr>
              <w:instrText xml:space="preserve"> PAGEREF _Toc182462570 \h </w:instrText>
            </w:r>
            <w:r w:rsidR="00C7219B">
              <w:rPr>
                <w:noProof/>
                <w:webHidden/>
              </w:rPr>
            </w:r>
            <w:r w:rsidR="00C7219B">
              <w:rPr>
                <w:noProof/>
                <w:webHidden/>
              </w:rPr>
              <w:fldChar w:fldCharType="separate"/>
            </w:r>
            <w:r w:rsidR="00C7219B">
              <w:rPr>
                <w:noProof/>
                <w:webHidden/>
              </w:rPr>
              <w:t>16</w:t>
            </w:r>
            <w:r w:rsidR="00C7219B">
              <w:rPr>
                <w:noProof/>
                <w:webHidden/>
              </w:rPr>
              <w:fldChar w:fldCharType="end"/>
            </w:r>
          </w:hyperlink>
        </w:p>
        <w:p w14:paraId="702F83DA" w14:textId="54479C01"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71" w:history="1">
            <w:r w:rsidR="00C7219B" w:rsidRPr="00CC1729">
              <w:rPr>
                <w:rStyle w:val="Hyperlink"/>
                <w:noProof/>
              </w:rPr>
              <w:t>Due diligence</w:t>
            </w:r>
            <w:r w:rsidR="00C7219B">
              <w:rPr>
                <w:noProof/>
                <w:webHidden/>
              </w:rPr>
              <w:tab/>
            </w:r>
            <w:r w:rsidR="00C7219B">
              <w:rPr>
                <w:noProof/>
                <w:webHidden/>
              </w:rPr>
              <w:fldChar w:fldCharType="begin"/>
            </w:r>
            <w:r w:rsidR="00C7219B">
              <w:rPr>
                <w:noProof/>
                <w:webHidden/>
              </w:rPr>
              <w:instrText xml:space="preserve"> PAGEREF _Toc182462571 \h </w:instrText>
            </w:r>
            <w:r w:rsidR="00C7219B">
              <w:rPr>
                <w:noProof/>
                <w:webHidden/>
              </w:rPr>
            </w:r>
            <w:r w:rsidR="00C7219B">
              <w:rPr>
                <w:noProof/>
                <w:webHidden/>
              </w:rPr>
              <w:fldChar w:fldCharType="separate"/>
            </w:r>
            <w:r w:rsidR="00C7219B">
              <w:rPr>
                <w:noProof/>
                <w:webHidden/>
              </w:rPr>
              <w:t>17</w:t>
            </w:r>
            <w:r w:rsidR="00C7219B">
              <w:rPr>
                <w:noProof/>
                <w:webHidden/>
              </w:rPr>
              <w:fldChar w:fldCharType="end"/>
            </w:r>
          </w:hyperlink>
        </w:p>
        <w:p w14:paraId="69E2291B" w14:textId="07F6D1E6"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72" w:history="1">
            <w:r w:rsidR="00C7219B" w:rsidRPr="00CC1729">
              <w:rPr>
                <w:rStyle w:val="Hyperlink"/>
                <w:noProof/>
              </w:rPr>
              <w:t>Contract formation</w:t>
            </w:r>
            <w:r w:rsidR="00C7219B">
              <w:rPr>
                <w:noProof/>
                <w:webHidden/>
              </w:rPr>
              <w:tab/>
            </w:r>
            <w:r w:rsidR="00C7219B">
              <w:rPr>
                <w:noProof/>
                <w:webHidden/>
              </w:rPr>
              <w:fldChar w:fldCharType="begin"/>
            </w:r>
            <w:r w:rsidR="00C7219B">
              <w:rPr>
                <w:noProof/>
                <w:webHidden/>
              </w:rPr>
              <w:instrText xml:space="preserve"> PAGEREF _Toc182462572 \h </w:instrText>
            </w:r>
            <w:r w:rsidR="00C7219B">
              <w:rPr>
                <w:noProof/>
                <w:webHidden/>
              </w:rPr>
            </w:r>
            <w:r w:rsidR="00C7219B">
              <w:rPr>
                <w:noProof/>
                <w:webHidden/>
              </w:rPr>
              <w:fldChar w:fldCharType="separate"/>
            </w:r>
            <w:r w:rsidR="00C7219B">
              <w:rPr>
                <w:noProof/>
                <w:webHidden/>
              </w:rPr>
              <w:t>17</w:t>
            </w:r>
            <w:r w:rsidR="00C7219B">
              <w:rPr>
                <w:noProof/>
                <w:webHidden/>
              </w:rPr>
              <w:fldChar w:fldCharType="end"/>
            </w:r>
          </w:hyperlink>
        </w:p>
        <w:p w14:paraId="244FF06A" w14:textId="4CC5CB0A"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73" w:history="1">
            <w:r w:rsidR="00C7219B" w:rsidRPr="00CC1729">
              <w:rPr>
                <w:rStyle w:val="Hyperlink"/>
                <w:noProof/>
              </w:rPr>
              <w:t>Contract award and management</w:t>
            </w:r>
            <w:r w:rsidR="00C7219B">
              <w:rPr>
                <w:noProof/>
                <w:webHidden/>
              </w:rPr>
              <w:tab/>
            </w:r>
            <w:r w:rsidR="00C7219B">
              <w:rPr>
                <w:noProof/>
                <w:webHidden/>
              </w:rPr>
              <w:fldChar w:fldCharType="begin"/>
            </w:r>
            <w:r w:rsidR="00C7219B">
              <w:rPr>
                <w:noProof/>
                <w:webHidden/>
              </w:rPr>
              <w:instrText xml:space="preserve"> PAGEREF _Toc182462573 \h </w:instrText>
            </w:r>
            <w:r w:rsidR="00C7219B">
              <w:rPr>
                <w:noProof/>
                <w:webHidden/>
              </w:rPr>
            </w:r>
            <w:r w:rsidR="00C7219B">
              <w:rPr>
                <w:noProof/>
                <w:webHidden/>
              </w:rPr>
              <w:fldChar w:fldCharType="separate"/>
            </w:r>
            <w:r w:rsidR="00C7219B">
              <w:rPr>
                <w:noProof/>
                <w:webHidden/>
              </w:rPr>
              <w:t>18</w:t>
            </w:r>
            <w:r w:rsidR="00C7219B">
              <w:rPr>
                <w:noProof/>
                <w:webHidden/>
              </w:rPr>
              <w:fldChar w:fldCharType="end"/>
            </w:r>
          </w:hyperlink>
        </w:p>
        <w:p w14:paraId="29C6D2CC" w14:textId="6E3FE34A" w:rsidR="00C7219B" w:rsidRDefault="00D2597E">
          <w:pPr>
            <w:pStyle w:val="TOC1"/>
            <w:rPr>
              <w:rFonts w:asciiTheme="minorHAnsi" w:eastAsiaTheme="minorEastAsia" w:hAnsiTheme="minorHAnsi" w:cstheme="minorBidi"/>
              <w:b w:val="0"/>
              <w:bCs w:val="0"/>
              <w:noProof/>
              <w:color w:val="auto"/>
              <w:kern w:val="2"/>
              <w:sz w:val="24"/>
              <w:szCs w:val="24"/>
              <w14:ligatures w14:val="standardContextual"/>
            </w:rPr>
          </w:pPr>
          <w:hyperlink w:anchor="_Toc182462574" w:history="1">
            <w:r w:rsidR="00C7219B" w:rsidRPr="00CC1729">
              <w:rPr>
                <w:rStyle w:val="Hyperlink"/>
                <w:rFonts w:eastAsiaTheme="majorEastAsia"/>
                <w:noProof/>
              </w:rPr>
              <w:t>Probity considerations</w:t>
            </w:r>
            <w:r w:rsidR="00C7219B">
              <w:rPr>
                <w:noProof/>
                <w:webHidden/>
              </w:rPr>
              <w:tab/>
            </w:r>
            <w:r w:rsidR="00C7219B">
              <w:rPr>
                <w:noProof/>
                <w:webHidden/>
              </w:rPr>
              <w:fldChar w:fldCharType="begin"/>
            </w:r>
            <w:r w:rsidR="00C7219B">
              <w:rPr>
                <w:noProof/>
                <w:webHidden/>
              </w:rPr>
              <w:instrText xml:space="preserve"> PAGEREF _Toc182462574 \h </w:instrText>
            </w:r>
            <w:r w:rsidR="00C7219B">
              <w:rPr>
                <w:noProof/>
                <w:webHidden/>
              </w:rPr>
            </w:r>
            <w:r w:rsidR="00C7219B">
              <w:rPr>
                <w:noProof/>
                <w:webHidden/>
              </w:rPr>
              <w:fldChar w:fldCharType="separate"/>
            </w:r>
            <w:r w:rsidR="00C7219B">
              <w:rPr>
                <w:noProof/>
                <w:webHidden/>
              </w:rPr>
              <w:t>18</w:t>
            </w:r>
            <w:r w:rsidR="00C7219B">
              <w:rPr>
                <w:noProof/>
                <w:webHidden/>
              </w:rPr>
              <w:fldChar w:fldCharType="end"/>
            </w:r>
          </w:hyperlink>
        </w:p>
        <w:p w14:paraId="4B91B01B" w14:textId="555760DF"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75" w:history="1">
            <w:r w:rsidR="00C7219B" w:rsidRPr="00CC1729">
              <w:rPr>
                <w:rStyle w:val="Hyperlink"/>
                <w:noProof/>
              </w:rPr>
              <w:t>Probity overview</w:t>
            </w:r>
            <w:r w:rsidR="00C7219B">
              <w:rPr>
                <w:noProof/>
                <w:webHidden/>
              </w:rPr>
              <w:tab/>
            </w:r>
            <w:r w:rsidR="00C7219B">
              <w:rPr>
                <w:noProof/>
                <w:webHidden/>
              </w:rPr>
              <w:fldChar w:fldCharType="begin"/>
            </w:r>
            <w:r w:rsidR="00C7219B">
              <w:rPr>
                <w:noProof/>
                <w:webHidden/>
              </w:rPr>
              <w:instrText xml:space="preserve"> PAGEREF _Toc182462575 \h </w:instrText>
            </w:r>
            <w:r w:rsidR="00C7219B">
              <w:rPr>
                <w:noProof/>
                <w:webHidden/>
              </w:rPr>
            </w:r>
            <w:r w:rsidR="00C7219B">
              <w:rPr>
                <w:noProof/>
                <w:webHidden/>
              </w:rPr>
              <w:fldChar w:fldCharType="separate"/>
            </w:r>
            <w:r w:rsidR="00C7219B">
              <w:rPr>
                <w:noProof/>
                <w:webHidden/>
              </w:rPr>
              <w:t>18</w:t>
            </w:r>
            <w:r w:rsidR="00C7219B">
              <w:rPr>
                <w:noProof/>
                <w:webHidden/>
              </w:rPr>
              <w:fldChar w:fldCharType="end"/>
            </w:r>
          </w:hyperlink>
        </w:p>
        <w:p w14:paraId="2F1DC70A" w14:textId="07E7FBF5"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76" w:history="1">
            <w:r w:rsidR="00C7219B" w:rsidRPr="00CC1729">
              <w:rPr>
                <w:rStyle w:val="Hyperlink"/>
                <w:noProof/>
              </w:rPr>
              <w:t>Ensuring probity when applying the best practice principles to procurement</w:t>
            </w:r>
            <w:r w:rsidR="00C7219B">
              <w:rPr>
                <w:noProof/>
                <w:webHidden/>
              </w:rPr>
              <w:tab/>
            </w:r>
            <w:r w:rsidR="00C7219B">
              <w:rPr>
                <w:noProof/>
                <w:webHidden/>
              </w:rPr>
              <w:fldChar w:fldCharType="begin"/>
            </w:r>
            <w:r w:rsidR="00C7219B">
              <w:rPr>
                <w:noProof/>
                <w:webHidden/>
              </w:rPr>
              <w:instrText xml:space="preserve"> PAGEREF _Toc182462576 \h </w:instrText>
            </w:r>
            <w:r w:rsidR="00C7219B">
              <w:rPr>
                <w:noProof/>
                <w:webHidden/>
              </w:rPr>
            </w:r>
            <w:r w:rsidR="00C7219B">
              <w:rPr>
                <w:noProof/>
                <w:webHidden/>
              </w:rPr>
              <w:fldChar w:fldCharType="separate"/>
            </w:r>
            <w:r w:rsidR="00C7219B">
              <w:rPr>
                <w:noProof/>
                <w:webHidden/>
              </w:rPr>
              <w:t>19</w:t>
            </w:r>
            <w:r w:rsidR="00C7219B">
              <w:rPr>
                <w:noProof/>
                <w:webHidden/>
              </w:rPr>
              <w:fldChar w:fldCharType="end"/>
            </w:r>
          </w:hyperlink>
        </w:p>
        <w:p w14:paraId="24698C32" w14:textId="6A6D5FD0" w:rsidR="00C7219B" w:rsidRDefault="00D2597E">
          <w:pPr>
            <w:pStyle w:val="TOC1"/>
            <w:rPr>
              <w:rFonts w:asciiTheme="minorHAnsi" w:eastAsiaTheme="minorEastAsia" w:hAnsiTheme="minorHAnsi" w:cstheme="minorBidi"/>
              <w:b w:val="0"/>
              <w:bCs w:val="0"/>
              <w:noProof/>
              <w:color w:val="auto"/>
              <w:kern w:val="2"/>
              <w:sz w:val="24"/>
              <w:szCs w:val="24"/>
              <w14:ligatures w14:val="standardContextual"/>
            </w:rPr>
          </w:pPr>
          <w:hyperlink w:anchor="_Toc182462577" w:history="1">
            <w:r w:rsidR="00C7219B" w:rsidRPr="00CC1729">
              <w:rPr>
                <w:rStyle w:val="Hyperlink"/>
                <w:rFonts w:eastAsiaTheme="majorEastAsia"/>
                <w:noProof/>
              </w:rPr>
              <w:t>Compliance</w:t>
            </w:r>
            <w:r w:rsidR="00C7219B">
              <w:rPr>
                <w:noProof/>
                <w:webHidden/>
              </w:rPr>
              <w:tab/>
            </w:r>
            <w:r w:rsidR="00C7219B">
              <w:rPr>
                <w:noProof/>
                <w:webHidden/>
              </w:rPr>
              <w:fldChar w:fldCharType="begin"/>
            </w:r>
            <w:r w:rsidR="00C7219B">
              <w:rPr>
                <w:noProof/>
                <w:webHidden/>
              </w:rPr>
              <w:instrText xml:space="preserve"> PAGEREF _Toc182462577 \h </w:instrText>
            </w:r>
            <w:r w:rsidR="00C7219B">
              <w:rPr>
                <w:noProof/>
                <w:webHidden/>
              </w:rPr>
            </w:r>
            <w:r w:rsidR="00C7219B">
              <w:rPr>
                <w:noProof/>
                <w:webHidden/>
              </w:rPr>
              <w:fldChar w:fldCharType="separate"/>
            </w:r>
            <w:r w:rsidR="00C7219B">
              <w:rPr>
                <w:noProof/>
                <w:webHidden/>
              </w:rPr>
              <w:t>19</w:t>
            </w:r>
            <w:r w:rsidR="00C7219B">
              <w:rPr>
                <w:noProof/>
                <w:webHidden/>
              </w:rPr>
              <w:fldChar w:fldCharType="end"/>
            </w:r>
          </w:hyperlink>
        </w:p>
        <w:p w14:paraId="00343189" w14:textId="14637799" w:rsidR="00C7219B" w:rsidRDefault="00D2597E">
          <w:pPr>
            <w:pStyle w:val="TOC1"/>
            <w:rPr>
              <w:rFonts w:asciiTheme="minorHAnsi" w:eastAsiaTheme="minorEastAsia" w:hAnsiTheme="minorHAnsi" w:cstheme="minorBidi"/>
              <w:b w:val="0"/>
              <w:bCs w:val="0"/>
              <w:noProof/>
              <w:color w:val="auto"/>
              <w:kern w:val="2"/>
              <w:sz w:val="24"/>
              <w:szCs w:val="24"/>
              <w14:ligatures w14:val="standardContextual"/>
            </w:rPr>
          </w:pPr>
          <w:hyperlink w:anchor="_Toc182462578" w:history="1">
            <w:r w:rsidR="00C7219B" w:rsidRPr="00CC1729">
              <w:rPr>
                <w:rStyle w:val="Hyperlink"/>
                <w:rFonts w:eastAsiaTheme="majorEastAsia"/>
                <w:noProof/>
              </w:rPr>
              <w:t>Advice about applying the best practice principles</w:t>
            </w:r>
            <w:r w:rsidR="00C7219B">
              <w:rPr>
                <w:noProof/>
                <w:webHidden/>
              </w:rPr>
              <w:tab/>
            </w:r>
            <w:r w:rsidR="00C7219B">
              <w:rPr>
                <w:noProof/>
                <w:webHidden/>
              </w:rPr>
              <w:fldChar w:fldCharType="begin"/>
            </w:r>
            <w:r w:rsidR="00C7219B">
              <w:rPr>
                <w:noProof/>
                <w:webHidden/>
              </w:rPr>
              <w:instrText xml:space="preserve"> PAGEREF _Toc182462578 \h </w:instrText>
            </w:r>
            <w:r w:rsidR="00C7219B">
              <w:rPr>
                <w:noProof/>
                <w:webHidden/>
              </w:rPr>
            </w:r>
            <w:r w:rsidR="00C7219B">
              <w:rPr>
                <w:noProof/>
                <w:webHidden/>
              </w:rPr>
              <w:fldChar w:fldCharType="separate"/>
            </w:r>
            <w:r w:rsidR="00C7219B">
              <w:rPr>
                <w:noProof/>
                <w:webHidden/>
              </w:rPr>
              <w:t>19</w:t>
            </w:r>
            <w:r w:rsidR="00C7219B">
              <w:rPr>
                <w:noProof/>
                <w:webHidden/>
              </w:rPr>
              <w:fldChar w:fldCharType="end"/>
            </w:r>
          </w:hyperlink>
        </w:p>
        <w:p w14:paraId="6D5D004D" w14:textId="31258E04" w:rsidR="00C7219B" w:rsidRDefault="00D2597E">
          <w:pPr>
            <w:pStyle w:val="TOC1"/>
            <w:rPr>
              <w:rFonts w:asciiTheme="minorHAnsi" w:eastAsiaTheme="minorEastAsia" w:hAnsiTheme="minorHAnsi" w:cstheme="minorBidi"/>
              <w:b w:val="0"/>
              <w:bCs w:val="0"/>
              <w:noProof/>
              <w:color w:val="auto"/>
              <w:kern w:val="2"/>
              <w:sz w:val="24"/>
              <w:szCs w:val="24"/>
              <w14:ligatures w14:val="standardContextual"/>
            </w:rPr>
          </w:pPr>
          <w:hyperlink w:anchor="_Toc182462579" w:history="1">
            <w:r w:rsidR="00C7219B" w:rsidRPr="00CC1729">
              <w:rPr>
                <w:rStyle w:val="Hyperlink"/>
                <w:rFonts w:eastAsiaTheme="majorEastAsia"/>
                <w:noProof/>
              </w:rPr>
              <w:t>Definitions</w:t>
            </w:r>
            <w:r w:rsidR="00C7219B">
              <w:rPr>
                <w:noProof/>
                <w:webHidden/>
              </w:rPr>
              <w:tab/>
            </w:r>
            <w:r w:rsidR="00C7219B">
              <w:rPr>
                <w:noProof/>
                <w:webHidden/>
              </w:rPr>
              <w:fldChar w:fldCharType="begin"/>
            </w:r>
            <w:r w:rsidR="00C7219B">
              <w:rPr>
                <w:noProof/>
                <w:webHidden/>
              </w:rPr>
              <w:instrText xml:space="preserve"> PAGEREF _Toc182462579 \h </w:instrText>
            </w:r>
            <w:r w:rsidR="00C7219B">
              <w:rPr>
                <w:noProof/>
                <w:webHidden/>
              </w:rPr>
            </w:r>
            <w:r w:rsidR="00C7219B">
              <w:rPr>
                <w:noProof/>
                <w:webHidden/>
              </w:rPr>
              <w:fldChar w:fldCharType="separate"/>
            </w:r>
            <w:r w:rsidR="00C7219B">
              <w:rPr>
                <w:noProof/>
                <w:webHidden/>
              </w:rPr>
              <w:t>20</w:t>
            </w:r>
            <w:r w:rsidR="00C7219B">
              <w:rPr>
                <w:noProof/>
                <w:webHidden/>
              </w:rPr>
              <w:fldChar w:fldCharType="end"/>
            </w:r>
          </w:hyperlink>
        </w:p>
        <w:p w14:paraId="23E17845" w14:textId="01571284" w:rsidR="00C7219B" w:rsidRDefault="00D2597E">
          <w:pPr>
            <w:pStyle w:val="TOC1"/>
            <w:rPr>
              <w:rFonts w:asciiTheme="minorHAnsi" w:eastAsiaTheme="minorEastAsia" w:hAnsiTheme="minorHAnsi" w:cstheme="minorBidi"/>
              <w:b w:val="0"/>
              <w:bCs w:val="0"/>
              <w:noProof/>
              <w:color w:val="auto"/>
              <w:kern w:val="2"/>
              <w:sz w:val="24"/>
              <w:szCs w:val="24"/>
              <w14:ligatures w14:val="standardContextual"/>
            </w:rPr>
          </w:pPr>
          <w:hyperlink w:anchor="_Toc182462580" w:history="1">
            <w:r w:rsidR="00C7219B" w:rsidRPr="00CC1729">
              <w:rPr>
                <w:rStyle w:val="Hyperlink"/>
                <w:rFonts w:eastAsiaTheme="majorEastAsia"/>
                <w:noProof/>
              </w:rPr>
              <w:t>Appendix 1 – Example subject areas related to each best practice principle</w:t>
            </w:r>
            <w:r w:rsidR="00C7219B">
              <w:rPr>
                <w:noProof/>
                <w:webHidden/>
              </w:rPr>
              <w:tab/>
            </w:r>
            <w:r w:rsidR="00C7219B">
              <w:rPr>
                <w:noProof/>
                <w:webHidden/>
              </w:rPr>
              <w:fldChar w:fldCharType="begin"/>
            </w:r>
            <w:r w:rsidR="00C7219B">
              <w:rPr>
                <w:noProof/>
                <w:webHidden/>
              </w:rPr>
              <w:instrText xml:space="preserve"> PAGEREF _Toc182462580 \h </w:instrText>
            </w:r>
            <w:r w:rsidR="00C7219B">
              <w:rPr>
                <w:noProof/>
                <w:webHidden/>
              </w:rPr>
            </w:r>
            <w:r w:rsidR="00C7219B">
              <w:rPr>
                <w:noProof/>
                <w:webHidden/>
              </w:rPr>
              <w:fldChar w:fldCharType="separate"/>
            </w:r>
            <w:r w:rsidR="00C7219B">
              <w:rPr>
                <w:noProof/>
                <w:webHidden/>
              </w:rPr>
              <w:t>22</w:t>
            </w:r>
            <w:r w:rsidR="00C7219B">
              <w:rPr>
                <w:noProof/>
                <w:webHidden/>
              </w:rPr>
              <w:fldChar w:fldCharType="end"/>
            </w:r>
          </w:hyperlink>
        </w:p>
        <w:p w14:paraId="1BCFBF51" w14:textId="5AAC3A71" w:rsidR="00C7219B" w:rsidRDefault="00D2597E">
          <w:pPr>
            <w:pStyle w:val="TOC1"/>
            <w:rPr>
              <w:rFonts w:asciiTheme="minorHAnsi" w:eastAsiaTheme="minorEastAsia" w:hAnsiTheme="minorHAnsi" w:cstheme="minorBidi"/>
              <w:b w:val="0"/>
              <w:bCs w:val="0"/>
              <w:noProof/>
              <w:color w:val="auto"/>
              <w:kern w:val="2"/>
              <w:sz w:val="24"/>
              <w:szCs w:val="24"/>
              <w14:ligatures w14:val="standardContextual"/>
            </w:rPr>
          </w:pPr>
          <w:hyperlink w:anchor="_Toc182462581" w:history="1">
            <w:r w:rsidR="00C7219B" w:rsidRPr="00CC1729">
              <w:rPr>
                <w:rStyle w:val="Hyperlink"/>
                <w:rFonts w:eastAsiaTheme="majorEastAsia"/>
                <w:noProof/>
              </w:rPr>
              <w:t>Appendix 2 – Example indicators of best practice</w:t>
            </w:r>
            <w:r w:rsidR="00C7219B">
              <w:rPr>
                <w:noProof/>
                <w:webHidden/>
              </w:rPr>
              <w:tab/>
            </w:r>
            <w:r w:rsidR="00C7219B">
              <w:rPr>
                <w:noProof/>
                <w:webHidden/>
              </w:rPr>
              <w:fldChar w:fldCharType="begin"/>
            </w:r>
            <w:r w:rsidR="00C7219B">
              <w:rPr>
                <w:noProof/>
                <w:webHidden/>
              </w:rPr>
              <w:instrText xml:space="preserve"> PAGEREF _Toc182462581 \h </w:instrText>
            </w:r>
            <w:r w:rsidR="00C7219B">
              <w:rPr>
                <w:noProof/>
                <w:webHidden/>
              </w:rPr>
            </w:r>
            <w:r w:rsidR="00C7219B">
              <w:rPr>
                <w:noProof/>
                <w:webHidden/>
              </w:rPr>
              <w:fldChar w:fldCharType="separate"/>
            </w:r>
            <w:r w:rsidR="00C7219B">
              <w:rPr>
                <w:noProof/>
                <w:webHidden/>
              </w:rPr>
              <w:t>23</w:t>
            </w:r>
            <w:r w:rsidR="00C7219B">
              <w:rPr>
                <w:noProof/>
                <w:webHidden/>
              </w:rPr>
              <w:fldChar w:fldCharType="end"/>
            </w:r>
          </w:hyperlink>
        </w:p>
        <w:p w14:paraId="0BEB4E83" w14:textId="44DE6B96" w:rsidR="00C7219B" w:rsidRDefault="00D2597E">
          <w:pPr>
            <w:pStyle w:val="TOC1"/>
            <w:rPr>
              <w:rFonts w:asciiTheme="minorHAnsi" w:eastAsiaTheme="minorEastAsia" w:hAnsiTheme="minorHAnsi" w:cstheme="minorBidi"/>
              <w:b w:val="0"/>
              <w:bCs w:val="0"/>
              <w:noProof/>
              <w:color w:val="auto"/>
              <w:kern w:val="2"/>
              <w:sz w:val="24"/>
              <w:szCs w:val="24"/>
              <w14:ligatures w14:val="standardContextual"/>
            </w:rPr>
          </w:pPr>
          <w:hyperlink w:anchor="_Toc182462582" w:history="1">
            <w:r w:rsidR="00C7219B" w:rsidRPr="00CC1729">
              <w:rPr>
                <w:rStyle w:val="Hyperlink"/>
                <w:rFonts w:eastAsiaTheme="majorEastAsia"/>
                <w:noProof/>
              </w:rPr>
              <w:t>Appendix 3 – Key steps in the application of the best practice principles</w:t>
            </w:r>
            <w:r w:rsidR="00C7219B">
              <w:rPr>
                <w:noProof/>
                <w:webHidden/>
              </w:rPr>
              <w:tab/>
            </w:r>
            <w:r w:rsidR="00C7219B">
              <w:rPr>
                <w:noProof/>
                <w:webHidden/>
              </w:rPr>
              <w:fldChar w:fldCharType="begin"/>
            </w:r>
            <w:r w:rsidR="00C7219B">
              <w:rPr>
                <w:noProof/>
                <w:webHidden/>
              </w:rPr>
              <w:instrText xml:space="preserve"> PAGEREF _Toc182462582 \h </w:instrText>
            </w:r>
            <w:r w:rsidR="00C7219B">
              <w:rPr>
                <w:noProof/>
                <w:webHidden/>
              </w:rPr>
            </w:r>
            <w:r w:rsidR="00C7219B">
              <w:rPr>
                <w:noProof/>
                <w:webHidden/>
              </w:rPr>
              <w:fldChar w:fldCharType="separate"/>
            </w:r>
            <w:r w:rsidR="00C7219B">
              <w:rPr>
                <w:noProof/>
                <w:webHidden/>
              </w:rPr>
              <w:t>25</w:t>
            </w:r>
            <w:r w:rsidR="00C7219B">
              <w:rPr>
                <w:noProof/>
                <w:webHidden/>
              </w:rPr>
              <w:fldChar w:fldCharType="end"/>
            </w:r>
          </w:hyperlink>
        </w:p>
        <w:p w14:paraId="5D2FA106" w14:textId="16C84971"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83" w:history="1">
            <w:r w:rsidR="00C7219B" w:rsidRPr="00CC1729">
              <w:rPr>
                <w:rStyle w:val="Hyperlink"/>
                <w:noProof/>
              </w:rPr>
              <w:t>Step 1: When do the best practice principles apply to a project?</w:t>
            </w:r>
            <w:r w:rsidR="00C7219B">
              <w:rPr>
                <w:noProof/>
                <w:webHidden/>
              </w:rPr>
              <w:tab/>
            </w:r>
            <w:r w:rsidR="00C7219B">
              <w:rPr>
                <w:noProof/>
                <w:webHidden/>
              </w:rPr>
              <w:fldChar w:fldCharType="begin"/>
            </w:r>
            <w:r w:rsidR="00C7219B">
              <w:rPr>
                <w:noProof/>
                <w:webHidden/>
              </w:rPr>
              <w:instrText xml:space="preserve"> PAGEREF _Toc182462583 \h </w:instrText>
            </w:r>
            <w:r w:rsidR="00C7219B">
              <w:rPr>
                <w:noProof/>
                <w:webHidden/>
              </w:rPr>
            </w:r>
            <w:r w:rsidR="00C7219B">
              <w:rPr>
                <w:noProof/>
                <w:webHidden/>
              </w:rPr>
              <w:fldChar w:fldCharType="separate"/>
            </w:r>
            <w:r w:rsidR="00C7219B">
              <w:rPr>
                <w:noProof/>
                <w:webHidden/>
              </w:rPr>
              <w:t>25</w:t>
            </w:r>
            <w:r w:rsidR="00C7219B">
              <w:rPr>
                <w:noProof/>
                <w:webHidden/>
              </w:rPr>
              <w:fldChar w:fldCharType="end"/>
            </w:r>
          </w:hyperlink>
        </w:p>
        <w:p w14:paraId="07414E2E" w14:textId="5AB88449"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84" w:history="1">
            <w:r w:rsidR="00C7219B" w:rsidRPr="00CC1729">
              <w:rPr>
                <w:rStyle w:val="Hyperlink"/>
                <w:noProof/>
              </w:rPr>
              <w:t>Step 2: How to apply the best practice principles during each stage of the procurement cycle</w:t>
            </w:r>
            <w:r w:rsidR="00C7219B">
              <w:rPr>
                <w:noProof/>
                <w:webHidden/>
              </w:rPr>
              <w:tab/>
            </w:r>
            <w:r w:rsidR="00C7219B">
              <w:rPr>
                <w:noProof/>
                <w:webHidden/>
              </w:rPr>
              <w:fldChar w:fldCharType="begin"/>
            </w:r>
            <w:r w:rsidR="00C7219B">
              <w:rPr>
                <w:noProof/>
                <w:webHidden/>
              </w:rPr>
              <w:instrText xml:space="preserve"> PAGEREF _Toc182462584 \h </w:instrText>
            </w:r>
            <w:r w:rsidR="00C7219B">
              <w:rPr>
                <w:noProof/>
                <w:webHidden/>
              </w:rPr>
            </w:r>
            <w:r w:rsidR="00C7219B">
              <w:rPr>
                <w:noProof/>
                <w:webHidden/>
              </w:rPr>
              <w:fldChar w:fldCharType="separate"/>
            </w:r>
            <w:r w:rsidR="00C7219B">
              <w:rPr>
                <w:noProof/>
                <w:webHidden/>
              </w:rPr>
              <w:t>25</w:t>
            </w:r>
            <w:r w:rsidR="00C7219B">
              <w:rPr>
                <w:noProof/>
                <w:webHidden/>
              </w:rPr>
              <w:fldChar w:fldCharType="end"/>
            </w:r>
          </w:hyperlink>
        </w:p>
        <w:p w14:paraId="6F60FCDF" w14:textId="22D1932E"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85" w:history="1">
            <w:r w:rsidR="00C7219B" w:rsidRPr="00CC1729">
              <w:rPr>
                <w:rStyle w:val="Hyperlink"/>
                <w:noProof/>
              </w:rPr>
              <w:t>Procurement strategy development</w:t>
            </w:r>
            <w:r w:rsidR="00C7219B">
              <w:rPr>
                <w:noProof/>
                <w:webHidden/>
              </w:rPr>
              <w:tab/>
            </w:r>
            <w:r w:rsidR="00C7219B">
              <w:rPr>
                <w:noProof/>
                <w:webHidden/>
              </w:rPr>
              <w:fldChar w:fldCharType="begin"/>
            </w:r>
            <w:r w:rsidR="00C7219B">
              <w:rPr>
                <w:noProof/>
                <w:webHidden/>
              </w:rPr>
              <w:instrText xml:space="preserve"> PAGEREF _Toc182462585 \h </w:instrText>
            </w:r>
            <w:r w:rsidR="00C7219B">
              <w:rPr>
                <w:noProof/>
                <w:webHidden/>
              </w:rPr>
            </w:r>
            <w:r w:rsidR="00C7219B">
              <w:rPr>
                <w:noProof/>
                <w:webHidden/>
              </w:rPr>
              <w:fldChar w:fldCharType="separate"/>
            </w:r>
            <w:r w:rsidR="00C7219B">
              <w:rPr>
                <w:noProof/>
                <w:webHidden/>
              </w:rPr>
              <w:t>25</w:t>
            </w:r>
            <w:r w:rsidR="00C7219B">
              <w:rPr>
                <w:noProof/>
                <w:webHidden/>
              </w:rPr>
              <w:fldChar w:fldCharType="end"/>
            </w:r>
          </w:hyperlink>
        </w:p>
        <w:p w14:paraId="76D1DFC2" w14:textId="1298C22D"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86" w:history="1">
            <w:r w:rsidR="00C7219B" w:rsidRPr="00CC1729">
              <w:rPr>
                <w:rStyle w:val="Hyperlink"/>
                <w:noProof/>
              </w:rPr>
              <w:t>Tender development</w:t>
            </w:r>
            <w:r w:rsidR="00C7219B">
              <w:rPr>
                <w:noProof/>
                <w:webHidden/>
              </w:rPr>
              <w:tab/>
            </w:r>
            <w:r w:rsidR="00C7219B">
              <w:rPr>
                <w:noProof/>
                <w:webHidden/>
              </w:rPr>
              <w:fldChar w:fldCharType="begin"/>
            </w:r>
            <w:r w:rsidR="00C7219B">
              <w:rPr>
                <w:noProof/>
                <w:webHidden/>
              </w:rPr>
              <w:instrText xml:space="preserve"> PAGEREF _Toc182462586 \h </w:instrText>
            </w:r>
            <w:r w:rsidR="00C7219B">
              <w:rPr>
                <w:noProof/>
                <w:webHidden/>
              </w:rPr>
            </w:r>
            <w:r w:rsidR="00C7219B">
              <w:rPr>
                <w:noProof/>
                <w:webHidden/>
              </w:rPr>
              <w:fldChar w:fldCharType="separate"/>
            </w:r>
            <w:r w:rsidR="00C7219B">
              <w:rPr>
                <w:noProof/>
                <w:webHidden/>
              </w:rPr>
              <w:t>26</w:t>
            </w:r>
            <w:r w:rsidR="00C7219B">
              <w:rPr>
                <w:noProof/>
                <w:webHidden/>
              </w:rPr>
              <w:fldChar w:fldCharType="end"/>
            </w:r>
          </w:hyperlink>
        </w:p>
        <w:p w14:paraId="6C821347" w14:textId="6B894A78"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87" w:history="1">
            <w:r w:rsidR="00C7219B" w:rsidRPr="00CC1729">
              <w:rPr>
                <w:rStyle w:val="Hyperlink"/>
                <w:noProof/>
              </w:rPr>
              <w:t>Go to market</w:t>
            </w:r>
            <w:r w:rsidR="00C7219B">
              <w:rPr>
                <w:noProof/>
                <w:webHidden/>
              </w:rPr>
              <w:tab/>
            </w:r>
            <w:r w:rsidR="00C7219B">
              <w:rPr>
                <w:noProof/>
                <w:webHidden/>
              </w:rPr>
              <w:fldChar w:fldCharType="begin"/>
            </w:r>
            <w:r w:rsidR="00C7219B">
              <w:rPr>
                <w:noProof/>
                <w:webHidden/>
              </w:rPr>
              <w:instrText xml:space="preserve"> PAGEREF _Toc182462587 \h </w:instrText>
            </w:r>
            <w:r w:rsidR="00C7219B">
              <w:rPr>
                <w:noProof/>
                <w:webHidden/>
              </w:rPr>
            </w:r>
            <w:r w:rsidR="00C7219B">
              <w:rPr>
                <w:noProof/>
                <w:webHidden/>
              </w:rPr>
              <w:fldChar w:fldCharType="separate"/>
            </w:r>
            <w:r w:rsidR="00C7219B">
              <w:rPr>
                <w:noProof/>
                <w:webHidden/>
              </w:rPr>
              <w:t>27</w:t>
            </w:r>
            <w:r w:rsidR="00C7219B">
              <w:rPr>
                <w:noProof/>
                <w:webHidden/>
              </w:rPr>
              <w:fldChar w:fldCharType="end"/>
            </w:r>
          </w:hyperlink>
        </w:p>
        <w:p w14:paraId="552A8A18" w14:textId="71A38676"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88" w:history="1">
            <w:r w:rsidR="00C7219B" w:rsidRPr="00CC1729">
              <w:rPr>
                <w:rStyle w:val="Hyperlink"/>
                <w:noProof/>
              </w:rPr>
              <w:t>Evaluation</w:t>
            </w:r>
            <w:r w:rsidR="00C7219B">
              <w:rPr>
                <w:noProof/>
                <w:webHidden/>
              </w:rPr>
              <w:tab/>
            </w:r>
            <w:r w:rsidR="00C7219B">
              <w:rPr>
                <w:noProof/>
                <w:webHidden/>
              </w:rPr>
              <w:fldChar w:fldCharType="begin"/>
            </w:r>
            <w:r w:rsidR="00C7219B">
              <w:rPr>
                <w:noProof/>
                <w:webHidden/>
              </w:rPr>
              <w:instrText xml:space="preserve"> PAGEREF _Toc182462588 \h </w:instrText>
            </w:r>
            <w:r w:rsidR="00C7219B">
              <w:rPr>
                <w:noProof/>
                <w:webHidden/>
              </w:rPr>
            </w:r>
            <w:r w:rsidR="00C7219B">
              <w:rPr>
                <w:noProof/>
                <w:webHidden/>
              </w:rPr>
              <w:fldChar w:fldCharType="separate"/>
            </w:r>
            <w:r w:rsidR="00C7219B">
              <w:rPr>
                <w:noProof/>
                <w:webHidden/>
              </w:rPr>
              <w:t>27</w:t>
            </w:r>
            <w:r w:rsidR="00C7219B">
              <w:rPr>
                <w:noProof/>
                <w:webHidden/>
              </w:rPr>
              <w:fldChar w:fldCharType="end"/>
            </w:r>
          </w:hyperlink>
        </w:p>
        <w:p w14:paraId="5C00ABEF" w14:textId="1E6CC7A5"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89" w:history="1">
            <w:r w:rsidR="00C7219B" w:rsidRPr="00CC1729">
              <w:rPr>
                <w:rStyle w:val="Hyperlink"/>
                <w:noProof/>
              </w:rPr>
              <w:t>Contract formation and award</w:t>
            </w:r>
            <w:r w:rsidR="00C7219B">
              <w:rPr>
                <w:noProof/>
                <w:webHidden/>
              </w:rPr>
              <w:tab/>
            </w:r>
            <w:r w:rsidR="00C7219B">
              <w:rPr>
                <w:noProof/>
                <w:webHidden/>
              </w:rPr>
              <w:fldChar w:fldCharType="begin"/>
            </w:r>
            <w:r w:rsidR="00C7219B">
              <w:rPr>
                <w:noProof/>
                <w:webHidden/>
              </w:rPr>
              <w:instrText xml:space="preserve"> PAGEREF _Toc182462589 \h </w:instrText>
            </w:r>
            <w:r w:rsidR="00C7219B">
              <w:rPr>
                <w:noProof/>
                <w:webHidden/>
              </w:rPr>
            </w:r>
            <w:r w:rsidR="00C7219B">
              <w:rPr>
                <w:noProof/>
                <w:webHidden/>
              </w:rPr>
              <w:fldChar w:fldCharType="separate"/>
            </w:r>
            <w:r w:rsidR="00C7219B">
              <w:rPr>
                <w:noProof/>
                <w:webHidden/>
              </w:rPr>
              <w:t>27</w:t>
            </w:r>
            <w:r w:rsidR="00C7219B">
              <w:rPr>
                <w:noProof/>
                <w:webHidden/>
              </w:rPr>
              <w:fldChar w:fldCharType="end"/>
            </w:r>
          </w:hyperlink>
        </w:p>
        <w:p w14:paraId="20D0DB46" w14:textId="237257C8"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90" w:history="1">
            <w:r w:rsidR="00C7219B" w:rsidRPr="00CC1729">
              <w:rPr>
                <w:rStyle w:val="Hyperlink"/>
                <w:noProof/>
              </w:rPr>
              <w:t>Contract management</w:t>
            </w:r>
            <w:r w:rsidR="00C7219B">
              <w:rPr>
                <w:noProof/>
                <w:webHidden/>
              </w:rPr>
              <w:tab/>
            </w:r>
            <w:r w:rsidR="00C7219B">
              <w:rPr>
                <w:noProof/>
                <w:webHidden/>
              </w:rPr>
              <w:fldChar w:fldCharType="begin"/>
            </w:r>
            <w:r w:rsidR="00C7219B">
              <w:rPr>
                <w:noProof/>
                <w:webHidden/>
              </w:rPr>
              <w:instrText xml:space="preserve"> PAGEREF _Toc182462590 \h </w:instrText>
            </w:r>
            <w:r w:rsidR="00C7219B">
              <w:rPr>
                <w:noProof/>
                <w:webHidden/>
              </w:rPr>
            </w:r>
            <w:r w:rsidR="00C7219B">
              <w:rPr>
                <w:noProof/>
                <w:webHidden/>
              </w:rPr>
              <w:fldChar w:fldCharType="separate"/>
            </w:r>
            <w:r w:rsidR="00C7219B">
              <w:rPr>
                <w:noProof/>
                <w:webHidden/>
              </w:rPr>
              <w:t>27</w:t>
            </w:r>
            <w:r w:rsidR="00C7219B">
              <w:rPr>
                <w:noProof/>
                <w:webHidden/>
              </w:rPr>
              <w:fldChar w:fldCharType="end"/>
            </w:r>
          </w:hyperlink>
        </w:p>
        <w:p w14:paraId="0778D20B" w14:textId="322942F9" w:rsidR="00C7219B" w:rsidRDefault="00D2597E">
          <w:pPr>
            <w:pStyle w:val="TOC1"/>
            <w:rPr>
              <w:rFonts w:asciiTheme="minorHAnsi" w:eastAsiaTheme="minorEastAsia" w:hAnsiTheme="minorHAnsi" w:cstheme="minorBidi"/>
              <w:b w:val="0"/>
              <w:bCs w:val="0"/>
              <w:noProof/>
              <w:color w:val="auto"/>
              <w:kern w:val="2"/>
              <w:sz w:val="24"/>
              <w:szCs w:val="24"/>
              <w14:ligatures w14:val="standardContextual"/>
            </w:rPr>
          </w:pPr>
          <w:hyperlink w:anchor="_Toc182462591" w:history="1">
            <w:r w:rsidR="00C7219B" w:rsidRPr="00CC1729">
              <w:rPr>
                <w:rStyle w:val="Hyperlink"/>
                <w:rFonts w:eastAsiaTheme="majorEastAsia"/>
                <w:noProof/>
              </w:rPr>
              <w:t>Appendix 4 – Worked examples for proposing weightings</w:t>
            </w:r>
            <w:r w:rsidR="00C7219B">
              <w:rPr>
                <w:noProof/>
                <w:webHidden/>
              </w:rPr>
              <w:tab/>
            </w:r>
            <w:r w:rsidR="00C7219B">
              <w:rPr>
                <w:noProof/>
                <w:webHidden/>
              </w:rPr>
              <w:fldChar w:fldCharType="begin"/>
            </w:r>
            <w:r w:rsidR="00C7219B">
              <w:rPr>
                <w:noProof/>
                <w:webHidden/>
              </w:rPr>
              <w:instrText xml:space="preserve"> PAGEREF _Toc182462591 \h </w:instrText>
            </w:r>
            <w:r w:rsidR="00C7219B">
              <w:rPr>
                <w:noProof/>
                <w:webHidden/>
              </w:rPr>
            </w:r>
            <w:r w:rsidR="00C7219B">
              <w:rPr>
                <w:noProof/>
                <w:webHidden/>
              </w:rPr>
              <w:fldChar w:fldCharType="separate"/>
            </w:r>
            <w:r w:rsidR="00C7219B">
              <w:rPr>
                <w:noProof/>
                <w:webHidden/>
              </w:rPr>
              <w:t>28</w:t>
            </w:r>
            <w:r w:rsidR="00C7219B">
              <w:rPr>
                <w:noProof/>
                <w:webHidden/>
              </w:rPr>
              <w:fldChar w:fldCharType="end"/>
            </w:r>
          </w:hyperlink>
        </w:p>
        <w:p w14:paraId="411E99A8" w14:textId="239CB902"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92" w:history="1">
            <w:r w:rsidR="00C7219B" w:rsidRPr="00CC1729">
              <w:rPr>
                <w:rStyle w:val="Hyperlink"/>
                <w:noProof/>
              </w:rPr>
              <w:t>In practice – hypothetical examples for determining approved weightings</w:t>
            </w:r>
            <w:r w:rsidR="00C7219B">
              <w:rPr>
                <w:noProof/>
                <w:webHidden/>
              </w:rPr>
              <w:tab/>
            </w:r>
            <w:r w:rsidR="00C7219B">
              <w:rPr>
                <w:noProof/>
                <w:webHidden/>
              </w:rPr>
              <w:fldChar w:fldCharType="begin"/>
            </w:r>
            <w:r w:rsidR="00C7219B">
              <w:rPr>
                <w:noProof/>
                <w:webHidden/>
              </w:rPr>
              <w:instrText xml:space="preserve"> PAGEREF _Toc182462592 \h </w:instrText>
            </w:r>
            <w:r w:rsidR="00C7219B">
              <w:rPr>
                <w:noProof/>
                <w:webHidden/>
              </w:rPr>
            </w:r>
            <w:r w:rsidR="00C7219B">
              <w:rPr>
                <w:noProof/>
                <w:webHidden/>
              </w:rPr>
              <w:fldChar w:fldCharType="separate"/>
            </w:r>
            <w:r w:rsidR="00C7219B">
              <w:rPr>
                <w:noProof/>
                <w:webHidden/>
              </w:rPr>
              <w:t>28</w:t>
            </w:r>
            <w:r w:rsidR="00C7219B">
              <w:rPr>
                <w:noProof/>
                <w:webHidden/>
              </w:rPr>
              <w:fldChar w:fldCharType="end"/>
            </w:r>
          </w:hyperlink>
        </w:p>
        <w:p w14:paraId="4DF99B92" w14:textId="2B6922E2"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93" w:history="1">
            <w:r w:rsidR="00C7219B" w:rsidRPr="00CC1729">
              <w:rPr>
                <w:rStyle w:val="Hyperlink"/>
                <w:noProof/>
              </w:rPr>
              <w:t>Example 1 – Metropolitan Brisbane project</w:t>
            </w:r>
            <w:r w:rsidR="00C7219B">
              <w:rPr>
                <w:noProof/>
                <w:webHidden/>
              </w:rPr>
              <w:tab/>
            </w:r>
            <w:r w:rsidR="00C7219B">
              <w:rPr>
                <w:noProof/>
                <w:webHidden/>
              </w:rPr>
              <w:fldChar w:fldCharType="begin"/>
            </w:r>
            <w:r w:rsidR="00C7219B">
              <w:rPr>
                <w:noProof/>
                <w:webHidden/>
              </w:rPr>
              <w:instrText xml:space="preserve"> PAGEREF _Toc182462593 \h </w:instrText>
            </w:r>
            <w:r w:rsidR="00C7219B">
              <w:rPr>
                <w:noProof/>
                <w:webHidden/>
              </w:rPr>
            </w:r>
            <w:r w:rsidR="00C7219B">
              <w:rPr>
                <w:noProof/>
                <w:webHidden/>
              </w:rPr>
              <w:fldChar w:fldCharType="separate"/>
            </w:r>
            <w:r w:rsidR="00C7219B">
              <w:rPr>
                <w:noProof/>
                <w:webHidden/>
              </w:rPr>
              <w:t>28</w:t>
            </w:r>
            <w:r w:rsidR="00C7219B">
              <w:rPr>
                <w:noProof/>
                <w:webHidden/>
              </w:rPr>
              <w:fldChar w:fldCharType="end"/>
            </w:r>
          </w:hyperlink>
        </w:p>
        <w:p w14:paraId="7BD20C33" w14:textId="529E000B" w:rsidR="00C7219B" w:rsidRDefault="00D2597E">
          <w:pPr>
            <w:pStyle w:val="TOC3"/>
            <w:tabs>
              <w:tab w:val="right" w:leader="dot" w:pos="9346"/>
            </w:tabs>
            <w:rPr>
              <w:rFonts w:asciiTheme="minorHAnsi" w:eastAsiaTheme="minorEastAsia" w:hAnsiTheme="minorHAnsi"/>
              <w:noProof/>
              <w:kern w:val="2"/>
              <w:sz w:val="24"/>
              <w:szCs w:val="24"/>
              <w:lang w:eastAsia="en-AU"/>
              <w14:ligatures w14:val="standardContextual"/>
            </w:rPr>
          </w:pPr>
          <w:hyperlink w:anchor="_Toc182462594" w:history="1">
            <w:r w:rsidR="00C7219B" w:rsidRPr="00CC1729">
              <w:rPr>
                <w:rStyle w:val="Hyperlink"/>
                <w:noProof/>
              </w:rPr>
              <w:t>Example 2 – Regional Queensland project</w:t>
            </w:r>
            <w:r w:rsidR="00C7219B">
              <w:rPr>
                <w:noProof/>
                <w:webHidden/>
              </w:rPr>
              <w:tab/>
            </w:r>
            <w:r w:rsidR="00C7219B">
              <w:rPr>
                <w:noProof/>
                <w:webHidden/>
              </w:rPr>
              <w:fldChar w:fldCharType="begin"/>
            </w:r>
            <w:r w:rsidR="00C7219B">
              <w:rPr>
                <w:noProof/>
                <w:webHidden/>
              </w:rPr>
              <w:instrText xml:space="preserve"> PAGEREF _Toc182462594 \h </w:instrText>
            </w:r>
            <w:r w:rsidR="00C7219B">
              <w:rPr>
                <w:noProof/>
                <w:webHidden/>
              </w:rPr>
            </w:r>
            <w:r w:rsidR="00C7219B">
              <w:rPr>
                <w:noProof/>
                <w:webHidden/>
              </w:rPr>
              <w:fldChar w:fldCharType="separate"/>
            </w:r>
            <w:r w:rsidR="00C7219B">
              <w:rPr>
                <w:noProof/>
                <w:webHidden/>
              </w:rPr>
              <w:t>31</w:t>
            </w:r>
            <w:r w:rsidR="00C7219B">
              <w:rPr>
                <w:noProof/>
                <w:webHidden/>
              </w:rPr>
              <w:fldChar w:fldCharType="end"/>
            </w:r>
          </w:hyperlink>
        </w:p>
        <w:p w14:paraId="442AEA67" w14:textId="63DB7578" w:rsidR="00C7219B" w:rsidRDefault="00D2597E">
          <w:pPr>
            <w:pStyle w:val="TOC1"/>
            <w:rPr>
              <w:rFonts w:asciiTheme="minorHAnsi" w:eastAsiaTheme="minorEastAsia" w:hAnsiTheme="minorHAnsi" w:cstheme="minorBidi"/>
              <w:b w:val="0"/>
              <w:bCs w:val="0"/>
              <w:noProof/>
              <w:color w:val="auto"/>
              <w:kern w:val="2"/>
              <w:sz w:val="24"/>
              <w:szCs w:val="24"/>
              <w14:ligatures w14:val="standardContextual"/>
            </w:rPr>
          </w:pPr>
          <w:hyperlink w:anchor="_Toc182462595" w:history="1">
            <w:r w:rsidR="00C7219B" w:rsidRPr="00CC1729">
              <w:rPr>
                <w:rStyle w:val="Hyperlink"/>
                <w:rFonts w:eastAsiaTheme="majorEastAsia"/>
                <w:noProof/>
              </w:rPr>
              <w:t>Appendix 5 – Example clauses</w:t>
            </w:r>
            <w:r w:rsidR="00C7219B">
              <w:rPr>
                <w:noProof/>
                <w:webHidden/>
              </w:rPr>
              <w:tab/>
            </w:r>
            <w:r w:rsidR="00C7219B">
              <w:rPr>
                <w:noProof/>
                <w:webHidden/>
              </w:rPr>
              <w:fldChar w:fldCharType="begin"/>
            </w:r>
            <w:r w:rsidR="00C7219B">
              <w:rPr>
                <w:noProof/>
                <w:webHidden/>
              </w:rPr>
              <w:instrText xml:space="preserve"> PAGEREF _Toc182462595 \h </w:instrText>
            </w:r>
            <w:r w:rsidR="00C7219B">
              <w:rPr>
                <w:noProof/>
                <w:webHidden/>
              </w:rPr>
            </w:r>
            <w:r w:rsidR="00C7219B">
              <w:rPr>
                <w:noProof/>
                <w:webHidden/>
              </w:rPr>
              <w:fldChar w:fldCharType="separate"/>
            </w:r>
            <w:r w:rsidR="00C7219B">
              <w:rPr>
                <w:noProof/>
                <w:webHidden/>
              </w:rPr>
              <w:t>33</w:t>
            </w:r>
            <w:r w:rsidR="00C7219B">
              <w:rPr>
                <w:noProof/>
                <w:webHidden/>
              </w:rPr>
              <w:fldChar w:fldCharType="end"/>
            </w:r>
          </w:hyperlink>
        </w:p>
        <w:p w14:paraId="3D6F3E38" w14:textId="426769DF" w:rsidR="00C7219B" w:rsidRDefault="00D2597E">
          <w:pPr>
            <w:pStyle w:val="TOC2"/>
            <w:rPr>
              <w:rFonts w:asciiTheme="minorHAnsi" w:eastAsiaTheme="minorEastAsia" w:hAnsiTheme="minorHAnsi"/>
              <w:noProof/>
              <w:kern w:val="2"/>
              <w:sz w:val="24"/>
              <w:szCs w:val="24"/>
              <w:lang w:eastAsia="en-AU"/>
              <w14:ligatures w14:val="standardContextual"/>
            </w:rPr>
          </w:pPr>
          <w:hyperlink w:anchor="_Toc182462596" w:history="1">
            <w:r w:rsidR="00C7219B" w:rsidRPr="00CC1729">
              <w:rPr>
                <w:rStyle w:val="Hyperlink"/>
                <w:noProof/>
              </w:rPr>
              <w:t>Example clauses</w:t>
            </w:r>
            <w:r w:rsidR="00C7219B">
              <w:rPr>
                <w:noProof/>
                <w:webHidden/>
              </w:rPr>
              <w:tab/>
            </w:r>
            <w:r w:rsidR="00C7219B">
              <w:rPr>
                <w:noProof/>
                <w:webHidden/>
              </w:rPr>
              <w:fldChar w:fldCharType="begin"/>
            </w:r>
            <w:r w:rsidR="00C7219B">
              <w:rPr>
                <w:noProof/>
                <w:webHidden/>
              </w:rPr>
              <w:instrText xml:space="preserve"> PAGEREF _Toc182462596 \h </w:instrText>
            </w:r>
            <w:r w:rsidR="00C7219B">
              <w:rPr>
                <w:noProof/>
                <w:webHidden/>
              </w:rPr>
            </w:r>
            <w:r w:rsidR="00C7219B">
              <w:rPr>
                <w:noProof/>
                <w:webHidden/>
              </w:rPr>
              <w:fldChar w:fldCharType="separate"/>
            </w:r>
            <w:r w:rsidR="00C7219B">
              <w:rPr>
                <w:noProof/>
                <w:webHidden/>
              </w:rPr>
              <w:t>33</w:t>
            </w:r>
            <w:r w:rsidR="00C7219B">
              <w:rPr>
                <w:noProof/>
                <w:webHidden/>
              </w:rPr>
              <w:fldChar w:fldCharType="end"/>
            </w:r>
          </w:hyperlink>
        </w:p>
        <w:p w14:paraId="0912C305" w14:textId="6FB2CB26" w:rsidR="002204D1" w:rsidRDefault="00103DB9">
          <w:r>
            <w:rPr>
              <w:b/>
              <w:bCs/>
              <w:noProof/>
            </w:rPr>
            <w:fldChar w:fldCharType="end"/>
          </w:r>
        </w:p>
      </w:sdtContent>
    </w:sdt>
    <w:p w14:paraId="2FD05994" w14:textId="77777777" w:rsidR="00307382" w:rsidRDefault="00103DB9">
      <w:pPr>
        <w:spacing w:line="259" w:lineRule="auto"/>
        <w:rPr>
          <w:rFonts w:eastAsia="Times New Roman" w:cs="Times New Roman"/>
          <w:b/>
          <w:bCs/>
          <w:sz w:val="22"/>
          <w:szCs w:val="24"/>
        </w:rPr>
      </w:pPr>
      <w:r>
        <w:rPr>
          <w:rFonts w:cs="Times New Roman"/>
          <w:szCs w:val="24"/>
        </w:rPr>
        <w:br w:type="page"/>
      </w:r>
    </w:p>
    <w:p w14:paraId="67095689" w14:textId="77777777" w:rsidR="00307382" w:rsidRPr="00307382" w:rsidRDefault="00103DB9" w:rsidP="00307382">
      <w:pPr>
        <w:pStyle w:val="Heading1"/>
        <w:rPr>
          <w:rFonts w:eastAsia="Times New Roman"/>
        </w:rPr>
      </w:pPr>
      <w:bookmarkStart w:id="0" w:name="_Toc61528732"/>
      <w:bookmarkStart w:id="1" w:name="_Toc69201353"/>
      <w:bookmarkStart w:id="2" w:name="_Toc182462548"/>
      <w:r w:rsidRPr="00307382">
        <w:rPr>
          <w:rFonts w:eastAsia="Times New Roman"/>
        </w:rPr>
        <w:lastRenderedPageBreak/>
        <w:t>Best practice principles: Quality, safe workplaces</w:t>
      </w:r>
      <w:bookmarkEnd w:id="0"/>
      <w:bookmarkEnd w:id="1"/>
      <w:bookmarkEnd w:id="2"/>
    </w:p>
    <w:p w14:paraId="6C49A274" w14:textId="77777777" w:rsidR="00307382" w:rsidRPr="00307382" w:rsidRDefault="00103DB9" w:rsidP="00307382">
      <w:pPr>
        <w:pStyle w:val="Heading2"/>
        <w:rPr>
          <w:rFonts w:eastAsia="Times New Roman"/>
        </w:rPr>
      </w:pPr>
      <w:bookmarkStart w:id="3" w:name="_Toc491872950"/>
      <w:bookmarkStart w:id="4" w:name="_Toc491873359"/>
      <w:bookmarkStart w:id="5" w:name="_Toc491872951"/>
      <w:bookmarkStart w:id="6" w:name="_Toc491873360"/>
      <w:bookmarkStart w:id="7" w:name="_Toc491872952"/>
      <w:bookmarkStart w:id="8" w:name="_Toc491873361"/>
      <w:bookmarkStart w:id="9" w:name="_Toc491872953"/>
      <w:bookmarkStart w:id="10" w:name="_Toc491873362"/>
      <w:bookmarkStart w:id="11" w:name="_Toc491872954"/>
      <w:bookmarkStart w:id="12" w:name="_Toc491873363"/>
      <w:bookmarkStart w:id="13" w:name="_Toc61528733"/>
      <w:bookmarkStart w:id="14" w:name="_Toc69201354"/>
      <w:bookmarkStart w:id="15" w:name="_Toc182462549"/>
      <w:bookmarkEnd w:id="3"/>
      <w:bookmarkEnd w:id="4"/>
      <w:bookmarkEnd w:id="5"/>
      <w:bookmarkEnd w:id="6"/>
      <w:bookmarkEnd w:id="7"/>
      <w:bookmarkEnd w:id="8"/>
      <w:bookmarkEnd w:id="9"/>
      <w:bookmarkEnd w:id="10"/>
      <w:bookmarkEnd w:id="11"/>
      <w:bookmarkEnd w:id="12"/>
      <w:r w:rsidRPr="00307382">
        <w:rPr>
          <w:rFonts w:eastAsia="Times New Roman"/>
        </w:rPr>
        <w:t>Introduction</w:t>
      </w:r>
      <w:bookmarkEnd w:id="13"/>
      <w:bookmarkEnd w:id="14"/>
      <w:bookmarkEnd w:id="15"/>
    </w:p>
    <w:p w14:paraId="5FEA306D" w14:textId="3356BFFE" w:rsidR="00307382" w:rsidRPr="00307382" w:rsidRDefault="00103DB9" w:rsidP="00307382">
      <w:r w:rsidRPr="00307382">
        <w:t xml:space="preserve">The Queensland Government is committed to maximising benefits for Queenslanders by using procurement to support local jobs and businesses and drive economic, environmental and social outcomes. This includes ensuring quality, safe workplaces through application of the best practice principles for people engaged on major state government projects. </w:t>
      </w:r>
    </w:p>
    <w:p w14:paraId="3650C234" w14:textId="68CA8A7E" w:rsidR="00307382" w:rsidRPr="00307382" w:rsidRDefault="00103DB9" w:rsidP="00307382">
      <w:r w:rsidRPr="00307382">
        <w:t xml:space="preserve">Ensuring quality, safe workplaces through the highest possible standards of workplace health and </w:t>
      </w:r>
      <w:proofErr w:type="gramStart"/>
      <w:r w:rsidRPr="00307382">
        <w:t>safety,</w:t>
      </w:r>
      <w:r w:rsidR="00164B0D">
        <w:t xml:space="preserve"> and</w:t>
      </w:r>
      <w:proofErr w:type="gramEnd"/>
      <w:r w:rsidRPr="00307382">
        <w:t xml:space="preserve"> engaging appropriate numbers of trainees and apprentices</w:t>
      </w:r>
      <w:r w:rsidRPr="00164B0D">
        <w:t xml:space="preserve"> supports delivery of projects on time and on budget.</w:t>
      </w:r>
      <w:r w:rsidRPr="00307382">
        <w:t xml:space="preserve"> </w:t>
      </w:r>
    </w:p>
    <w:p w14:paraId="5337215A" w14:textId="77777777" w:rsidR="00307382" w:rsidRPr="00307382" w:rsidRDefault="00103DB9" w:rsidP="00307382">
      <w:pPr>
        <w:pStyle w:val="Heading2"/>
        <w:rPr>
          <w:rFonts w:eastAsia="Times New Roman"/>
        </w:rPr>
      </w:pPr>
      <w:bookmarkStart w:id="16" w:name="_Toc61528734"/>
      <w:bookmarkStart w:id="17" w:name="_Toc69201355"/>
      <w:bookmarkStart w:id="18" w:name="_Toc182462550"/>
      <w:r w:rsidRPr="00307382">
        <w:rPr>
          <w:rFonts w:eastAsia="Times New Roman"/>
        </w:rPr>
        <w:t>Purpose</w:t>
      </w:r>
      <w:bookmarkEnd w:id="16"/>
      <w:bookmarkEnd w:id="17"/>
      <w:bookmarkEnd w:id="18"/>
    </w:p>
    <w:p w14:paraId="05075915" w14:textId="77777777" w:rsidR="00307382" w:rsidRPr="00307382" w:rsidRDefault="00103DB9" w:rsidP="00307382">
      <w:r w:rsidRPr="00307382">
        <w:t xml:space="preserve">The purpose of this guide is to help agencies, contractors and subcontractors apply the best practice principles to applicable major projects. </w:t>
      </w:r>
    </w:p>
    <w:p w14:paraId="05F136E0" w14:textId="77777777" w:rsidR="00307382" w:rsidRPr="00307382" w:rsidRDefault="00103DB9" w:rsidP="00307382">
      <w:pPr>
        <w:pStyle w:val="IntenseQuote"/>
        <w:jc w:val="left"/>
        <w:rPr>
          <w:b/>
          <w:bCs/>
          <w:i/>
        </w:rPr>
      </w:pPr>
      <w:r w:rsidRPr="00307382">
        <w:rPr>
          <w:b/>
          <w:bCs/>
        </w:rPr>
        <w:t>Agencies, contractors, subcontractors and major project</w:t>
      </w:r>
    </w:p>
    <w:p w14:paraId="11D2E45A" w14:textId="77777777" w:rsidR="00307382" w:rsidRPr="00307382" w:rsidRDefault="00103DB9" w:rsidP="00307382">
      <w:pPr>
        <w:pStyle w:val="IntenseQuote"/>
        <w:jc w:val="left"/>
      </w:pPr>
      <w:r w:rsidRPr="00307382">
        <w:t xml:space="preserve">For a definition of ‘agencies’, ‘contractors’, ‘subcontractors’ and ‘major project’, please refer to the </w:t>
      </w:r>
      <w:r w:rsidR="000C3D2E">
        <w:t>‘</w:t>
      </w:r>
      <w:r w:rsidRPr="00307382">
        <w:t>Definitions</w:t>
      </w:r>
      <w:r w:rsidR="000C3D2E">
        <w:t>’</w:t>
      </w:r>
      <w:r w:rsidRPr="00307382">
        <w:t xml:space="preserve"> section of this guide.</w:t>
      </w:r>
    </w:p>
    <w:p w14:paraId="628F1447" w14:textId="77777777" w:rsidR="00307382" w:rsidRPr="00307382" w:rsidRDefault="00103DB9" w:rsidP="00307382">
      <w:pPr>
        <w:pStyle w:val="Heading2"/>
        <w:rPr>
          <w:rFonts w:eastAsia="Times New Roman"/>
        </w:rPr>
      </w:pPr>
      <w:bookmarkStart w:id="19" w:name="_Toc69201356"/>
      <w:bookmarkStart w:id="20" w:name="_Toc61528735"/>
      <w:bookmarkStart w:id="21" w:name="_Toc182462551"/>
      <w:r w:rsidRPr="00307382">
        <w:rPr>
          <w:rFonts w:eastAsia="Times New Roman"/>
        </w:rPr>
        <w:t>Best practice principles</w:t>
      </w:r>
      <w:bookmarkEnd w:id="19"/>
      <w:bookmarkEnd w:id="20"/>
      <w:bookmarkEnd w:id="21"/>
    </w:p>
    <w:p w14:paraId="2609E1DA" w14:textId="77777777" w:rsidR="00307382" w:rsidRPr="00307382" w:rsidRDefault="00103DB9" w:rsidP="00307382">
      <w:r w:rsidRPr="00307382">
        <w:t>According to the Queensland Procurement Policy (QPP), the best practice principles are:</w:t>
      </w:r>
    </w:p>
    <w:p w14:paraId="642A3DE9" w14:textId="77777777" w:rsidR="00307382" w:rsidRPr="00307382" w:rsidRDefault="00103DB9" w:rsidP="00A33B13">
      <w:pPr>
        <w:pStyle w:val="ListParagraph"/>
        <w:numPr>
          <w:ilvl w:val="0"/>
          <w:numId w:val="2"/>
        </w:numPr>
      </w:pPr>
      <w:r w:rsidRPr="00307382">
        <w:t>Best practice workplace health and safety (WHS) systems and standards.</w:t>
      </w:r>
    </w:p>
    <w:p w14:paraId="43960C0E" w14:textId="77777777" w:rsidR="00307382" w:rsidRPr="00307382" w:rsidRDefault="00103DB9" w:rsidP="00A33B13">
      <w:pPr>
        <w:pStyle w:val="ListParagraph"/>
        <w:numPr>
          <w:ilvl w:val="0"/>
          <w:numId w:val="2"/>
        </w:numPr>
      </w:pPr>
      <w:r w:rsidRPr="00307382">
        <w:t>Best practice commitment to apprentices and trainees.</w:t>
      </w:r>
    </w:p>
    <w:p w14:paraId="67423FDE" w14:textId="77777777" w:rsidR="00CE3F19" w:rsidRPr="00164B0D" w:rsidRDefault="00103DB9" w:rsidP="00CE3F19">
      <w:pPr>
        <w:pStyle w:val="Heading5"/>
        <w:rPr>
          <w:color w:val="000000" w:themeColor="text1"/>
        </w:rPr>
      </w:pPr>
      <w:bookmarkStart w:id="22" w:name="_Toc68014405"/>
      <w:r w:rsidRPr="00164B0D">
        <w:rPr>
          <w:color w:val="000000" w:themeColor="text1"/>
        </w:rPr>
        <w:t xml:space="preserve">Application to </w:t>
      </w:r>
      <w:r w:rsidRPr="00164B0D">
        <w:rPr>
          <w:color w:val="auto"/>
        </w:rPr>
        <w:t xml:space="preserve">contractors and </w:t>
      </w:r>
      <w:r w:rsidRPr="00164B0D">
        <w:rPr>
          <w:color w:val="000000" w:themeColor="text1"/>
        </w:rPr>
        <w:t>subcontractors</w:t>
      </w:r>
      <w:bookmarkEnd w:id="22"/>
    </w:p>
    <w:p w14:paraId="73991591" w14:textId="77777777" w:rsidR="00CE3F19" w:rsidRPr="00164B0D" w:rsidRDefault="00103DB9" w:rsidP="00CE3F19">
      <w:r w:rsidRPr="00164B0D">
        <w:t>For a best practice principles project, agencies will assess contractor offers against the best practice principles and require contractors to deliver on best practice principles commitments made in their offers. Contractors will be required to undertake to assess subcontractor offers against the best practice principles and require them to deliver on best practice principles commitments made in their offers, in line with contract conditions as agreed with the agency.</w:t>
      </w:r>
    </w:p>
    <w:p w14:paraId="50B6CD0F" w14:textId="77777777" w:rsidR="00CE3F19" w:rsidRPr="00164B0D" w:rsidRDefault="00103DB9" w:rsidP="00CE3F19">
      <w:pPr>
        <w:rPr>
          <w:lang w:eastAsia="en-AU"/>
        </w:rPr>
      </w:pPr>
      <w:r w:rsidRPr="00164B0D">
        <w:rPr>
          <w:lang w:eastAsia="en-AU"/>
        </w:rPr>
        <w:t>Some agencies already require the contractor to apply the QPP as if it were a government agency, when awarding contracts within the project. To remove any doubt, agencies using this approach must also include contractual provisions which require the application of the best practice principles.</w:t>
      </w:r>
    </w:p>
    <w:p w14:paraId="75A883DD" w14:textId="77777777" w:rsidR="00307382" w:rsidRPr="00307382" w:rsidRDefault="00103DB9" w:rsidP="00AA20DE">
      <w:pPr>
        <w:pStyle w:val="Heading2"/>
        <w:rPr>
          <w:rFonts w:eastAsia="Times New Roman"/>
        </w:rPr>
      </w:pPr>
      <w:bookmarkStart w:id="23" w:name="_Toc61528737"/>
      <w:bookmarkStart w:id="24" w:name="_Toc69201358"/>
      <w:bookmarkStart w:id="25" w:name="_Toc182462552"/>
      <w:r w:rsidRPr="00307382">
        <w:rPr>
          <w:rFonts w:eastAsia="Times New Roman"/>
        </w:rPr>
        <w:t>Scope</w:t>
      </w:r>
      <w:bookmarkEnd w:id="23"/>
      <w:bookmarkEnd w:id="24"/>
      <w:bookmarkEnd w:id="25"/>
    </w:p>
    <w:p w14:paraId="5CD7B676" w14:textId="77777777" w:rsidR="00307382" w:rsidRPr="00AA20DE" w:rsidRDefault="00103DB9" w:rsidP="00AA20DE">
      <w:pPr>
        <w:rPr>
          <w:b/>
          <w:bCs/>
        </w:rPr>
      </w:pPr>
      <w:r w:rsidRPr="00AA20DE">
        <w:rPr>
          <w:b/>
          <w:bCs/>
        </w:rPr>
        <w:t>The best practice principles must be applied by all agencies subject to the Queensland Procurement Policy (QPP)</w:t>
      </w:r>
      <w:r w:rsidRPr="00AA20DE">
        <w:rPr>
          <w:b/>
          <w:bCs/>
          <w:vertAlign w:val="superscript"/>
        </w:rPr>
        <w:t xml:space="preserve"> </w:t>
      </w:r>
      <w:r>
        <w:rPr>
          <w:b/>
          <w:bCs/>
          <w:vertAlign w:val="superscript"/>
        </w:rPr>
        <w:footnoteReference w:id="2"/>
      </w:r>
      <w:r w:rsidRPr="00AA20DE">
        <w:rPr>
          <w:b/>
          <w:bCs/>
        </w:rPr>
        <w:t xml:space="preserve"> to a major project that:</w:t>
      </w:r>
    </w:p>
    <w:p w14:paraId="5A7FAC66" w14:textId="77777777" w:rsidR="00307382" w:rsidRPr="00AA20DE" w:rsidRDefault="00103DB9" w:rsidP="00A33B13">
      <w:pPr>
        <w:pStyle w:val="ListParagraph"/>
        <w:numPr>
          <w:ilvl w:val="0"/>
          <w:numId w:val="6"/>
        </w:numPr>
        <w:rPr>
          <w:b/>
          <w:bCs/>
        </w:rPr>
      </w:pPr>
      <w:r w:rsidRPr="00AA20DE">
        <w:rPr>
          <w:b/>
          <w:bCs/>
        </w:rPr>
        <w:t>is valued at $100 million or more, and</w:t>
      </w:r>
    </w:p>
    <w:p w14:paraId="6F05B598" w14:textId="77777777" w:rsidR="00AA20DE" w:rsidRPr="00AA20DE" w:rsidRDefault="00103DB9" w:rsidP="00A33B13">
      <w:pPr>
        <w:pStyle w:val="ListParagraph"/>
        <w:numPr>
          <w:ilvl w:val="0"/>
          <w:numId w:val="6"/>
        </w:numPr>
        <w:rPr>
          <w:b/>
          <w:bCs/>
        </w:rPr>
      </w:pPr>
      <w:r w:rsidRPr="00AA20DE">
        <w:rPr>
          <w:b/>
          <w:bCs/>
        </w:rPr>
        <w:t>falls under any procurement category, except information and communication technology (ICT)</w:t>
      </w:r>
      <w:r>
        <w:rPr>
          <w:b/>
          <w:bCs/>
          <w:vertAlign w:val="superscript"/>
        </w:rPr>
        <w:footnoteReference w:id="3"/>
      </w:r>
      <w:r w:rsidRPr="00AA20DE">
        <w:rPr>
          <w:b/>
          <w:bCs/>
        </w:rPr>
        <w:t>.</w:t>
      </w:r>
    </w:p>
    <w:p w14:paraId="491481AD" w14:textId="77777777" w:rsidR="00AA20DE" w:rsidRPr="00AA20DE" w:rsidRDefault="00103DB9" w:rsidP="00AA20DE">
      <w:pPr>
        <w:pStyle w:val="IntenseQuote"/>
        <w:jc w:val="left"/>
        <w:rPr>
          <w:b/>
          <w:bCs/>
        </w:rPr>
      </w:pPr>
      <w:r w:rsidRPr="00AA20DE">
        <w:rPr>
          <w:b/>
          <w:bCs/>
        </w:rPr>
        <w:lastRenderedPageBreak/>
        <w:t>Dollar ($) value</w:t>
      </w:r>
    </w:p>
    <w:p w14:paraId="32BFB49F" w14:textId="77777777" w:rsidR="00AA20DE" w:rsidRPr="00C206DA" w:rsidRDefault="00103DB9" w:rsidP="00AA20DE">
      <w:pPr>
        <w:pStyle w:val="IntenseQuote"/>
        <w:jc w:val="left"/>
      </w:pPr>
      <w:r w:rsidRPr="00C206DA">
        <w:t xml:space="preserve">All references to a dollar value in this guide refer to the Australian dollar (AUD) and </w:t>
      </w:r>
      <w:r w:rsidR="00C9344D" w:rsidRPr="00C206DA">
        <w:t xml:space="preserve">are </w:t>
      </w:r>
      <w:r w:rsidRPr="00C206DA">
        <w:t>exclusive of GST.</w:t>
      </w:r>
    </w:p>
    <w:p w14:paraId="7F810B61" w14:textId="77777777" w:rsidR="00AA20DE" w:rsidRPr="00C206DA" w:rsidRDefault="00103DB9" w:rsidP="00AA20DE">
      <w:pPr>
        <w:pStyle w:val="Heading3"/>
        <w:rPr>
          <w:rFonts w:eastAsia="Times New Roman"/>
        </w:rPr>
      </w:pPr>
      <w:bookmarkStart w:id="26" w:name="_Toc69201359"/>
      <w:bookmarkStart w:id="27" w:name="_Toc182462553"/>
      <w:r w:rsidRPr="00C206DA">
        <w:rPr>
          <w:rFonts w:eastAsia="Times New Roman"/>
        </w:rPr>
        <w:t>Declared projects</w:t>
      </w:r>
      <w:bookmarkEnd w:id="26"/>
      <w:bookmarkEnd w:id="27"/>
    </w:p>
    <w:p w14:paraId="149E7D5B" w14:textId="77777777" w:rsidR="00AA20DE" w:rsidRPr="00C206DA" w:rsidRDefault="00103DB9" w:rsidP="00AA20DE">
      <w:r w:rsidRPr="00C206DA">
        <w:t xml:space="preserve">Note that the best practice principles must also be applied if projects are declared as being subject to the best practice principles. Projects that are below $100 million and/or which are in the ICT procurement category may be declared.  </w:t>
      </w:r>
    </w:p>
    <w:p w14:paraId="1F3BBBF1" w14:textId="77777777" w:rsidR="00AA20DE" w:rsidRPr="00C206DA" w:rsidRDefault="00103DB9" w:rsidP="00AA20DE">
      <w:r w:rsidRPr="00C206DA">
        <w:t>The best practice principles can be applied to existing projects where procurement of subcontracting is still to occur.</w:t>
      </w:r>
    </w:p>
    <w:p w14:paraId="51A5C2A6" w14:textId="77777777" w:rsidR="00AA20DE" w:rsidRPr="00C206DA" w:rsidRDefault="00103DB9" w:rsidP="00AA20DE">
      <w:r w:rsidRPr="00C206DA">
        <w:t xml:space="preserve">For the purposes of this guide, declared projects refers to projects that have been declared as being subject to the best practice principles through a declaration process. For further information, please refer to the </w:t>
      </w:r>
      <w:r w:rsidR="000C3D2E">
        <w:t>‘</w:t>
      </w:r>
      <w:r w:rsidRPr="00C206DA">
        <w:t>Declaration process</w:t>
      </w:r>
      <w:r w:rsidR="000C3D2E">
        <w:t>’</w:t>
      </w:r>
      <w:r w:rsidRPr="00C206DA">
        <w:t xml:space="preserve"> section of this guide.</w:t>
      </w:r>
    </w:p>
    <w:p w14:paraId="5F2939B0" w14:textId="77777777" w:rsidR="00AA20DE" w:rsidRPr="00C206DA" w:rsidRDefault="00103DB9" w:rsidP="00AA20DE">
      <w:pPr>
        <w:pStyle w:val="Heading3"/>
        <w:rPr>
          <w:rFonts w:eastAsia="Times New Roman"/>
        </w:rPr>
      </w:pPr>
      <w:bookmarkStart w:id="28" w:name="_Toc69201360"/>
      <w:bookmarkStart w:id="29" w:name="_Toc182462554"/>
      <w:r w:rsidRPr="00C206DA">
        <w:rPr>
          <w:rFonts w:eastAsia="Times New Roman"/>
        </w:rPr>
        <w:t>Best practice principles project</w:t>
      </w:r>
      <w:bookmarkEnd w:id="28"/>
      <w:bookmarkEnd w:id="29"/>
    </w:p>
    <w:p w14:paraId="4B96F78B" w14:textId="77777777" w:rsidR="003C23BA" w:rsidRPr="00C206DA" w:rsidRDefault="00103DB9" w:rsidP="00AA20DE">
      <w:r w:rsidRPr="00C206DA">
        <w:t xml:space="preserve">Application of the best practice principles is on a project basis and is based on the total value of </w:t>
      </w:r>
      <w:r w:rsidR="009C4A84" w:rsidRPr="00C206DA">
        <w:t xml:space="preserve">all </w:t>
      </w:r>
      <w:r w:rsidRPr="00C206DA">
        <w:t xml:space="preserve">contracts for goods and services making up the project. </w:t>
      </w:r>
    </w:p>
    <w:p w14:paraId="79A36AD5" w14:textId="77777777" w:rsidR="009C4A84" w:rsidRPr="00C206DA" w:rsidRDefault="00103DB9" w:rsidP="009C4A84">
      <w:pPr>
        <w:pStyle w:val="IntenseQuote"/>
        <w:jc w:val="left"/>
        <w:rPr>
          <w:b/>
          <w:bCs/>
        </w:rPr>
      </w:pPr>
      <w:r w:rsidRPr="00C206DA">
        <w:rPr>
          <w:b/>
          <w:bCs/>
        </w:rPr>
        <w:t>Goods and services</w:t>
      </w:r>
    </w:p>
    <w:p w14:paraId="0D465755" w14:textId="77777777" w:rsidR="0025496A" w:rsidRPr="00C206DA" w:rsidRDefault="00103DB9" w:rsidP="0025496A">
      <w:pPr>
        <w:pStyle w:val="IntenseQuote"/>
        <w:jc w:val="left"/>
      </w:pPr>
      <w:r w:rsidRPr="00C206DA">
        <w:t xml:space="preserve">The term </w:t>
      </w:r>
      <w:r w:rsidR="000C3D2E">
        <w:t>‘</w:t>
      </w:r>
      <w:r w:rsidRPr="00C206DA">
        <w:t>goods and services</w:t>
      </w:r>
      <w:r w:rsidR="000C3D2E">
        <w:t>’</w:t>
      </w:r>
      <w:r w:rsidRPr="00C206DA">
        <w:t xml:space="preserve"> as set out in the QPP includes all property (except for real property) and all types of services including building and construction services, and infrastructure. </w:t>
      </w:r>
    </w:p>
    <w:p w14:paraId="5E91055C" w14:textId="77777777" w:rsidR="00B54262" w:rsidRDefault="00103DB9" w:rsidP="00AA20DE">
      <w:r w:rsidRPr="00C206DA">
        <w:t>This means if the total value of all contracts</w:t>
      </w:r>
      <w:r w:rsidR="003C23BA" w:rsidRPr="00C206DA">
        <w:t xml:space="preserve"> for goods and services</w:t>
      </w:r>
      <w:r w:rsidRPr="00C206DA">
        <w:t xml:space="preserve"> making up the project is $100 million or more, and if the project falls under a procurement category that is not ICT, that project will be automatically subject to the best practice principles</w:t>
      </w:r>
      <w:r w:rsidR="00C9344D" w:rsidRPr="00C206DA">
        <w:t xml:space="preserve">, unless otherwise exempted (refer </w:t>
      </w:r>
      <w:r w:rsidR="000C3D2E">
        <w:t>‘</w:t>
      </w:r>
      <w:r w:rsidR="00C9344D" w:rsidRPr="00C206DA">
        <w:t>Declaration process</w:t>
      </w:r>
      <w:r w:rsidR="000C3D2E">
        <w:t>’</w:t>
      </w:r>
      <w:r w:rsidR="00C9344D" w:rsidRPr="00C206DA">
        <w:t xml:space="preserve"> section of this guide)</w:t>
      </w:r>
      <w:r w:rsidRPr="00C206DA">
        <w:t>.</w:t>
      </w:r>
      <w:r w:rsidR="001A07A6" w:rsidRPr="00DA6D27">
        <w:t xml:space="preserve"> </w:t>
      </w:r>
    </w:p>
    <w:p w14:paraId="3EEFC36B" w14:textId="77777777" w:rsidR="00AA20DE" w:rsidRPr="00DA6D27" w:rsidRDefault="00103DB9" w:rsidP="00AA20DE">
      <w:pPr>
        <w:pStyle w:val="Heading4"/>
        <w:rPr>
          <w:rFonts w:eastAsia="Times New Roman"/>
        </w:rPr>
      </w:pPr>
      <w:r w:rsidRPr="00DA6D27">
        <w:rPr>
          <w:rFonts w:eastAsia="Times New Roman"/>
        </w:rPr>
        <w:t>Applying the best practice principles to contracts</w:t>
      </w:r>
    </w:p>
    <w:p w14:paraId="0F28AD80" w14:textId="77777777" w:rsidR="00AA20DE" w:rsidRPr="00DA6D27" w:rsidRDefault="00103DB9" w:rsidP="00AA20DE">
      <w:r w:rsidRPr="00DA6D27">
        <w:t xml:space="preserve">If a project is subject to the best practice principles, this means the best practice principles must be applied to any contract that meets </w:t>
      </w:r>
      <w:proofErr w:type="gramStart"/>
      <w:r w:rsidRPr="00DA6D27">
        <w:t>all of</w:t>
      </w:r>
      <w:proofErr w:type="gramEnd"/>
      <w:r w:rsidRPr="00DA6D27">
        <w:t xml:space="preserve"> the following three requirements: </w:t>
      </w:r>
    </w:p>
    <w:p w14:paraId="2694C1DF" w14:textId="77777777" w:rsidR="00AA20DE" w:rsidRPr="00DA6D27" w:rsidRDefault="00103DB9" w:rsidP="00AA20DE">
      <w:pPr>
        <w:pStyle w:val="Heading5"/>
        <w:rPr>
          <w:rFonts w:eastAsia="Times New Roman"/>
        </w:rPr>
      </w:pPr>
      <w:r w:rsidRPr="00DA6D27">
        <w:rPr>
          <w:rFonts w:eastAsia="Times New Roman"/>
        </w:rPr>
        <w:t>Requirement 1</w:t>
      </w:r>
    </w:p>
    <w:p w14:paraId="33DE4E98" w14:textId="77777777" w:rsidR="00AA20DE" w:rsidRPr="00C206DA" w:rsidRDefault="00103DB9" w:rsidP="00AA20DE">
      <w:pPr>
        <w:rPr>
          <w:i/>
          <w:iCs/>
        </w:rPr>
      </w:pPr>
      <w:r w:rsidRPr="00C206DA">
        <w:t xml:space="preserve">Contract is for a </w:t>
      </w:r>
      <w:r w:rsidR="00ED0879" w:rsidRPr="00C206DA">
        <w:t>contractor or subcontractor</w:t>
      </w:r>
      <w:r w:rsidRPr="00C206DA">
        <w:t xml:space="preserve"> to provide ‘goods and services’ </w:t>
      </w:r>
      <w:r w:rsidR="00B0491C" w:rsidRPr="00C206DA">
        <w:t>on</w:t>
      </w:r>
      <w:r w:rsidR="00CA0BD6" w:rsidRPr="00C206DA">
        <w:t>-</w:t>
      </w:r>
      <w:r w:rsidR="00B0491C" w:rsidRPr="00C206DA">
        <w:t>site</w:t>
      </w:r>
      <w:r w:rsidRPr="00C206DA">
        <w:t xml:space="preserve"> except for </w:t>
      </w:r>
      <w:r w:rsidR="00ED0879" w:rsidRPr="00C206DA">
        <w:t xml:space="preserve">those contractors or subcontractors </w:t>
      </w:r>
      <w:r w:rsidRPr="00C206DA">
        <w:t>that provide services exclusively of the following kinds:</w:t>
      </w:r>
    </w:p>
    <w:p w14:paraId="7279FB1A" w14:textId="77777777" w:rsidR="00AA20DE" w:rsidRPr="00C206DA" w:rsidRDefault="00103DB9" w:rsidP="00A33B13">
      <w:pPr>
        <w:pStyle w:val="ListParagraph"/>
        <w:numPr>
          <w:ilvl w:val="0"/>
          <w:numId w:val="7"/>
        </w:numPr>
      </w:pPr>
      <w:r w:rsidRPr="00C206DA">
        <w:t>architectural, design, surveying or quantity surveying services relating to construction work</w:t>
      </w:r>
    </w:p>
    <w:p w14:paraId="4CA30523" w14:textId="77777777" w:rsidR="00AA20DE" w:rsidRPr="00C206DA" w:rsidRDefault="00103DB9" w:rsidP="00A33B13">
      <w:pPr>
        <w:pStyle w:val="ListParagraph"/>
        <w:numPr>
          <w:ilvl w:val="0"/>
          <w:numId w:val="7"/>
        </w:numPr>
      </w:pPr>
      <w:r w:rsidRPr="00C206DA">
        <w:t>building, engineering, interior or exterior decoration or landscape advisory services relating to construction work</w:t>
      </w:r>
    </w:p>
    <w:p w14:paraId="2508F0C0" w14:textId="77777777" w:rsidR="00B0491C" w:rsidRPr="00C206DA" w:rsidRDefault="00103DB9" w:rsidP="00A33B13">
      <w:pPr>
        <w:pStyle w:val="ListParagraph"/>
        <w:numPr>
          <w:ilvl w:val="0"/>
          <w:numId w:val="7"/>
        </w:numPr>
      </w:pPr>
      <w:r w:rsidRPr="00C206DA">
        <w:t>soil testing services relating to construction work</w:t>
      </w:r>
    </w:p>
    <w:p w14:paraId="6308B1D7" w14:textId="77777777" w:rsidR="00B0491C" w:rsidRPr="00C206DA" w:rsidRDefault="00103DB9" w:rsidP="00A33B13">
      <w:pPr>
        <w:pStyle w:val="ListParagraph"/>
        <w:numPr>
          <w:ilvl w:val="0"/>
          <w:numId w:val="7"/>
        </w:numPr>
      </w:pPr>
      <w:r w:rsidRPr="00C206DA">
        <w:t>off-site prefabrication of made-to-order components to form part of any building, structure or works, unless that work is performed on an auxiliary or holding site that is separate from the primary construction site or sites</w:t>
      </w:r>
    </w:p>
    <w:p w14:paraId="5F9B78DE" w14:textId="77777777" w:rsidR="00AA20DE" w:rsidRPr="00C206DA" w:rsidRDefault="00103DB9" w:rsidP="00A33B13">
      <w:pPr>
        <w:pStyle w:val="ListParagraph"/>
        <w:numPr>
          <w:ilvl w:val="0"/>
          <w:numId w:val="7"/>
        </w:numPr>
      </w:pPr>
      <w:r w:rsidRPr="00C206DA">
        <w:t>transportation or supply of goods to be used for building work, directly to building sites (including any resources platform) where that work is being or may be performed.</w:t>
      </w:r>
    </w:p>
    <w:p w14:paraId="6A78CED6" w14:textId="77777777" w:rsidR="00AA20DE" w:rsidRPr="00DA6D27" w:rsidRDefault="00103DB9" w:rsidP="00AA20DE">
      <w:pPr>
        <w:pStyle w:val="Heading5"/>
      </w:pPr>
      <w:r w:rsidRPr="00C206DA">
        <w:lastRenderedPageBreak/>
        <w:t>Requirement 2</w:t>
      </w:r>
    </w:p>
    <w:p w14:paraId="37A3E10D" w14:textId="77777777" w:rsidR="00AA20DE" w:rsidRPr="00DA6D27" w:rsidRDefault="00103DB9" w:rsidP="00AA20DE">
      <w:r w:rsidRPr="00DA6D27">
        <w:t xml:space="preserve">Contract exceeds the minimum value threshold of $20,000. </w:t>
      </w:r>
    </w:p>
    <w:p w14:paraId="24FD8C7C" w14:textId="77777777" w:rsidR="00B0491C" w:rsidRPr="00DA6D27" w:rsidRDefault="00103DB9" w:rsidP="00AA20DE">
      <w:r w:rsidRPr="00DA6D27">
        <w:t xml:space="preserve">Contracts valued below the minimum value threshold will not be subject to the best practice principles. </w:t>
      </w:r>
    </w:p>
    <w:p w14:paraId="2E0345F1" w14:textId="77777777" w:rsidR="00AA20DE" w:rsidRPr="00C206DA" w:rsidRDefault="00103DB9" w:rsidP="00AA20DE">
      <w:r w:rsidRPr="00C206DA">
        <w:t>An alternative minimum value threshold</w:t>
      </w:r>
      <w:r w:rsidR="00D763D8" w:rsidRPr="00C206DA">
        <w:t>, including no threshold,</w:t>
      </w:r>
      <w:r w:rsidRPr="00C206DA">
        <w:t xml:space="preserve"> may be approved on a project-by-project basis as part of the Ministerial approval process for best practice principles and local benefits test weightings. </w:t>
      </w:r>
    </w:p>
    <w:p w14:paraId="4E9F00AC" w14:textId="77777777" w:rsidR="00307382" w:rsidRPr="00C206DA" w:rsidRDefault="00103DB9" w:rsidP="00AA20DE">
      <w:r w:rsidRPr="00C206DA">
        <w:t xml:space="preserve">For further information on the Ministerial approval process for best practice principles and local benefits test weightings, please refer to the </w:t>
      </w:r>
      <w:r w:rsidR="000C3D2E">
        <w:t>‘</w:t>
      </w:r>
      <w:r w:rsidRPr="00C206DA">
        <w:t>Evaluation criteria – weightings (Ministerial approval process)</w:t>
      </w:r>
      <w:r w:rsidR="000C3D2E">
        <w:t>’</w:t>
      </w:r>
      <w:r w:rsidRPr="00C206DA">
        <w:t xml:space="preserve"> section of this guide.</w:t>
      </w:r>
    </w:p>
    <w:p w14:paraId="44E9A352" w14:textId="77777777" w:rsidR="00AA20DE" w:rsidRPr="00C206DA" w:rsidRDefault="00103DB9" w:rsidP="00AA20DE">
      <w:pPr>
        <w:pStyle w:val="Heading5"/>
      </w:pPr>
      <w:r w:rsidRPr="00C206DA">
        <w:t>Requirement 3</w:t>
      </w:r>
    </w:p>
    <w:p w14:paraId="522B5CA6" w14:textId="77777777" w:rsidR="00AA20DE" w:rsidRPr="00C206DA" w:rsidRDefault="00103DB9" w:rsidP="00AA20DE">
      <w:r w:rsidRPr="00C206DA">
        <w:t xml:space="preserve">Contract is established as part of taking the project to completion. </w:t>
      </w:r>
    </w:p>
    <w:p w14:paraId="648E40AB" w14:textId="77777777" w:rsidR="00AA20DE" w:rsidRPr="00C206DA" w:rsidRDefault="00103DB9" w:rsidP="00AA20DE">
      <w:r w:rsidRPr="00C206DA">
        <w:t>The best practice principles do not apply to ongoing contracts established for the purposes of providing ongoing goods or services following the completion of a project (e.g. the best practice principles would apply to the design and construction phase for a building or transport civil</w:t>
      </w:r>
      <w:r w:rsidR="0027242C" w:rsidRPr="00C206DA">
        <w:t xml:space="preserve"> construction</w:t>
      </w:r>
      <w:r w:rsidRPr="00C206DA">
        <w:t xml:space="preserve"> project but would not apply to ongoing facilities management, operation and maintenance contracts).</w:t>
      </w:r>
    </w:p>
    <w:p w14:paraId="4053BD55" w14:textId="77777777" w:rsidR="00AA20DE" w:rsidRPr="00DA6D27" w:rsidRDefault="00103DB9" w:rsidP="00AA20DE">
      <w:pPr>
        <w:pStyle w:val="Heading4"/>
      </w:pPr>
      <w:r w:rsidRPr="00C206DA">
        <w:t>Projects and programs</w:t>
      </w:r>
    </w:p>
    <w:p w14:paraId="67933E38" w14:textId="77777777" w:rsidR="00AA20DE" w:rsidRDefault="00103DB9" w:rsidP="00AA20DE">
      <w:r w:rsidRPr="00DA6D27">
        <w:t xml:space="preserve">Programs (refer to </w:t>
      </w:r>
      <w:r w:rsidR="000C3D2E">
        <w:t>‘</w:t>
      </w:r>
      <w:r w:rsidRPr="00DA6D27">
        <w:t>Definitions</w:t>
      </w:r>
      <w:r w:rsidR="000C3D2E">
        <w:t>’</w:t>
      </w:r>
      <w:r w:rsidRPr="00DA6D27">
        <w:t xml:space="preserve"> section of this guide for definition of ‘program’) are not automatically subject to the best practice principles even if all projects in the program collectively exceed $100 million. A program may be subject to the best practice</w:t>
      </w:r>
      <w:r>
        <w:t xml:space="preserve"> principles however if declared through the declaration process.</w:t>
      </w:r>
    </w:p>
    <w:p w14:paraId="16C6CA1B" w14:textId="77777777" w:rsidR="00AA20DE" w:rsidRDefault="00103DB9" w:rsidP="00AA20DE">
      <w:r>
        <w:t xml:space="preserve">If a program is declared as being subject to the best practice principles, this means that the best practice principles must be applied to all projects covered by the program. </w:t>
      </w:r>
    </w:p>
    <w:p w14:paraId="63442687" w14:textId="77777777" w:rsidR="00AA20DE" w:rsidRDefault="00103DB9" w:rsidP="00AA20DE">
      <w:pPr>
        <w:pStyle w:val="Heading3"/>
      </w:pPr>
      <w:bookmarkStart w:id="30" w:name="_Toc182462555"/>
      <w:r>
        <w:t>Declaration process</w:t>
      </w:r>
      <w:bookmarkEnd w:id="30"/>
    </w:p>
    <w:p w14:paraId="4886F623" w14:textId="77777777" w:rsidR="00AA20DE" w:rsidRDefault="00103DB9" w:rsidP="00AA20DE">
      <w:r>
        <w:t>Projects that are below $100 million and/or which are in the ICT procurement category are not subject to the best practice principles by default. However, the best practice principles must be applied to these projects if they are declared as being subject to the best practice principles through a declaration process.</w:t>
      </w:r>
    </w:p>
    <w:p w14:paraId="7C9D8889" w14:textId="77777777" w:rsidR="00AA20DE" w:rsidRDefault="00103DB9" w:rsidP="00AA20DE">
      <w:r>
        <w:t>In addition, a best practice principles project can be exempted from being subject to the best practice principles if it is declared as such through a declaration process.</w:t>
      </w:r>
    </w:p>
    <w:p w14:paraId="428BD838" w14:textId="77777777" w:rsidR="00AA20DE" w:rsidRDefault="00103DB9" w:rsidP="00AA20DE">
      <w:r>
        <w:t xml:space="preserve">In considering whether to declare a project or program as subject to, or exempt from, the best practice principles, the responsible Minister may consider factors which include, but are not limited to: </w:t>
      </w:r>
    </w:p>
    <w:p w14:paraId="09F2BE47" w14:textId="77777777" w:rsidR="00AA20DE" w:rsidRDefault="00103DB9" w:rsidP="00A33B13">
      <w:pPr>
        <w:pStyle w:val="ListParagraph"/>
        <w:numPr>
          <w:ilvl w:val="0"/>
          <w:numId w:val="8"/>
        </w:numPr>
      </w:pPr>
      <w:r>
        <w:t>local or regional economic conditions</w:t>
      </w:r>
    </w:p>
    <w:p w14:paraId="407A6CC7" w14:textId="77777777" w:rsidR="00AA20DE" w:rsidRDefault="00103DB9" w:rsidP="00A33B13">
      <w:pPr>
        <w:pStyle w:val="ListParagraph"/>
        <w:numPr>
          <w:ilvl w:val="0"/>
          <w:numId w:val="8"/>
        </w:numPr>
      </w:pPr>
      <w:r>
        <w:t>local or regional labour market conditions</w:t>
      </w:r>
    </w:p>
    <w:p w14:paraId="33ABF6F8" w14:textId="77777777" w:rsidR="00AA20DE" w:rsidRDefault="00103DB9" w:rsidP="00A33B13">
      <w:pPr>
        <w:pStyle w:val="ListParagraph"/>
        <w:numPr>
          <w:ilvl w:val="0"/>
          <w:numId w:val="8"/>
        </w:numPr>
      </w:pPr>
      <w:r>
        <w:t>stakeholder advice, for example, Industry Reference Groups, industry or union representatives</w:t>
      </w:r>
    </w:p>
    <w:p w14:paraId="672E586A" w14:textId="77777777" w:rsidR="00AA20DE" w:rsidRDefault="00103DB9" w:rsidP="00A33B13">
      <w:pPr>
        <w:pStyle w:val="ListParagraph"/>
        <w:numPr>
          <w:ilvl w:val="0"/>
          <w:numId w:val="8"/>
        </w:numPr>
      </w:pPr>
      <w:r>
        <w:t>matters related to economic, environmental and/or social targets, commitments or policies of the government.</w:t>
      </w:r>
    </w:p>
    <w:p w14:paraId="7802CFEB" w14:textId="77777777" w:rsidR="00AA20DE" w:rsidRDefault="00103DB9" w:rsidP="00AA20DE">
      <w:r>
        <w:t>The declaration process itself requires:</w:t>
      </w:r>
    </w:p>
    <w:p w14:paraId="1EEF5C6A" w14:textId="005144EE" w:rsidR="00AA20DE" w:rsidRDefault="00103DB9" w:rsidP="00A33B13">
      <w:pPr>
        <w:pStyle w:val="ListParagraph"/>
        <w:numPr>
          <w:ilvl w:val="0"/>
          <w:numId w:val="9"/>
        </w:numPr>
      </w:pPr>
      <w:r>
        <w:t xml:space="preserve">consultation between the responsible Minister and the Minister </w:t>
      </w:r>
      <w:r w:rsidR="00CB3A35">
        <w:t xml:space="preserve">responsible for </w:t>
      </w:r>
      <w:r w:rsidR="007538AA">
        <w:t>g</w:t>
      </w:r>
      <w:r w:rsidR="00CB3A35">
        <w:t xml:space="preserve">overnment </w:t>
      </w:r>
      <w:r w:rsidR="007538AA">
        <w:t>p</w:t>
      </w:r>
      <w:r w:rsidR="00CB3A35">
        <w:t>rocurement</w:t>
      </w:r>
      <w:r>
        <w:t>; and</w:t>
      </w:r>
    </w:p>
    <w:p w14:paraId="5FB913AA" w14:textId="0D254084" w:rsidR="00AA20DE" w:rsidRDefault="00103DB9" w:rsidP="00A33B13">
      <w:pPr>
        <w:pStyle w:val="ListParagraph"/>
        <w:numPr>
          <w:ilvl w:val="0"/>
          <w:numId w:val="9"/>
        </w:numPr>
      </w:pPr>
      <w:r>
        <w:t>approval from the Premier.</w:t>
      </w:r>
    </w:p>
    <w:p w14:paraId="5A3453B2" w14:textId="6061A373" w:rsidR="00043345" w:rsidRDefault="00103DB9" w:rsidP="00AA20DE">
      <w:r>
        <w:t xml:space="preserve">The declaration process may occur by correspondence between the responsible Minister, the </w:t>
      </w:r>
      <w:proofErr w:type="gramStart"/>
      <w:r>
        <w:t>Minister</w:t>
      </w:r>
      <w:r w:rsidR="00976BA9">
        <w:t xml:space="preserve"> </w:t>
      </w:r>
      <w:r w:rsidR="00CB3A35">
        <w:t xml:space="preserve"> responsible</w:t>
      </w:r>
      <w:proofErr w:type="gramEnd"/>
      <w:r w:rsidR="00CB3A35">
        <w:t xml:space="preserve"> for </w:t>
      </w:r>
      <w:r w:rsidR="007538AA">
        <w:t>g</w:t>
      </w:r>
      <w:r w:rsidR="00CB3A35">
        <w:t xml:space="preserve">overnment </w:t>
      </w:r>
      <w:r w:rsidR="007538AA">
        <w:t>p</w:t>
      </w:r>
      <w:r w:rsidR="00CB3A35">
        <w:t>rocurement</w:t>
      </w:r>
      <w:r>
        <w:t xml:space="preserve">, and the Premier. In all instances records must be kept in </w:t>
      </w:r>
      <w:r>
        <w:lastRenderedPageBreak/>
        <w:t xml:space="preserve">relation to the declaration process in line with agency record-keeping protocols and the </w:t>
      </w:r>
      <w:r w:rsidRPr="00043345">
        <w:rPr>
          <w:i/>
          <w:iCs/>
        </w:rPr>
        <w:t>Public Records Act 2002</w:t>
      </w:r>
      <w:r>
        <w:t>.</w:t>
      </w:r>
    </w:p>
    <w:p w14:paraId="247BC5EF" w14:textId="77777777" w:rsidR="00AA20DE" w:rsidRPr="00043345" w:rsidRDefault="00103DB9" w:rsidP="00043345">
      <w:pPr>
        <w:pStyle w:val="IntenseQuote"/>
        <w:jc w:val="left"/>
        <w:rPr>
          <w:b/>
          <w:bCs/>
        </w:rPr>
      </w:pPr>
      <w:r w:rsidRPr="00043345">
        <w:rPr>
          <w:b/>
          <w:bCs/>
        </w:rPr>
        <w:t>Declaration process and project timeframes</w:t>
      </w:r>
    </w:p>
    <w:p w14:paraId="3B651560" w14:textId="77777777" w:rsidR="00AA20DE" w:rsidRDefault="00103DB9" w:rsidP="00043345">
      <w:pPr>
        <w:pStyle w:val="IntenseQuote"/>
        <w:jc w:val="left"/>
      </w:pPr>
      <w:r>
        <w:t xml:space="preserve">Agencies should build in timing contingencies for the declaration process to occur as part of project and procurement planning. </w:t>
      </w:r>
    </w:p>
    <w:p w14:paraId="2FF1DC84" w14:textId="77777777" w:rsidR="00AA20DE" w:rsidRDefault="00103DB9" w:rsidP="00043345">
      <w:pPr>
        <w:pStyle w:val="Heading4"/>
      </w:pPr>
      <w:r>
        <w:t>Declaration process - Industry Reference Group advice</w:t>
      </w:r>
    </w:p>
    <w:p w14:paraId="6CA58938" w14:textId="77777777" w:rsidR="00AA20DE" w:rsidRDefault="00103DB9" w:rsidP="00043345">
      <w:r>
        <w:t>An Industry Reference Group for a category may, in reviewing the forward procurement pipeline, consider government objectives, how they align to upcoming procurement and provide its views on possible declared projects.</w:t>
      </w:r>
    </w:p>
    <w:p w14:paraId="258E1E4F" w14:textId="77777777" w:rsidR="00043345" w:rsidRDefault="00103DB9" w:rsidP="00043345">
      <w:r>
        <w:t>Each category council chair is responsible for the timing and approach for engagement with the respective Industry Reference Group.</w:t>
      </w:r>
    </w:p>
    <w:p w14:paraId="582D8501" w14:textId="77777777" w:rsidR="00043345" w:rsidRDefault="00103DB9" w:rsidP="00043345">
      <w:pPr>
        <w:pStyle w:val="Heading2"/>
      </w:pPr>
      <w:bookmarkStart w:id="31" w:name="_Toc182462556"/>
      <w:r>
        <w:t>Relationship between the best practice principles and other legislation</w:t>
      </w:r>
      <w:bookmarkEnd w:id="31"/>
    </w:p>
    <w:p w14:paraId="65545C11" w14:textId="66BF87E0" w:rsidR="00043345" w:rsidRPr="00C66C5F" w:rsidRDefault="00103DB9" w:rsidP="00043345">
      <w:r>
        <w:t xml:space="preserve">This guide does not require, encourage or promote conduct that would constitute a contravention of the </w:t>
      </w:r>
      <w:r w:rsidRPr="00043345">
        <w:rPr>
          <w:i/>
          <w:iCs/>
        </w:rPr>
        <w:t>Fair Work Act 2009</w:t>
      </w:r>
      <w:r>
        <w:t xml:space="preserve"> (Cth) </w:t>
      </w:r>
      <w:r w:rsidR="00902A05">
        <w:t xml:space="preserve">or </w:t>
      </w:r>
      <w:r>
        <w:t xml:space="preserve">the </w:t>
      </w:r>
      <w:r w:rsidRPr="00043345">
        <w:rPr>
          <w:i/>
          <w:iCs/>
        </w:rPr>
        <w:t>Building Construction Industry (Improving Productivity) Act 2016</w:t>
      </w:r>
      <w:r>
        <w:t xml:space="preserve"> </w:t>
      </w:r>
      <w:r w:rsidRPr="00C66C5F">
        <w:t>(Cth)</w:t>
      </w:r>
      <w:r w:rsidR="002009B6">
        <w:t xml:space="preserve"> or relevant Australian Government and Queensland Government safety legislation</w:t>
      </w:r>
      <w:r w:rsidRPr="00DA6D27">
        <w:t>.</w:t>
      </w:r>
      <w:r w:rsidRPr="00C66C5F">
        <w:t xml:space="preserve"> </w:t>
      </w:r>
    </w:p>
    <w:p w14:paraId="705CD6CF" w14:textId="77777777" w:rsidR="00043345" w:rsidRDefault="00103DB9" w:rsidP="00043345">
      <w:r w:rsidRPr="00486D91">
        <w:t xml:space="preserve">The </w:t>
      </w:r>
      <w:r w:rsidR="00CE3F19" w:rsidRPr="00486D91">
        <w:t>best practice principles</w:t>
      </w:r>
      <w:r w:rsidRPr="00486D91">
        <w:t xml:space="preserve"> are not to be implemented in a way that breaches </w:t>
      </w:r>
      <w:r w:rsidRPr="00DA6D27">
        <w:t>this or any other legislation.</w:t>
      </w:r>
      <w:r>
        <w:t xml:space="preserve">  </w:t>
      </w:r>
    </w:p>
    <w:p w14:paraId="34A9ACD9" w14:textId="77777777" w:rsidR="00043345" w:rsidRDefault="00103DB9" w:rsidP="00043345">
      <w:pPr>
        <w:pStyle w:val="Heading1"/>
      </w:pPr>
      <w:bookmarkStart w:id="32" w:name="_Toc182462557"/>
      <w:r>
        <w:t>When is a project subject to the best practice principles?</w:t>
      </w:r>
      <w:bookmarkEnd w:id="32"/>
    </w:p>
    <w:p w14:paraId="6C58DF2A" w14:textId="77777777" w:rsidR="00043345" w:rsidRDefault="00103DB9" w:rsidP="00043345">
      <w:r>
        <w:t xml:space="preserve">A summary of the main steps in the application of the best practice principles is at </w:t>
      </w:r>
      <w:r w:rsidRPr="00043345">
        <w:rPr>
          <w:b/>
          <w:bCs/>
        </w:rPr>
        <w:t>Appendix 3</w:t>
      </w:r>
      <w:r>
        <w:t>.</w:t>
      </w:r>
    </w:p>
    <w:p w14:paraId="28764266" w14:textId="77777777" w:rsidR="00043345" w:rsidRDefault="00103DB9" w:rsidP="00332D0E">
      <w:pPr>
        <w:pStyle w:val="Heading2"/>
      </w:pPr>
      <w:bookmarkStart w:id="33" w:name="_Toc182462558"/>
      <w:r>
        <w:t>1. Is this a project?</w:t>
      </w:r>
      <w:bookmarkEnd w:id="33"/>
      <w:r>
        <w:t xml:space="preserve"> </w:t>
      </w:r>
    </w:p>
    <w:p w14:paraId="5BDE0B82" w14:textId="77777777" w:rsidR="00043345" w:rsidRDefault="00103DB9" w:rsidP="00043345">
      <w:r>
        <w:t>While the best practice principles are to be applied on a project basis, a program may be declared as subject to the best practice principles using the declaration process.</w:t>
      </w:r>
    </w:p>
    <w:p w14:paraId="706C6CDD" w14:textId="77777777" w:rsidR="00043345" w:rsidRDefault="00103DB9" w:rsidP="00043345">
      <w:r>
        <w:t xml:space="preserve">For further information on the applicability of the best practice principles to projects, please refer to the </w:t>
      </w:r>
      <w:r w:rsidR="000C3D2E">
        <w:t>‘</w:t>
      </w:r>
      <w:r>
        <w:t>Best practice principles project</w:t>
      </w:r>
      <w:r w:rsidR="000C3D2E">
        <w:t>’</w:t>
      </w:r>
      <w:r>
        <w:t xml:space="preserve"> section of this guide.</w:t>
      </w:r>
    </w:p>
    <w:p w14:paraId="0A99570B" w14:textId="77777777" w:rsidR="00043345" w:rsidRDefault="00103DB9" w:rsidP="00043345">
      <w:pPr>
        <w:pStyle w:val="Heading2"/>
      </w:pPr>
      <w:bookmarkStart w:id="34" w:name="_Toc182462559"/>
      <w:r>
        <w:t>2. Does the QPP apply to the project?</w:t>
      </w:r>
      <w:bookmarkEnd w:id="34"/>
      <w:r>
        <w:t xml:space="preserve"> </w:t>
      </w:r>
    </w:p>
    <w:p w14:paraId="37AD051B" w14:textId="77777777" w:rsidR="00043345" w:rsidRDefault="00103DB9" w:rsidP="00043345">
      <w:r>
        <w:t xml:space="preserve">The best practice principles apply to projects which are subject to the QPP. </w:t>
      </w:r>
    </w:p>
    <w:p w14:paraId="03A9BAEC" w14:textId="77777777" w:rsidR="00043345" w:rsidRDefault="00103DB9" w:rsidP="00332D0E">
      <w:pPr>
        <w:pStyle w:val="Heading2"/>
      </w:pPr>
      <w:bookmarkStart w:id="35" w:name="_Toc182462560"/>
      <w:r>
        <w:t>3. Which procurement category does the project fall under?</w:t>
      </w:r>
      <w:bookmarkEnd w:id="35"/>
    </w:p>
    <w:p w14:paraId="2174A89B" w14:textId="77777777" w:rsidR="00043345" w:rsidRDefault="00103DB9" w:rsidP="00043345">
      <w:r>
        <w:t>The best practice principles apply to a project that falls under the following procurement categories:</w:t>
      </w:r>
    </w:p>
    <w:p w14:paraId="137516FB" w14:textId="77777777" w:rsidR="00043345" w:rsidRDefault="00103DB9" w:rsidP="00A33B13">
      <w:pPr>
        <w:pStyle w:val="ListParagraph"/>
        <w:numPr>
          <w:ilvl w:val="0"/>
          <w:numId w:val="10"/>
        </w:numPr>
      </w:pPr>
      <w:r>
        <w:t>BCM</w:t>
      </w:r>
    </w:p>
    <w:p w14:paraId="0DFF5867" w14:textId="77777777" w:rsidR="00043345" w:rsidRDefault="00103DB9" w:rsidP="00A33B13">
      <w:pPr>
        <w:pStyle w:val="ListParagraph"/>
        <w:numPr>
          <w:ilvl w:val="0"/>
          <w:numId w:val="10"/>
        </w:numPr>
      </w:pPr>
      <w:r>
        <w:t>TIS</w:t>
      </w:r>
    </w:p>
    <w:p w14:paraId="17EF2A42" w14:textId="77777777" w:rsidR="00043345" w:rsidRDefault="00103DB9" w:rsidP="00A33B13">
      <w:pPr>
        <w:pStyle w:val="ListParagraph"/>
        <w:numPr>
          <w:ilvl w:val="0"/>
          <w:numId w:val="10"/>
        </w:numPr>
      </w:pPr>
      <w:r>
        <w:t>Medical Goods and Services (Med)</w:t>
      </w:r>
    </w:p>
    <w:p w14:paraId="4D34DA5A" w14:textId="77777777" w:rsidR="00043345" w:rsidRDefault="00103DB9" w:rsidP="00A33B13">
      <w:pPr>
        <w:pStyle w:val="ListParagraph"/>
        <w:numPr>
          <w:ilvl w:val="0"/>
          <w:numId w:val="10"/>
        </w:numPr>
      </w:pPr>
      <w:r>
        <w:t>Social Services (SS)</w:t>
      </w:r>
    </w:p>
    <w:p w14:paraId="7FA98742" w14:textId="77777777" w:rsidR="00043345" w:rsidRDefault="00103DB9" w:rsidP="00A33B13">
      <w:pPr>
        <w:pStyle w:val="ListParagraph"/>
        <w:numPr>
          <w:ilvl w:val="0"/>
          <w:numId w:val="10"/>
        </w:numPr>
      </w:pPr>
      <w:r>
        <w:t>General Goods and Services (GGS)</w:t>
      </w:r>
    </w:p>
    <w:p w14:paraId="25B6E3A4" w14:textId="77777777" w:rsidR="00043345" w:rsidRDefault="00103DB9" w:rsidP="00A33B13">
      <w:pPr>
        <w:pStyle w:val="ListParagraph"/>
        <w:numPr>
          <w:ilvl w:val="0"/>
          <w:numId w:val="10"/>
        </w:numPr>
      </w:pPr>
      <w:r>
        <w:t>Other non-specified categories.</w:t>
      </w:r>
    </w:p>
    <w:p w14:paraId="7447DD5F" w14:textId="77777777" w:rsidR="00043345" w:rsidRDefault="00103DB9" w:rsidP="00043345">
      <w:r>
        <w:lastRenderedPageBreak/>
        <w:t>If a project falls under the ICT procurement category, it will not be subject to the best practice principles regardless of its value. However, the project will be subject to the best practice principles if declared through a declaration process.</w:t>
      </w:r>
    </w:p>
    <w:p w14:paraId="04047AB4" w14:textId="77777777" w:rsidR="00043345" w:rsidRDefault="00103DB9" w:rsidP="00332D0E">
      <w:pPr>
        <w:pStyle w:val="Heading2"/>
      </w:pPr>
      <w:bookmarkStart w:id="36" w:name="_Toc182462561"/>
      <w:r>
        <w:t>4. Is the project’s total value $100 million or more?</w:t>
      </w:r>
      <w:bookmarkEnd w:id="36"/>
      <w:r>
        <w:t xml:space="preserve"> </w:t>
      </w:r>
    </w:p>
    <w:p w14:paraId="3AE4022A" w14:textId="77777777" w:rsidR="00043345" w:rsidRPr="00DA6D27" w:rsidRDefault="00103DB9" w:rsidP="00043345">
      <w:r w:rsidRPr="00DA6D27">
        <w:t>Project value means:</w:t>
      </w:r>
    </w:p>
    <w:p w14:paraId="5833D6A1" w14:textId="77777777" w:rsidR="00043345" w:rsidRPr="00C206DA" w:rsidRDefault="00103DB9" w:rsidP="00A33B13">
      <w:pPr>
        <w:pStyle w:val="ListParagraph"/>
        <w:numPr>
          <w:ilvl w:val="0"/>
          <w:numId w:val="11"/>
        </w:numPr>
      </w:pPr>
      <w:r w:rsidRPr="00C206DA">
        <w:t xml:space="preserve">estimated capital cost of $100 million or more, or </w:t>
      </w:r>
    </w:p>
    <w:p w14:paraId="57BDC25E" w14:textId="77777777" w:rsidR="00043345" w:rsidRPr="00C206DA" w:rsidRDefault="00103DB9" w:rsidP="00A33B13">
      <w:pPr>
        <w:pStyle w:val="ListParagraph"/>
        <w:numPr>
          <w:ilvl w:val="0"/>
          <w:numId w:val="11"/>
        </w:numPr>
      </w:pPr>
      <w:r w:rsidRPr="00C206DA">
        <w:t xml:space="preserve">the net present value of financial commitments </w:t>
      </w:r>
      <w:proofErr w:type="gramStart"/>
      <w:r w:rsidRPr="00C206DA">
        <w:t>entered into</w:t>
      </w:r>
      <w:proofErr w:type="gramEnd"/>
      <w:r w:rsidRPr="00C206DA">
        <w:t xml:space="preserve"> by the State of Queensland for</w:t>
      </w:r>
      <w:r w:rsidR="00FC3EF1" w:rsidRPr="00C206DA">
        <w:t xml:space="preserve"> goods and services (as defined in the QPP) in relation to</w:t>
      </w:r>
      <w:r w:rsidRPr="00C206DA">
        <w:t xml:space="preserve"> the project where this is estimated to be $100 million or more.</w:t>
      </w:r>
    </w:p>
    <w:p w14:paraId="25D66EDC" w14:textId="77777777" w:rsidR="00486D91" w:rsidRPr="00DA6D27" w:rsidRDefault="00486D91" w:rsidP="00147566">
      <w:pPr>
        <w:pStyle w:val="ListParagraph"/>
      </w:pPr>
    </w:p>
    <w:p w14:paraId="2E67B82D" w14:textId="77777777" w:rsidR="00043345" w:rsidRPr="00043345" w:rsidRDefault="00103DB9" w:rsidP="00043345">
      <w:pPr>
        <w:pStyle w:val="IntenseQuote"/>
        <w:jc w:val="left"/>
        <w:rPr>
          <w:b/>
          <w:bCs/>
        </w:rPr>
      </w:pPr>
      <w:r w:rsidRPr="00DA6D27">
        <w:rPr>
          <w:b/>
          <w:bCs/>
        </w:rPr>
        <w:t>Where non-Queensland Government</w:t>
      </w:r>
      <w:r w:rsidRPr="00043345">
        <w:rPr>
          <w:b/>
          <w:bCs/>
        </w:rPr>
        <w:t xml:space="preserve"> funding is involved</w:t>
      </w:r>
    </w:p>
    <w:p w14:paraId="5C117069" w14:textId="555C11B3" w:rsidR="00043345" w:rsidRDefault="00103DB9" w:rsidP="00043345">
      <w:pPr>
        <w:pStyle w:val="IntenseQuote"/>
        <w:jc w:val="left"/>
      </w:pPr>
      <w:r>
        <w:t xml:space="preserve">Check funding agreements as there may be </w:t>
      </w:r>
      <w:r w:rsidR="0062556A">
        <w:t xml:space="preserve">terms and </w:t>
      </w:r>
      <w:r>
        <w:t>conditions attached to the payment of funds from other sources of funding.</w:t>
      </w:r>
    </w:p>
    <w:p w14:paraId="241252B9" w14:textId="2C66DC11" w:rsidR="00043345" w:rsidRDefault="00103DB9" w:rsidP="00043345">
      <w:pPr>
        <w:pStyle w:val="IntenseQuote"/>
        <w:jc w:val="left"/>
      </w:pPr>
      <w:r>
        <w:t xml:space="preserve">For example, Australian Government funding agreements can require agencies to comply with the requirements imposed on funding entities under the </w:t>
      </w:r>
      <w:r w:rsidR="0062556A">
        <w:t xml:space="preserve">Commonwealth Procurement Rules (CPRs). Division 2 of the CPRs sets out additional rules that must be followed for procurement over relevant thresholds. </w:t>
      </w:r>
    </w:p>
    <w:p w14:paraId="6DFC503B" w14:textId="77777777" w:rsidR="00043345" w:rsidRDefault="00103DB9" w:rsidP="00332D0E">
      <w:pPr>
        <w:pStyle w:val="Heading2"/>
      </w:pPr>
      <w:bookmarkStart w:id="37" w:name="_Toc182462562"/>
      <w:r>
        <w:t>5. Is the project a declared project?</w:t>
      </w:r>
      <w:bookmarkEnd w:id="37"/>
    </w:p>
    <w:p w14:paraId="039EDD26" w14:textId="77777777" w:rsidR="00043345" w:rsidRDefault="00103DB9" w:rsidP="00043345">
      <w:r>
        <w:t>Projects that are below $100 million and/or which are in the ICT procurement category are not subject to the best practice principles by default. However, the best practice principles must be applied to these projects if they are declared as being subject to the best practice principles through a declaration process.</w:t>
      </w:r>
    </w:p>
    <w:p w14:paraId="0096BC12" w14:textId="77777777" w:rsidR="00043345" w:rsidRDefault="00103DB9" w:rsidP="00043345">
      <w:r>
        <w:t>In addition, a major project of $100 million or more can be exempt from being subject to the best practice principles if it is exempted through a declaration process.</w:t>
      </w:r>
    </w:p>
    <w:p w14:paraId="31B9BA09" w14:textId="77777777" w:rsidR="00043345" w:rsidRDefault="00103DB9" w:rsidP="00043345">
      <w:r>
        <w:t xml:space="preserve">For further information on the declaration process, the potential for programs to be declared and the role of Industry Reference Groups in this process, please refer to the </w:t>
      </w:r>
      <w:r w:rsidR="000C3D2E">
        <w:t>‘</w:t>
      </w:r>
      <w:r>
        <w:t>Declaration process</w:t>
      </w:r>
      <w:r w:rsidR="000C3D2E">
        <w:t>’</w:t>
      </w:r>
      <w:r>
        <w:t xml:space="preserve"> section of this guide.</w:t>
      </w:r>
    </w:p>
    <w:p w14:paraId="3D22A74A" w14:textId="77777777" w:rsidR="00043345" w:rsidRDefault="00103DB9" w:rsidP="00043345">
      <w:pPr>
        <w:pStyle w:val="Heading3"/>
      </w:pPr>
      <w:bookmarkStart w:id="38" w:name="_Toc182462563"/>
      <w:r>
        <w:t>Common-use supply arrangements</w:t>
      </w:r>
      <w:bookmarkEnd w:id="38"/>
      <w:r>
        <w:t xml:space="preserve">  </w:t>
      </w:r>
    </w:p>
    <w:p w14:paraId="757893D0" w14:textId="77777777" w:rsidR="00043345" w:rsidRDefault="00103DB9" w:rsidP="00043345">
      <w:r>
        <w:t>Some agencies may establish panels or other supply arrangements for goods or services. The establishment of ‘common-use supply arrangements’ (as defined in the QPP) are not within scope of the best practice principles, unless declared.</w:t>
      </w:r>
    </w:p>
    <w:p w14:paraId="2DCB977D" w14:textId="77777777" w:rsidR="00043345" w:rsidRPr="00043345" w:rsidRDefault="00103DB9" w:rsidP="00043345">
      <w:pPr>
        <w:pStyle w:val="IntenseQuote"/>
        <w:jc w:val="left"/>
        <w:rPr>
          <w:b/>
          <w:bCs/>
        </w:rPr>
      </w:pPr>
      <w:r w:rsidRPr="00043345">
        <w:rPr>
          <w:b/>
          <w:bCs/>
        </w:rPr>
        <w:t>Example</w:t>
      </w:r>
    </w:p>
    <w:p w14:paraId="767F52E0" w14:textId="01153A31" w:rsidR="00043345" w:rsidRDefault="00103DB9" w:rsidP="00043345">
      <w:pPr>
        <w:pStyle w:val="IntenseQuote"/>
        <w:jc w:val="left"/>
      </w:pPr>
      <w:r>
        <w:t xml:space="preserve">The Department of </w:t>
      </w:r>
      <w:r w:rsidR="00976BA9">
        <w:t>Housing</w:t>
      </w:r>
      <w:r>
        <w:t xml:space="preserve"> and Public Works undertakes a strategic sourcing exercise and establishes an arrangement under deed for employee services. It is estimated that the value of contracts drawn from the SOA over the life of the arrangement may exceed $100 million. There is no guaranteed sum of financial consideration under the arrangement for any individual supplier. The establishment of the arrangement is not subject to the best practice principles, unless a declaration is made.</w:t>
      </w:r>
    </w:p>
    <w:p w14:paraId="0D9B4B9F" w14:textId="77777777" w:rsidR="00043345" w:rsidRDefault="00103DB9" w:rsidP="00043345">
      <w:r>
        <w:t xml:space="preserve">However, in purchasing from a supplier that is listed on a common-use supply arrangement to supply a best practice principles project, the best practice principles must be applied if any purchase contracts </w:t>
      </w:r>
      <w:r>
        <w:lastRenderedPageBreak/>
        <w:t xml:space="preserve">meet </w:t>
      </w:r>
      <w:proofErr w:type="gramStart"/>
      <w:r>
        <w:t>all of</w:t>
      </w:r>
      <w:proofErr w:type="gramEnd"/>
      <w:r>
        <w:t xml:space="preserve"> the three requirements outlined under the </w:t>
      </w:r>
      <w:r w:rsidR="000C3D2E">
        <w:t>‘</w:t>
      </w:r>
      <w:r>
        <w:t>Applying the best practice principles to contracts</w:t>
      </w:r>
      <w:r w:rsidR="000C3D2E">
        <w:t>’</w:t>
      </w:r>
      <w:r>
        <w:t xml:space="preserve"> section of this guide. </w:t>
      </w:r>
    </w:p>
    <w:p w14:paraId="19B0CA23" w14:textId="77777777" w:rsidR="00043345" w:rsidRDefault="00103DB9" w:rsidP="00043345">
      <w:r>
        <w:t xml:space="preserve">In practice, this means for purchases that are subject to the best practice principles, the best practice principles must be applied: </w:t>
      </w:r>
    </w:p>
    <w:p w14:paraId="2E475D1C" w14:textId="77777777" w:rsidR="00043345" w:rsidRDefault="00103DB9" w:rsidP="00A33B13">
      <w:pPr>
        <w:pStyle w:val="ListParagraph"/>
        <w:numPr>
          <w:ilvl w:val="0"/>
          <w:numId w:val="12"/>
        </w:numPr>
      </w:pPr>
      <w:r>
        <w:t xml:space="preserve">to the quotation process via use of appropriate mandatory and/or weighted evaluation criteria </w:t>
      </w:r>
    </w:p>
    <w:p w14:paraId="02CBBE16" w14:textId="77777777" w:rsidR="00043345" w:rsidRDefault="00103DB9" w:rsidP="00A33B13">
      <w:pPr>
        <w:pStyle w:val="ListParagraph"/>
        <w:numPr>
          <w:ilvl w:val="0"/>
          <w:numId w:val="12"/>
        </w:numPr>
      </w:pPr>
      <w:r>
        <w:t>to the contract via incorporation of best practice principles contract clauses (which reflect best practice principles commitments made in the quotation stage) in the contract details document.</w:t>
      </w:r>
    </w:p>
    <w:p w14:paraId="5D480D55" w14:textId="77777777" w:rsidR="00043345" w:rsidRDefault="00103DB9" w:rsidP="00043345">
      <w:r>
        <w:t>Agencies should consider incorporating conditions to existing and new common-use supply arrangements to make suppliers aware that, if the supplier is appointed to an arrangement, there is a possibility that customers may apply the best practice principles to purchase contracts.</w:t>
      </w:r>
    </w:p>
    <w:p w14:paraId="303470B1" w14:textId="77777777" w:rsidR="00043345" w:rsidRPr="00043345" w:rsidRDefault="00103DB9" w:rsidP="00043345">
      <w:pPr>
        <w:pStyle w:val="IntenseQuote"/>
        <w:jc w:val="left"/>
        <w:rPr>
          <w:b/>
          <w:bCs/>
        </w:rPr>
      </w:pPr>
      <w:r w:rsidRPr="00043345">
        <w:rPr>
          <w:b/>
          <w:bCs/>
        </w:rPr>
        <w:t xml:space="preserve">What about sole supplier situations? </w:t>
      </w:r>
    </w:p>
    <w:p w14:paraId="66D3F59D" w14:textId="77777777" w:rsidR="00043345" w:rsidRDefault="00103DB9" w:rsidP="00043345">
      <w:pPr>
        <w:pStyle w:val="IntenseQuote"/>
        <w:jc w:val="left"/>
      </w:pPr>
      <w:r>
        <w:t xml:space="preserve">There may be situations where the work package or contract to be issued, is for goods and services where there is a sole supplier situation – for example, specialist goods or services or where an agency has no discretion in terms of the supplier used. In such circumstances, agencies should still seek a contractual commitment from the contractor to comply with the best practice principles.  </w:t>
      </w:r>
    </w:p>
    <w:p w14:paraId="6C827487" w14:textId="77777777" w:rsidR="00043345" w:rsidRDefault="00103DB9" w:rsidP="00043345">
      <w:pPr>
        <w:pStyle w:val="Heading2"/>
      </w:pPr>
      <w:bookmarkStart w:id="39" w:name="_Toc182462564"/>
      <w:r>
        <w:t>Key next steps</w:t>
      </w:r>
      <w:bookmarkEnd w:id="39"/>
    </w:p>
    <w:p w14:paraId="63BD5FD8" w14:textId="77777777" w:rsidR="00DD79FA" w:rsidRPr="00DA6D27" w:rsidRDefault="00103DB9" w:rsidP="00043345">
      <w:r w:rsidRPr="00C206DA">
        <w:t xml:space="preserve">Where the best practice principles apply to a project, agencies must include the project in the Queensland Government Forward Procurement Pipeline to support agency planning and increase project visibility and preparedness amongst potential </w:t>
      </w:r>
      <w:r w:rsidR="00ED0879" w:rsidRPr="00C206DA">
        <w:t>contractors and subcontractors</w:t>
      </w:r>
      <w:r w:rsidRPr="00C206DA">
        <w:t>.</w:t>
      </w:r>
    </w:p>
    <w:p w14:paraId="7312C499" w14:textId="77777777" w:rsidR="00193AA6" w:rsidRPr="00DA6D27" w:rsidRDefault="00103DB9">
      <w:pPr>
        <w:spacing w:line="259" w:lineRule="auto"/>
        <w:rPr>
          <w:rFonts w:eastAsiaTheme="majorEastAsia" w:cstheme="majorBidi"/>
          <w:b/>
          <w:color w:val="A91D37"/>
          <w:sz w:val="32"/>
          <w:szCs w:val="32"/>
        </w:rPr>
      </w:pPr>
      <w:bookmarkStart w:id="40" w:name="_Toc61528751"/>
      <w:bookmarkStart w:id="41" w:name="_Toc69201372"/>
      <w:r w:rsidRPr="00DA6D27">
        <w:br w:type="page"/>
      </w:r>
    </w:p>
    <w:p w14:paraId="320D0756" w14:textId="77777777" w:rsidR="00DD79FA" w:rsidRPr="00DA6D27" w:rsidRDefault="00103DB9" w:rsidP="00DD79FA">
      <w:pPr>
        <w:pStyle w:val="Heading1"/>
      </w:pPr>
      <w:bookmarkStart w:id="42" w:name="_Toc182462565"/>
      <w:bookmarkStart w:id="43" w:name="_Hlk75763367"/>
      <w:r w:rsidRPr="00DA6D27">
        <w:lastRenderedPageBreak/>
        <w:t xml:space="preserve">How to apply the </w:t>
      </w:r>
      <w:bookmarkEnd w:id="40"/>
      <w:r w:rsidRPr="00DA6D27">
        <w:t>best practice principles</w:t>
      </w:r>
      <w:bookmarkEnd w:id="41"/>
      <w:bookmarkEnd w:id="42"/>
    </w:p>
    <w:p w14:paraId="38DF3B7E" w14:textId="77777777" w:rsidR="00DD79FA" w:rsidRPr="00DA6D27" w:rsidRDefault="00103DB9" w:rsidP="00DD79FA">
      <w:pPr>
        <w:pStyle w:val="Heading2"/>
      </w:pPr>
      <w:bookmarkStart w:id="44" w:name="_Toc61528752"/>
      <w:bookmarkStart w:id="45" w:name="_Toc69201373"/>
      <w:bookmarkStart w:id="46" w:name="_Toc182462566"/>
      <w:r w:rsidRPr="00DA6D27">
        <w:t>Procurement planning</w:t>
      </w:r>
      <w:bookmarkEnd w:id="44"/>
      <w:bookmarkEnd w:id="45"/>
      <w:bookmarkEnd w:id="46"/>
    </w:p>
    <w:p w14:paraId="66FA3507" w14:textId="77777777" w:rsidR="00DD79FA" w:rsidRPr="00DA6D27" w:rsidRDefault="00103DB9" w:rsidP="00DD79FA">
      <w:pPr>
        <w:pStyle w:val="Heading3"/>
      </w:pPr>
      <w:bookmarkStart w:id="47" w:name="_Toc61528753"/>
      <w:bookmarkStart w:id="48" w:name="_Toc69201374"/>
      <w:bookmarkStart w:id="49" w:name="_Toc182462567"/>
      <w:r w:rsidRPr="00DA6D27">
        <w:t>Procurement strategy development</w:t>
      </w:r>
      <w:bookmarkEnd w:id="47"/>
      <w:bookmarkEnd w:id="48"/>
      <w:bookmarkEnd w:id="49"/>
      <w:r w:rsidRPr="00DA6D27">
        <w:t xml:space="preserve"> </w:t>
      </w:r>
    </w:p>
    <w:p w14:paraId="27D128BC" w14:textId="77777777" w:rsidR="00DD79FA" w:rsidRPr="00DA6D27" w:rsidRDefault="00103DB9" w:rsidP="00DD79FA">
      <w:r w:rsidRPr="00DA6D27">
        <w:t xml:space="preserve">Once a project is determined to be subject to the best practice principles (please refer to the </w:t>
      </w:r>
      <w:r w:rsidR="000C3D2E">
        <w:t>‘</w:t>
      </w:r>
      <w:r w:rsidRPr="00DA6D27">
        <w:t>When is a project subject to the best practice principles?</w:t>
      </w:r>
      <w:r w:rsidR="000C3D2E">
        <w:t>’</w:t>
      </w:r>
      <w:r w:rsidRPr="00DA6D27">
        <w:t xml:space="preserve"> section of this guide), agencies should plan for any procurements that need to be undertaken for the project.  </w:t>
      </w:r>
    </w:p>
    <w:p w14:paraId="1E1469F3" w14:textId="77777777" w:rsidR="00DD79FA" w:rsidRPr="00DA6D27" w:rsidRDefault="00103DB9" w:rsidP="00DD79FA">
      <w:r w:rsidRPr="00DA6D27">
        <w:t xml:space="preserve">Generally, this entails developing an appropriate procurement strategy having regard to: </w:t>
      </w:r>
    </w:p>
    <w:p w14:paraId="103144DB" w14:textId="77777777" w:rsidR="00DD79FA" w:rsidRPr="00DA6D27" w:rsidRDefault="00103DB9" w:rsidP="00A33B13">
      <w:pPr>
        <w:pStyle w:val="ListParagraph"/>
        <w:numPr>
          <w:ilvl w:val="0"/>
          <w:numId w:val="14"/>
        </w:numPr>
      </w:pPr>
      <w:r w:rsidRPr="00DA6D27">
        <w:t>the nature, complexity, risk and value of the procurement activity</w:t>
      </w:r>
    </w:p>
    <w:p w14:paraId="4D2B342A" w14:textId="77777777" w:rsidR="00DD79FA" w:rsidRPr="00DA6D27" w:rsidRDefault="00103DB9" w:rsidP="00A33B13">
      <w:pPr>
        <w:pStyle w:val="ListParagraph"/>
        <w:numPr>
          <w:ilvl w:val="0"/>
          <w:numId w:val="14"/>
        </w:numPr>
      </w:pPr>
      <w:r w:rsidRPr="00DA6D27">
        <w:t>the procurement category, including any applicable category strategies</w:t>
      </w:r>
    </w:p>
    <w:p w14:paraId="0D7D085A" w14:textId="77777777" w:rsidR="00DD79FA" w:rsidRPr="00DA6D27" w:rsidRDefault="00103DB9" w:rsidP="00A33B13">
      <w:pPr>
        <w:pStyle w:val="ListParagraph"/>
        <w:numPr>
          <w:ilvl w:val="0"/>
          <w:numId w:val="14"/>
        </w:numPr>
      </w:pPr>
      <w:r w:rsidRPr="00DA6D27">
        <w:t xml:space="preserve">relevant policy requirements of the QPP that should be pursued. </w:t>
      </w:r>
    </w:p>
    <w:p w14:paraId="10B6170D" w14:textId="77777777" w:rsidR="00DD79FA" w:rsidRPr="00DA6D27" w:rsidRDefault="00103DB9" w:rsidP="00DD79FA">
      <w:r w:rsidRPr="00DA6D27">
        <w:t>It also involves understanding business needs, the supply market (e.g. regional vs urban), and developing a fit-for-purpose market and evaluation approach.</w:t>
      </w:r>
    </w:p>
    <w:p w14:paraId="349F0399" w14:textId="77777777" w:rsidR="00DD79FA" w:rsidRPr="00DA6D27" w:rsidRDefault="00103DB9" w:rsidP="00DD79FA">
      <w:r w:rsidRPr="00DA6D27">
        <w:t xml:space="preserve">Key best practice principles considerations when developing a procurement strategy for procurements that are part of a best practice principles project, for each procurement category, have been outlined in </w:t>
      </w:r>
      <w:r w:rsidRPr="00DA6D27">
        <w:rPr>
          <w:b/>
        </w:rPr>
        <w:t>Table 1</w:t>
      </w:r>
      <w:r w:rsidRPr="00DA6D27">
        <w:t xml:space="preserve"> below.</w:t>
      </w:r>
    </w:p>
    <w:p w14:paraId="5359CF0F" w14:textId="77777777" w:rsidR="00DD79FA" w:rsidRPr="00DA6D27" w:rsidRDefault="00103DB9" w:rsidP="00DD79FA">
      <w:r w:rsidRPr="00DA6D27">
        <w:rPr>
          <w:b/>
        </w:rPr>
        <w:t>Table 1</w:t>
      </w:r>
      <w:r w:rsidRPr="00DA6D27">
        <w:t>: Key best practice principles considerations when developing a procurement strategy for procurement that is part of a best practice principles project, for each procurement category</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4A0" w:firstRow="1" w:lastRow="0" w:firstColumn="1" w:lastColumn="0" w:noHBand="0" w:noVBand="1"/>
      </w:tblPr>
      <w:tblGrid>
        <w:gridCol w:w="1600"/>
        <w:gridCol w:w="7746"/>
      </w:tblGrid>
      <w:tr w:rsidR="00044A45" w14:paraId="6B9ABA24" w14:textId="77777777" w:rsidTr="00931A22">
        <w:trPr>
          <w:tblHeader/>
        </w:trPr>
        <w:tc>
          <w:tcPr>
            <w:tcW w:w="8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3769616B" w14:textId="77777777" w:rsidR="00DD79FA" w:rsidRPr="00DA6D27" w:rsidRDefault="00103DB9" w:rsidP="00DD79FA">
            <w:pPr>
              <w:rPr>
                <w:b/>
                <w:color w:val="FFFFFF" w:themeColor="background1"/>
              </w:rPr>
            </w:pPr>
            <w:r w:rsidRPr="00DA6D27">
              <w:rPr>
                <w:b/>
                <w:color w:val="FFFFFF" w:themeColor="background1"/>
              </w:rPr>
              <w:t>Procurement category</w:t>
            </w:r>
          </w:p>
        </w:tc>
        <w:tc>
          <w:tcPr>
            <w:tcW w:w="414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60CB2015" w14:textId="77777777" w:rsidR="00DD79FA" w:rsidRPr="00DA6D27" w:rsidRDefault="00103DB9" w:rsidP="00DD79FA">
            <w:pPr>
              <w:rPr>
                <w:b/>
                <w:color w:val="FFFFFF" w:themeColor="background1"/>
              </w:rPr>
            </w:pPr>
            <w:r w:rsidRPr="00DA6D27">
              <w:rPr>
                <w:b/>
                <w:color w:val="FFFFFF" w:themeColor="background1"/>
              </w:rPr>
              <w:t>Key considerations</w:t>
            </w:r>
          </w:p>
        </w:tc>
      </w:tr>
      <w:tr w:rsidR="00044A45" w14:paraId="2742E51B" w14:textId="77777777" w:rsidTr="00931A22">
        <w:trPr>
          <w:trHeight w:val="1254"/>
        </w:trPr>
        <w:tc>
          <w:tcPr>
            <w:tcW w:w="856" w:type="pct"/>
            <w:tcBorders>
              <w:top w:val="single" w:sz="4" w:space="0" w:color="FFFFFF" w:themeColor="background1"/>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BFBFBF" w:themeFill="background1" w:themeFillShade="BF"/>
            <w:vAlign w:val="center"/>
          </w:tcPr>
          <w:p w14:paraId="29E3E23A" w14:textId="77777777" w:rsidR="00DD79FA" w:rsidRPr="00DA6D27" w:rsidRDefault="00103DB9" w:rsidP="00A33B13">
            <w:pPr>
              <w:pStyle w:val="ListParagraph"/>
              <w:numPr>
                <w:ilvl w:val="0"/>
                <w:numId w:val="15"/>
              </w:numPr>
            </w:pPr>
            <w:r w:rsidRPr="00DA6D27">
              <w:t>BCM</w:t>
            </w:r>
          </w:p>
          <w:p w14:paraId="266A9B52" w14:textId="77777777" w:rsidR="00DD79FA" w:rsidRPr="00DA6D27" w:rsidRDefault="00103DB9" w:rsidP="00A33B13">
            <w:pPr>
              <w:pStyle w:val="ListParagraph"/>
              <w:numPr>
                <w:ilvl w:val="0"/>
                <w:numId w:val="15"/>
              </w:numPr>
            </w:pPr>
            <w:r w:rsidRPr="00DA6D27">
              <w:t>TIS</w:t>
            </w:r>
          </w:p>
          <w:p w14:paraId="62D560DE" w14:textId="77777777" w:rsidR="00DD79FA" w:rsidRPr="00DA6D27" w:rsidRDefault="00103DB9" w:rsidP="00A33B13">
            <w:pPr>
              <w:pStyle w:val="ListParagraph"/>
              <w:numPr>
                <w:ilvl w:val="0"/>
                <w:numId w:val="15"/>
              </w:numPr>
            </w:pPr>
            <w:r w:rsidRPr="00DA6D27">
              <w:t>Med</w:t>
            </w:r>
          </w:p>
          <w:p w14:paraId="2EF21AD0" w14:textId="77777777" w:rsidR="00DD79FA" w:rsidRPr="00DA6D27" w:rsidRDefault="00103DB9" w:rsidP="00A33B13">
            <w:pPr>
              <w:pStyle w:val="ListParagraph"/>
              <w:numPr>
                <w:ilvl w:val="0"/>
                <w:numId w:val="15"/>
              </w:numPr>
            </w:pPr>
            <w:r w:rsidRPr="00DA6D27">
              <w:t>SS</w:t>
            </w:r>
          </w:p>
          <w:p w14:paraId="18FB6233" w14:textId="77777777" w:rsidR="00DD79FA" w:rsidRPr="00DA6D27" w:rsidRDefault="00103DB9" w:rsidP="00A33B13">
            <w:pPr>
              <w:pStyle w:val="ListParagraph"/>
              <w:numPr>
                <w:ilvl w:val="0"/>
                <w:numId w:val="15"/>
              </w:numPr>
            </w:pPr>
            <w:r w:rsidRPr="00DA6D27">
              <w:t>GGS</w:t>
            </w:r>
          </w:p>
          <w:p w14:paraId="7EF300AF" w14:textId="77777777" w:rsidR="00DD79FA" w:rsidRPr="00DA6D27" w:rsidRDefault="00103DB9" w:rsidP="00A33B13">
            <w:pPr>
              <w:pStyle w:val="ListParagraph"/>
              <w:numPr>
                <w:ilvl w:val="0"/>
                <w:numId w:val="15"/>
              </w:numPr>
            </w:pPr>
            <w:r w:rsidRPr="00DA6D27">
              <w:t>ICT (only if declared)</w:t>
            </w:r>
          </w:p>
          <w:p w14:paraId="4B6E48B0" w14:textId="77777777" w:rsidR="00DD79FA" w:rsidRPr="00DA6D27" w:rsidRDefault="00103DB9" w:rsidP="00A33B13">
            <w:pPr>
              <w:pStyle w:val="ListParagraph"/>
              <w:numPr>
                <w:ilvl w:val="0"/>
                <w:numId w:val="15"/>
              </w:numPr>
            </w:pPr>
            <w:r w:rsidRPr="00DA6D27">
              <w:t>Other</w:t>
            </w:r>
          </w:p>
        </w:tc>
        <w:tc>
          <w:tcPr>
            <w:tcW w:w="4144"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60E75F61" w14:textId="77777777" w:rsidR="00DD79FA" w:rsidRPr="00DA6D27" w:rsidRDefault="00103DB9" w:rsidP="00A33B13">
            <w:pPr>
              <w:numPr>
                <w:ilvl w:val="0"/>
                <w:numId w:val="13"/>
              </w:numPr>
            </w:pPr>
            <w:r w:rsidRPr="00DA6D27">
              <w:t xml:space="preserve">The best practice principles must be applied via evaluation criteria and contract clauses to any contract that meets </w:t>
            </w:r>
            <w:proofErr w:type="gramStart"/>
            <w:r w:rsidRPr="00DA6D27">
              <w:t>all of</w:t>
            </w:r>
            <w:proofErr w:type="gramEnd"/>
            <w:r w:rsidRPr="00DA6D27">
              <w:t xml:space="preserve"> the three requirements outlined under the </w:t>
            </w:r>
            <w:r w:rsidR="000C3D2E">
              <w:t>‘</w:t>
            </w:r>
            <w:r w:rsidRPr="00DA6D27">
              <w:t>Applying the best practice principles to contracts</w:t>
            </w:r>
            <w:r w:rsidR="000C3D2E">
              <w:t>’</w:t>
            </w:r>
            <w:r w:rsidRPr="00DA6D27">
              <w:t xml:space="preserve"> section of this guide. </w:t>
            </w:r>
          </w:p>
        </w:tc>
      </w:tr>
      <w:tr w:rsidR="00044A45" w14:paraId="6ED9413A" w14:textId="77777777" w:rsidTr="00931A22">
        <w:trPr>
          <w:trHeight w:val="739"/>
        </w:trPr>
        <w:tc>
          <w:tcPr>
            <w:tcW w:w="85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BFBFBF" w:themeFill="background1" w:themeFillShade="BF"/>
            <w:vAlign w:val="center"/>
          </w:tcPr>
          <w:p w14:paraId="4C5C009E" w14:textId="77777777" w:rsidR="00DD79FA" w:rsidRPr="00134686" w:rsidRDefault="00103DB9" w:rsidP="00DD79FA">
            <w:pPr>
              <w:rPr>
                <w:b/>
              </w:rPr>
            </w:pPr>
            <w:r w:rsidRPr="000F0949">
              <w:rPr>
                <w:b/>
              </w:rPr>
              <w:t>BCM only</w:t>
            </w:r>
          </w:p>
        </w:tc>
        <w:tc>
          <w:tcPr>
            <w:tcW w:w="4144"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0909601" w14:textId="26661E41" w:rsidR="00DD79FA" w:rsidRPr="00134686" w:rsidRDefault="00103DB9" w:rsidP="00A33B13">
            <w:pPr>
              <w:pStyle w:val="ListParagraph"/>
              <w:numPr>
                <w:ilvl w:val="0"/>
                <w:numId w:val="13"/>
              </w:numPr>
            </w:pPr>
            <w:r w:rsidRPr="00134686">
              <w:t>Agency must use the Queensland Government Prequalification (PQC) System to engage contractors for the best practice principles project.</w:t>
            </w:r>
          </w:p>
          <w:p w14:paraId="45D7475B" w14:textId="6A32916A" w:rsidR="00DD79FA" w:rsidRPr="00134686" w:rsidRDefault="00DD79FA" w:rsidP="00134686"/>
        </w:tc>
      </w:tr>
      <w:tr w:rsidR="00044A45" w14:paraId="22D08220" w14:textId="77777777" w:rsidTr="00931A22">
        <w:trPr>
          <w:trHeight w:val="518"/>
        </w:trPr>
        <w:tc>
          <w:tcPr>
            <w:tcW w:w="85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BFBFBF" w:themeFill="background1" w:themeFillShade="BF"/>
            <w:vAlign w:val="center"/>
          </w:tcPr>
          <w:p w14:paraId="1FA84B34" w14:textId="77777777" w:rsidR="00DD79FA" w:rsidRPr="000F0949" w:rsidRDefault="00103DB9" w:rsidP="00DD79FA">
            <w:pPr>
              <w:rPr>
                <w:b/>
              </w:rPr>
            </w:pPr>
            <w:r w:rsidRPr="000F0949">
              <w:rPr>
                <w:b/>
              </w:rPr>
              <w:t>TIS only</w:t>
            </w:r>
          </w:p>
          <w:p w14:paraId="1659CA8E" w14:textId="77777777" w:rsidR="00DD79FA" w:rsidRPr="00134686" w:rsidRDefault="00DD79FA" w:rsidP="00DD79FA">
            <w:pPr>
              <w:rPr>
                <w:b/>
              </w:rPr>
            </w:pPr>
          </w:p>
        </w:tc>
        <w:tc>
          <w:tcPr>
            <w:tcW w:w="4144"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DBC7A10" w14:textId="555ACD59" w:rsidR="00DD79FA" w:rsidRPr="000F0949" w:rsidRDefault="00103DB9" w:rsidP="00A33B13">
            <w:pPr>
              <w:pStyle w:val="ListParagraph"/>
              <w:numPr>
                <w:ilvl w:val="0"/>
                <w:numId w:val="16"/>
              </w:numPr>
            </w:pPr>
            <w:r w:rsidRPr="000F0949">
              <w:t>Agency must use any applicable prequalification system (e.g. National Prequalification System for Civil (Road and Bridge) Construction Contracts) to engage contractors</w:t>
            </w:r>
            <w:r w:rsidR="009F2D9B" w:rsidRPr="000F0949">
              <w:t xml:space="preserve"> consistent with the principles of the PQC System</w:t>
            </w:r>
            <w:r w:rsidRPr="000F0949">
              <w:t xml:space="preserve"> for the best practice principles project.</w:t>
            </w:r>
          </w:p>
          <w:p w14:paraId="12A36E70" w14:textId="1ADBEBE0" w:rsidR="00DD79FA" w:rsidRPr="00134686" w:rsidRDefault="00DD79FA" w:rsidP="00134686"/>
        </w:tc>
      </w:tr>
    </w:tbl>
    <w:p w14:paraId="2C8D019C" w14:textId="3ACB5B2E" w:rsidR="00DD79FA" w:rsidRPr="00134686" w:rsidRDefault="00DD79FA" w:rsidP="00DD79FA"/>
    <w:p w14:paraId="1281054C" w14:textId="77777777" w:rsidR="00DD79FA" w:rsidRPr="00DA6D27" w:rsidRDefault="00103DB9" w:rsidP="00C54FA8">
      <w:pPr>
        <w:pStyle w:val="Heading3"/>
      </w:pPr>
      <w:bookmarkStart w:id="50" w:name="_Toc182462568"/>
      <w:r w:rsidRPr="00DA6D27">
        <w:t>Tender development</w:t>
      </w:r>
      <w:bookmarkEnd w:id="50"/>
    </w:p>
    <w:p w14:paraId="7AB4ED1A" w14:textId="77777777" w:rsidR="00DA16C0" w:rsidRPr="00DA6D27" w:rsidRDefault="00103DB9" w:rsidP="00DA16C0">
      <w:r w:rsidRPr="00DA6D27">
        <w:t>In developing the tender, agencies must develop evaluation criteria and request contractor responses against each criterion. The evaluation criteria should be developed in conjunction with the tender specifications and conditions, and evaluation approach.</w:t>
      </w:r>
    </w:p>
    <w:p w14:paraId="09F8FD01" w14:textId="77777777" w:rsidR="00DA16C0" w:rsidRPr="00DA6D27" w:rsidRDefault="00103DB9" w:rsidP="00DA16C0">
      <w:r w:rsidRPr="00DA6D27">
        <w:lastRenderedPageBreak/>
        <w:t>In developing tender requirements and contract conditions, agencies should include clauses to:</w:t>
      </w:r>
      <w:r>
        <w:rPr>
          <w:rStyle w:val="FootnoteReference"/>
        </w:rPr>
        <w:footnoteReference w:id="4"/>
      </w:r>
      <w:r w:rsidRPr="00DA6D27">
        <w:t xml:space="preserve">  </w:t>
      </w:r>
    </w:p>
    <w:p w14:paraId="300EBAE6" w14:textId="5B076E65" w:rsidR="00DA16C0" w:rsidRPr="00134686" w:rsidRDefault="00103DB9" w:rsidP="00A33B13">
      <w:pPr>
        <w:pStyle w:val="ListParagraph"/>
        <w:numPr>
          <w:ilvl w:val="0"/>
          <w:numId w:val="20"/>
        </w:numPr>
      </w:pPr>
      <w:r w:rsidRPr="00134686">
        <w:t xml:space="preserve">apply any applicable QPP requirement (e.g. best practice principles) </w:t>
      </w:r>
    </w:p>
    <w:p w14:paraId="4024D17C" w14:textId="77777777" w:rsidR="00DA16C0" w:rsidRPr="00DA6D27" w:rsidRDefault="00103DB9" w:rsidP="00A33B13">
      <w:pPr>
        <w:pStyle w:val="ListParagraph"/>
        <w:numPr>
          <w:ilvl w:val="0"/>
          <w:numId w:val="20"/>
        </w:numPr>
      </w:pPr>
      <w:r w:rsidRPr="00DA6D27">
        <w:t>authorise the evaluation panel to obtain historical information as part of assessing tender responses against all evaluation criteria (e.g. in terms of the best practice principles, requesting tenderers to provide an authority to the evaluation panel and/or written undertakings to identify historical performance)</w:t>
      </w:r>
    </w:p>
    <w:p w14:paraId="5F856A45" w14:textId="77777777" w:rsidR="00DA16C0" w:rsidRPr="00DA6D27" w:rsidRDefault="00103DB9" w:rsidP="00A33B13">
      <w:pPr>
        <w:pStyle w:val="ListParagraph"/>
        <w:numPr>
          <w:ilvl w:val="0"/>
          <w:numId w:val="20"/>
        </w:numPr>
      </w:pPr>
      <w:r w:rsidRPr="00DA6D27">
        <w:t>enable audit and compliance activities to occur (including requiring subcontractors to provide relevant information (through deeds poll or other contractual mechanisms))</w:t>
      </w:r>
    </w:p>
    <w:p w14:paraId="1C4ACC4F" w14:textId="77777777" w:rsidR="00DA16C0" w:rsidRPr="00DA6D27" w:rsidRDefault="00103DB9" w:rsidP="00A33B13">
      <w:pPr>
        <w:pStyle w:val="ListParagraph"/>
        <w:numPr>
          <w:ilvl w:val="0"/>
          <w:numId w:val="20"/>
        </w:numPr>
      </w:pPr>
      <w:r w:rsidRPr="00DA6D27">
        <w:t>include contractual mechanisms to incentivise compliance with tender commitments related to the best practice principles. These may include measures such as liquidated damages or other commercial implications for non-compliance</w:t>
      </w:r>
    </w:p>
    <w:p w14:paraId="7C8CB41C" w14:textId="77777777" w:rsidR="00DA16C0" w:rsidRPr="00DA6D27" w:rsidRDefault="00103DB9" w:rsidP="00A33B13">
      <w:pPr>
        <w:pStyle w:val="ListParagraph"/>
        <w:numPr>
          <w:ilvl w:val="0"/>
          <w:numId w:val="20"/>
        </w:numPr>
      </w:pPr>
      <w:r w:rsidRPr="00DA6D27">
        <w:t xml:space="preserve">require contractors to bind subcontractors to the requirements outlined in the dot points above. </w:t>
      </w:r>
    </w:p>
    <w:p w14:paraId="3CE685F7" w14:textId="77777777" w:rsidR="00DA16C0" w:rsidRPr="00DA6D27" w:rsidRDefault="00103DB9" w:rsidP="00DA16C0">
      <w:pPr>
        <w:pStyle w:val="IntenseQuote"/>
        <w:jc w:val="left"/>
        <w:rPr>
          <w:b/>
          <w:bCs/>
        </w:rPr>
      </w:pPr>
      <w:r w:rsidRPr="00DA6D27">
        <w:rPr>
          <w:b/>
          <w:bCs/>
        </w:rPr>
        <w:t>Important note</w:t>
      </w:r>
    </w:p>
    <w:p w14:paraId="72AE2EDE" w14:textId="53B06756" w:rsidR="00DA16C0" w:rsidRPr="00DA6D27" w:rsidRDefault="00103DB9" w:rsidP="00DA16C0">
      <w:pPr>
        <w:pStyle w:val="IntenseQuote"/>
        <w:jc w:val="left"/>
      </w:pPr>
      <w:r w:rsidRPr="00134686">
        <w:t>In applying the best practice principles, it is strongly recommended that agencies develop tender evaluation criteria and contract conditions in consultation with specialist work health and safety, legal and other relevant advisors.</w:t>
      </w:r>
    </w:p>
    <w:p w14:paraId="1F48E832" w14:textId="77777777" w:rsidR="00DA16C0" w:rsidRPr="00DA6D27" w:rsidRDefault="00103DB9" w:rsidP="00DA16C0">
      <w:pPr>
        <w:pStyle w:val="Heading4"/>
      </w:pPr>
      <w:r w:rsidRPr="00DA6D27">
        <w:t xml:space="preserve">Evaluation criteria - development </w:t>
      </w:r>
    </w:p>
    <w:p w14:paraId="4B008F38" w14:textId="77777777" w:rsidR="00DA16C0" w:rsidRPr="00DA6D27" w:rsidRDefault="00103DB9" w:rsidP="00DA16C0">
      <w:r w:rsidRPr="00DA6D27">
        <w:t xml:space="preserve">In developing the evaluation criteria, agencies should consider not only the objective of the procurement, but the nature and capability of contractors to respond to the criteria. </w:t>
      </w:r>
    </w:p>
    <w:p w14:paraId="17954327" w14:textId="77777777" w:rsidR="00DA16C0" w:rsidRDefault="00103DB9" w:rsidP="00DA16C0">
      <w:r w:rsidRPr="00DA6D27">
        <w:t>Key considerations when developing evaluation criteria for procurements that are part of a best practice principles project for each procurement category have been outlined</w:t>
      </w:r>
      <w:r>
        <w:t xml:space="preserve"> in </w:t>
      </w:r>
      <w:r w:rsidRPr="00DA16C0">
        <w:rPr>
          <w:b/>
          <w:bCs/>
        </w:rPr>
        <w:t>Table 3</w:t>
      </w:r>
      <w:r>
        <w:t xml:space="preserve"> below.</w:t>
      </w:r>
    </w:p>
    <w:p w14:paraId="543DF646" w14:textId="77777777" w:rsidR="00DA16C0" w:rsidRPr="00DA16C0" w:rsidRDefault="00103DB9" w:rsidP="00DA16C0">
      <w:r w:rsidRPr="00DA16C0">
        <w:rPr>
          <w:b/>
          <w:bCs/>
        </w:rPr>
        <w:t>Table 3:</w:t>
      </w:r>
      <w:r>
        <w:t xml:space="preserve"> Key considerations when developing evaluation criteria for procurements that are part of a best practice principles project, for each procurement category</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4A0" w:firstRow="1" w:lastRow="0" w:firstColumn="1" w:lastColumn="0" w:noHBand="0" w:noVBand="1"/>
      </w:tblPr>
      <w:tblGrid>
        <w:gridCol w:w="1600"/>
        <w:gridCol w:w="7746"/>
      </w:tblGrid>
      <w:tr w:rsidR="00044A45" w14:paraId="3E8CA5F3" w14:textId="77777777" w:rsidTr="00931A22">
        <w:trPr>
          <w:tblHeader/>
        </w:trPr>
        <w:tc>
          <w:tcPr>
            <w:tcW w:w="8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681DC3BA" w14:textId="77777777" w:rsidR="00DA16C0" w:rsidRPr="00DA16C0" w:rsidRDefault="00103DB9" w:rsidP="00DA16C0">
            <w:pPr>
              <w:rPr>
                <w:b/>
                <w:color w:val="FFFFFF" w:themeColor="background1"/>
              </w:rPr>
            </w:pPr>
            <w:r w:rsidRPr="00DA16C0">
              <w:rPr>
                <w:b/>
                <w:color w:val="FFFFFF" w:themeColor="background1"/>
              </w:rPr>
              <w:t>Procurement category</w:t>
            </w:r>
          </w:p>
        </w:tc>
        <w:tc>
          <w:tcPr>
            <w:tcW w:w="414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58EAB0C7" w14:textId="77777777" w:rsidR="00DA16C0" w:rsidRPr="00DA16C0" w:rsidRDefault="00103DB9" w:rsidP="00DA16C0">
            <w:pPr>
              <w:rPr>
                <w:b/>
                <w:color w:val="FFFFFF" w:themeColor="background1"/>
              </w:rPr>
            </w:pPr>
            <w:r w:rsidRPr="00DA16C0">
              <w:rPr>
                <w:b/>
                <w:color w:val="FFFFFF" w:themeColor="background1"/>
              </w:rPr>
              <w:t>Key considerations</w:t>
            </w:r>
          </w:p>
        </w:tc>
      </w:tr>
      <w:tr w:rsidR="00044A45" w14:paraId="149AFDF5" w14:textId="77777777" w:rsidTr="00931A22">
        <w:trPr>
          <w:trHeight w:val="394"/>
        </w:trPr>
        <w:tc>
          <w:tcPr>
            <w:tcW w:w="856" w:type="pct"/>
            <w:tcBorders>
              <w:top w:val="single" w:sz="4" w:space="0" w:color="FFFFFF" w:themeColor="background1"/>
              <w:left w:val="single" w:sz="4" w:space="0" w:color="F2F2F2" w:themeColor="background1" w:themeShade="F2"/>
              <w:bottom w:val="single" w:sz="4" w:space="0" w:color="FFFFFF" w:themeColor="background1"/>
              <w:right w:val="single" w:sz="4" w:space="0" w:color="BFBFBF" w:themeColor="background1" w:themeShade="BF"/>
            </w:tcBorders>
            <w:shd w:val="clear" w:color="auto" w:fill="BFBFBF" w:themeFill="background1" w:themeFillShade="BF"/>
            <w:vAlign w:val="center"/>
          </w:tcPr>
          <w:p w14:paraId="34C72515" w14:textId="77777777" w:rsidR="00DA16C0" w:rsidRPr="00134686" w:rsidRDefault="00103DB9" w:rsidP="00DA16C0">
            <w:pPr>
              <w:rPr>
                <w:b/>
              </w:rPr>
            </w:pPr>
            <w:r w:rsidRPr="00134686">
              <w:rPr>
                <w:b/>
              </w:rPr>
              <w:t>BCM, TIS, Med, SS, GGS, ICT and other</w:t>
            </w:r>
          </w:p>
        </w:tc>
        <w:tc>
          <w:tcPr>
            <w:tcW w:w="4144"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56E66D3F" w14:textId="7C7ADABD" w:rsidR="00DA16C0" w:rsidRPr="00134686" w:rsidRDefault="00103DB9" w:rsidP="00A33B13">
            <w:pPr>
              <w:pStyle w:val="ListParagraph"/>
              <w:numPr>
                <w:ilvl w:val="0"/>
                <w:numId w:val="22"/>
              </w:numPr>
            </w:pPr>
            <w:r w:rsidRPr="00134686">
              <w:t>Each of the best practice principles must be incorporated into the tender as evaluation criteria.</w:t>
            </w:r>
          </w:p>
          <w:p w14:paraId="60F9E2D3" w14:textId="77777777" w:rsidR="00DA16C0" w:rsidRPr="00134686" w:rsidRDefault="00103DB9" w:rsidP="00A33B13">
            <w:pPr>
              <w:pStyle w:val="ListParagraph"/>
              <w:numPr>
                <w:ilvl w:val="0"/>
                <w:numId w:val="22"/>
              </w:numPr>
            </w:pPr>
            <w:r w:rsidRPr="00134686">
              <w:t>Other QPP policy requirements (e.g. local benefits test, Ethical Supplier Threshold, non-price criteria) and project-specific (e.g. experience, methodology, price) should be included as evaluation criteria where applicable.</w:t>
            </w:r>
          </w:p>
          <w:p w14:paraId="6D7FA9CB" w14:textId="77777777" w:rsidR="00DA16C0" w:rsidRPr="00134686" w:rsidRDefault="00103DB9" w:rsidP="00A33B13">
            <w:pPr>
              <w:pStyle w:val="ListParagraph"/>
              <w:numPr>
                <w:ilvl w:val="0"/>
                <w:numId w:val="22"/>
              </w:numPr>
            </w:pPr>
            <w:r w:rsidRPr="00134686">
              <w:t xml:space="preserve">To assist tenderers to respond to each evaluation criteria, evaluation questions and/or relevant examples should be provided in the tender relative to the project concerned. For example, agencies may refer to </w:t>
            </w:r>
            <w:r w:rsidRPr="00134686">
              <w:rPr>
                <w:b/>
                <w:bCs/>
              </w:rPr>
              <w:t>Appendix 1</w:t>
            </w:r>
            <w:r w:rsidRPr="00134686">
              <w:t xml:space="preserve"> in formulating evaluation questions or providing examples of best practice against each of the best practice principles.</w:t>
            </w:r>
          </w:p>
          <w:p w14:paraId="55A1B539" w14:textId="77777777" w:rsidR="00DA16C0" w:rsidRPr="00134686" w:rsidRDefault="00103DB9" w:rsidP="00A33B13">
            <w:pPr>
              <w:pStyle w:val="ListParagraph"/>
              <w:numPr>
                <w:ilvl w:val="0"/>
                <w:numId w:val="22"/>
              </w:numPr>
            </w:pPr>
            <w:r w:rsidRPr="00134686">
              <w:t xml:space="preserve">Where a prequalification system is used as part of the procurement strategy, care needs to be taken to ensure that the evaluation criteria: </w:t>
            </w:r>
          </w:p>
          <w:p w14:paraId="37B23BE0" w14:textId="0FA6638C" w:rsidR="009F2D9B" w:rsidRPr="00134686" w:rsidRDefault="00103DB9" w:rsidP="00A33B13">
            <w:pPr>
              <w:pStyle w:val="ListParagraph"/>
              <w:numPr>
                <w:ilvl w:val="1"/>
                <w:numId w:val="22"/>
              </w:numPr>
            </w:pPr>
            <w:r w:rsidRPr="00134686">
              <w:t xml:space="preserve">reflect the </w:t>
            </w:r>
            <w:r w:rsidR="004B4176" w:rsidRPr="00134686">
              <w:t xml:space="preserve">best practice principles </w:t>
            </w:r>
            <w:r w:rsidRPr="00134686">
              <w:t>for applicable projects</w:t>
            </w:r>
          </w:p>
          <w:p w14:paraId="4BAFD6FE" w14:textId="77777777" w:rsidR="00DA16C0" w:rsidRPr="00134686" w:rsidRDefault="00103DB9" w:rsidP="00A33B13">
            <w:pPr>
              <w:pStyle w:val="ListParagraph"/>
              <w:numPr>
                <w:ilvl w:val="1"/>
                <w:numId w:val="22"/>
              </w:numPr>
            </w:pPr>
            <w:r w:rsidRPr="00134686">
              <w:t>do not result in tenderers being unnecessarily asked to provide the same level of detailed information provided at the prequalification stage</w:t>
            </w:r>
          </w:p>
          <w:p w14:paraId="33D7A737" w14:textId="77777777" w:rsidR="00DA16C0" w:rsidRPr="00134686" w:rsidRDefault="00103DB9" w:rsidP="00A33B13">
            <w:pPr>
              <w:pStyle w:val="ListParagraph"/>
              <w:numPr>
                <w:ilvl w:val="1"/>
                <w:numId w:val="22"/>
              </w:numPr>
            </w:pPr>
            <w:r w:rsidRPr="00134686">
              <w:lastRenderedPageBreak/>
              <w:t xml:space="preserve">enables validation of information provided by tenderers at the prequalification stage (e.g. validation of best practice principles-related information if the Queensland Government PQC </w:t>
            </w:r>
            <w:r w:rsidR="009F2D9B" w:rsidRPr="00134686">
              <w:t>S</w:t>
            </w:r>
            <w:r w:rsidRPr="00134686">
              <w:t>ystem is used for a BCM procurement).</w:t>
            </w:r>
          </w:p>
          <w:p w14:paraId="7336B3C2" w14:textId="77777777" w:rsidR="00DA16C0" w:rsidRPr="00134686" w:rsidRDefault="00103DB9" w:rsidP="00A33B13">
            <w:pPr>
              <w:numPr>
                <w:ilvl w:val="0"/>
                <w:numId w:val="21"/>
              </w:numPr>
            </w:pPr>
            <w:r w:rsidRPr="00134686">
              <w:t>Ensure that the evaluation criteria in the tender are reflected in the associated evaluation plan.</w:t>
            </w:r>
          </w:p>
        </w:tc>
      </w:tr>
    </w:tbl>
    <w:p w14:paraId="5CE6A713" w14:textId="77777777" w:rsidR="00DA16C0" w:rsidRPr="00DA6D27" w:rsidRDefault="00103DB9" w:rsidP="00DA16C0">
      <w:r w:rsidRPr="00DA6D27">
        <w:lastRenderedPageBreak/>
        <w:t xml:space="preserve">In parallel with developing evaluation criteria, agencies should also determine and incorporate key performance indicators and a performance measurement approach, to ensure ongoing contract compliance and performance.  </w:t>
      </w:r>
    </w:p>
    <w:p w14:paraId="17A473FF" w14:textId="77777777" w:rsidR="00DA16C0" w:rsidRPr="00DA6D27" w:rsidRDefault="00103DB9" w:rsidP="00DA16C0">
      <w:pPr>
        <w:pStyle w:val="Heading4"/>
      </w:pPr>
      <w:r w:rsidRPr="00DA6D27">
        <w:t>Evaluation criteria – weightings (general)</w:t>
      </w:r>
    </w:p>
    <w:p w14:paraId="1B02CD4A" w14:textId="77777777" w:rsidR="00DA16C0" w:rsidRPr="00DA6D27" w:rsidRDefault="00103DB9" w:rsidP="00DA16C0">
      <w:r w:rsidRPr="00DA6D27">
        <w:t xml:space="preserve">Agencies must propose, and seek relevant approvals for, weightings for each evaluation criterion, including the best practice principles and local benefits test. </w:t>
      </w:r>
    </w:p>
    <w:p w14:paraId="558A4694" w14:textId="77777777" w:rsidR="00DA16C0" w:rsidRPr="00C206DA" w:rsidRDefault="00103DB9" w:rsidP="00DA16C0">
      <w:r w:rsidRPr="00DA6D27">
        <w:t xml:space="preserve">Relevant approvals include those required from the responsible Minister as described under the </w:t>
      </w:r>
      <w:r w:rsidR="000C3D2E">
        <w:t>‘</w:t>
      </w:r>
      <w:r w:rsidRPr="00DA6D27">
        <w:t>Evaluation criteria – weightings (Ministerial approval process)</w:t>
      </w:r>
      <w:r w:rsidR="000C3D2E">
        <w:t>’</w:t>
      </w:r>
      <w:r w:rsidRPr="00DA6D27">
        <w:t xml:space="preserve"> section of this guide, as well as approvals </w:t>
      </w:r>
      <w:r w:rsidRPr="00C206DA">
        <w:t>from an agency delegate for weightings assigned to other evaluation criteria.</w:t>
      </w:r>
    </w:p>
    <w:p w14:paraId="34C28C89" w14:textId="77777777" w:rsidR="00DA16C0" w:rsidRPr="00DA6D27" w:rsidRDefault="00103DB9" w:rsidP="00DA16C0">
      <w:r w:rsidRPr="00C206DA">
        <w:t>In proposing weightings, agencies should have regard to all aspects of the evaluation and arrive at an overall combination of weightings across all evaluation criteria that will ensure a value for money outcome as described in the QPP. This means taking a considered approach to ensure that the best practice principles and local benefits test are weighted appropriately against other evaluation criteria (e.g. social, environmental, experience/capability, cost).</w:t>
      </w:r>
      <w:r w:rsidRPr="00DA6D27">
        <w:t xml:space="preserve">      </w:t>
      </w:r>
    </w:p>
    <w:p w14:paraId="26962569" w14:textId="77777777" w:rsidR="00DA16C0" w:rsidRPr="00DA6D27" w:rsidRDefault="00103DB9" w:rsidP="00DA16C0">
      <w:pPr>
        <w:pStyle w:val="Heading4"/>
      </w:pPr>
      <w:r w:rsidRPr="00DA6D27">
        <w:t>Evaluation criteria – weightings (best practice principles)</w:t>
      </w:r>
    </w:p>
    <w:p w14:paraId="6925E51D" w14:textId="189D2B93" w:rsidR="00DA16C0" w:rsidRPr="00DA6D27" w:rsidRDefault="00103DB9" w:rsidP="00DA16C0">
      <w:r w:rsidRPr="00DA6D27">
        <w:t xml:space="preserve">A weighting of up to 20 per cent can be applied for the best practice principles. Within this range, agencies should note that proposed weightings for the best practice principles will differ from project to project. </w:t>
      </w:r>
    </w:p>
    <w:p w14:paraId="6DD37DAC" w14:textId="77777777" w:rsidR="00DA16C0" w:rsidRPr="00DA6D27" w:rsidRDefault="00103DB9" w:rsidP="00DA16C0">
      <w:r w:rsidRPr="00DA6D27">
        <w:t>Examples of some considerations in proposing weightings for the best practice principles include:</w:t>
      </w:r>
      <w:r>
        <w:rPr>
          <w:rStyle w:val="FootnoteReference"/>
        </w:rPr>
        <w:footnoteReference w:id="5"/>
      </w:r>
      <w:r w:rsidRPr="00DA6D27">
        <w:t xml:space="preserve"> </w:t>
      </w:r>
    </w:p>
    <w:p w14:paraId="65891E27" w14:textId="77777777" w:rsidR="00DA16C0" w:rsidRPr="00DA6D27" w:rsidRDefault="00103DB9" w:rsidP="00A33B13">
      <w:pPr>
        <w:pStyle w:val="ListParagraph"/>
        <w:numPr>
          <w:ilvl w:val="0"/>
          <w:numId w:val="23"/>
        </w:numPr>
      </w:pPr>
      <w:r w:rsidRPr="00DA6D27">
        <w:t xml:space="preserve">project objective, characteristics/circumstances, complexity, stage and location </w:t>
      </w:r>
    </w:p>
    <w:p w14:paraId="5856A2F2" w14:textId="77777777" w:rsidR="00DA16C0" w:rsidRPr="004B4176" w:rsidRDefault="00103DB9" w:rsidP="00A33B13">
      <w:pPr>
        <w:pStyle w:val="ListParagraph"/>
        <w:numPr>
          <w:ilvl w:val="0"/>
          <w:numId w:val="23"/>
        </w:numPr>
      </w:pPr>
      <w:r w:rsidRPr="004B4176">
        <w:t>market capability and capacity</w:t>
      </w:r>
    </w:p>
    <w:p w14:paraId="0EB60385" w14:textId="60ADBD93" w:rsidR="00DA16C0" w:rsidRPr="004B4176" w:rsidRDefault="00103DB9" w:rsidP="00A33B13">
      <w:pPr>
        <w:pStyle w:val="ListParagraph"/>
        <w:numPr>
          <w:ilvl w:val="0"/>
          <w:numId w:val="23"/>
        </w:numPr>
      </w:pPr>
      <w:r w:rsidRPr="004B4176">
        <w:t>relative risks associated with the project</w:t>
      </w:r>
      <w:r w:rsidR="00651239">
        <w:t xml:space="preserve"> </w:t>
      </w:r>
      <w:r w:rsidRPr="004B4176">
        <w:t>concerning workplace health and safety</w:t>
      </w:r>
    </w:p>
    <w:p w14:paraId="77B1C47A" w14:textId="77777777" w:rsidR="00DA16C0" w:rsidRPr="00DA6D27" w:rsidRDefault="00103DB9" w:rsidP="00A33B13">
      <w:pPr>
        <w:pStyle w:val="ListParagraph"/>
        <w:numPr>
          <w:ilvl w:val="0"/>
          <w:numId w:val="23"/>
        </w:numPr>
      </w:pPr>
      <w:r w:rsidRPr="00DA6D27">
        <w:t>impact on project timeframes and budget</w:t>
      </w:r>
    </w:p>
    <w:p w14:paraId="79CB813D" w14:textId="77777777" w:rsidR="00DA16C0" w:rsidRPr="00DA6D27" w:rsidRDefault="00103DB9" w:rsidP="00A33B13">
      <w:pPr>
        <w:pStyle w:val="ListParagraph"/>
        <w:numPr>
          <w:ilvl w:val="0"/>
          <w:numId w:val="23"/>
        </w:numPr>
      </w:pPr>
      <w:r w:rsidRPr="00DA6D27">
        <w:t>weightings proposed for other evaluation criteria</w:t>
      </w:r>
    </w:p>
    <w:p w14:paraId="0F2A0A5B" w14:textId="77777777" w:rsidR="00DA16C0" w:rsidRPr="00DA6D27" w:rsidRDefault="00103DB9" w:rsidP="00A33B13">
      <w:pPr>
        <w:pStyle w:val="ListParagraph"/>
        <w:numPr>
          <w:ilvl w:val="0"/>
          <w:numId w:val="23"/>
        </w:numPr>
      </w:pPr>
      <w:r w:rsidRPr="00DA6D27">
        <w:t>prevailing economic conditions</w:t>
      </w:r>
    </w:p>
    <w:p w14:paraId="5ADC0F03" w14:textId="77777777" w:rsidR="00DA16C0" w:rsidRPr="00DA6D27" w:rsidRDefault="00103DB9" w:rsidP="00A33B13">
      <w:pPr>
        <w:pStyle w:val="ListParagraph"/>
        <w:numPr>
          <w:ilvl w:val="0"/>
          <w:numId w:val="23"/>
        </w:numPr>
      </w:pPr>
      <w:r w:rsidRPr="00DA6D27">
        <w:t>value for money, including government targets, commitments and policy requirements</w:t>
      </w:r>
    </w:p>
    <w:p w14:paraId="4738CAA5" w14:textId="77777777" w:rsidR="00DA16C0" w:rsidRPr="00DA6D27" w:rsidRDefault="00103DB9" w:rsidP="00A33B13">
      <w:pPr>
        <w:pStyle w:val="ListParagraph"/>
        <w:numPr>
          <w:ilvl w:val="0"/>
          <w:numId w:val="23"/>
        </w:numPr>
      </w:pPr>
      <w:r w:rsidRPr="00DA6D27">
        <w:t>weightings for the best practice principles (and other evaluation criteria) used in previous projects of a similar nature.</w:t>
      </w:r>
    </w:p>
    <w:p w14:paraId="68C2ECA3" w14:textId="044E9735" w:rsidR="00DA16C0" w:rsidRPr="00DA6D27" w:rsidRDefault="00103DB9" w:rsidP="00DA16C0">
      <w:r w:rsidRPr="00134686">
        <w:t>The proposed weightings must be aligned to the project circumstances and characteristics. For example, a project with a high work health and safety risk profile should include higher emphasis on that principle</w:t>
      </w:r>
      <w:r w:rsidR="004B4176" w:rsidRPr="00134686">
        <w:t>.</w:t>
      </w:r>
      <w:r w:rsidRPr="00DA6D27">
        <w:t xml:space="preserve"> </w:t>
      </w:r>
    </w:p>
    <w:p w14:paraId="18FD1B1C" w14:textId="77777777" w:rsidR="00DA16C0" w:rsidRPr="00DA6D27" w:rsidRDefault="00103DB9" w:rsidP="00DA16C0">
      <w:pPr>
        <w:pStyle w:val="Heading4"/>
      </w:pPr>
      <w:r w:rsidRPr="00DA6D27">
        <w:lastRenderedPageBreak/>
        <w:t>Evaluation criteria – weightings (best practice principles and relationship to the local benefits test)</w:t>
      </w:r>
    </w:p>
    <w:p w14:paraId="4105B83F" w14:textId="77777777" w:rsidR="00DA16C0" w:rsidRPr="00DA6D27" w:rsidRDefault="00103DB9" w:rsidP="00DA16C0">
      <w:r w:rsidRPr="00DA6D27">
        <w:t xml:space="preserve">Under the QPP agencies are required to conduct a local benefits test for all significant procurement where a weighting of up to 30 per cent may be applied. Refer to the </w:t>
      </w:r>
      <w:hyperlink r:id="rId16" w:history="1">
        <w:r w:rsidRPr="00DA6D27">
          <w:rPr>
            <w:rStyle w:val="Hyperlink"/>
          </w:rPr>
          <w:t>Local benefits test guide</w:t>
        </w:r>
      </w:hyperlink>
      <w:r w:rsidRPr="00DA6D27">
        <w:t xml:space="preserve"> for more help with applying the test and to view worked examples.</w:t>
      </w:r>
    </w:p>
    <w:p w14:paraId="137A0FC6" w14:textId="77777777" w:rsidR="00DA16C0" w:rsidRPr="00DA6D27" w:rsidRDefault="00103DB9" w:rsidP="00DA16C0">
      <w:r w:rsidRPr="00DA6D27">
        <w:t xml:space="preserve">As previously mentioned, a weighting of up to 20 per cent can be applied for the best practice principles. </w:t>
      </w:r>
    </w:p>
    <w:p w14:paraId="4CBBCBF6" w14:textId="77777777" w:rsidR="00DA16C0" w:rsidRPr="00DA6D27" w:rsidRDefault="00103DB9" w:rsidP="00DA16C0">
      <w:pPr>
        <w:rPr>
          <w:b/>
        </w:rPr>
      </w:pPr>
      <w:r w:rsidRPr="00DA6D27">
        <w:rPr>
          <w:b/>
        </w:rPr>
        <w:t xml:space="preserve">A total, maximum combined weighting of up to 40 per cent can be applied for the local benefits test and best practice principles where both are applied in a tender process. </w:t>
      </w:r>
    </w:p>
    <w:p w14:paraId="5B8C7C93" w14:textId="77777777" w:rsidR="00DA16C0" w:rsidRPr="00DA6D27" w:rsidRDefault="00103DB9" w:rsidP="00DA16C0">
      <w:r w:rsidRPr="00DA6D27">
        <w:t>This means that, in determining weightings</w:t>
      </w:r>
      <w:r>
        <w:rPr>
          <w:vertAlign w:val="superscript"/>
        </w:rPr>
        <w:footnoteReference w:id="6"/>
      </w:r>
      <w:r w:rsidRPr="00DA6D27">
        <w:t xml:space="preserve"> for a combined situation where both the local benefits test and best practice principles are applied, that:</w:t>
      </w:r>
    </w:p>
    <w:p w14:paraId="3793F5EF" w14:textId="77777777" w:rsidR="00DA16C0" w:rsidRPr="00DA6D27" w:rsidRDefault="00103DB9" w:rsidP="00A33B13">
      <w:pPr>
        <w:pStyle w:val="ListParagraph"/>
        <w:numPr>
          <w:ilvl w:val="0"/>
          <w:numId w:val="23"/>
        </w:numPr>
      </w:pPr>
      <w:r w:rsidRPr="00DA6D27">
        <w:t>the combined total weighting for the local benefits test and best practice principles cannot exceed 40 per cent</w:t>
      </w:r>
    </w:p>
    <w:p w14:paraId="424EA632" w14:textId="77777777" w:rsidR="00DA16C0" w:rsidRPr="00DA16C0" w:rsidRDefault="00103DB9" w:rsidP="00A33B13">
      <w:pPr>
        <w:pStyle w:val="ListParagraph"/>
        <w:numPr>
          <w:ilvl w:val="0"/>
          <w:numId w:val="23"/>
        </w:numPr>
      </w:pPr>
      <w:r w:rsidRPr="00DA6D27">
        <w:t>where the weighting for the best practice principles exceeds 10 per cent, the weighting given to the local benefits test</w:t>
      </w:r>
      <w:r w:rsidRPr="00DA16C0">
        <w:t xml:space="preserve"> cannot be weighted at the maximum 30 per cent </w:t>
      </w:r>
      <w:proofErr w:type="gramStart"/>
      <w:r w:rsidRPr="00DA16C0">
        <w:t>so as to</w:t>
      </w:r>
      <w:proofErr w:type="gramEnd"/>
      <w:r w:rsidRPr="00DA16C0">
        <w:t xml:space="preserve"> not exceed the maximum combined weighting of 40 per cent (e.g. if the best practice principles are weighted at 20 per cent, then maximum local benefits test weighting available would be 20 per cent).</w:t>
      </w:r>
    </w:p>
    <w:p w14:paraId="5E4A93DE" w14:textId="77777777" w:rsidR="00DA16C0" w:rsidRPr="00DA16C0" w:rsidRDefault="00103DB9" w:rsidP="00DA16C0">
      <w:r w:rsidRPr="00DA16C0">
        <w:t xml:space="preserve">In recognition that aspects of the local benefits test are also covered by the best practice principles, care needs to be taken to ensure that the application of the local benefits test and the best practice principles do not result in tenderers being asked to respond against the same or highly similar criteria for both the local benefits test and best practice principles. </w:t>
      </w:r>
    </w:p>
    <w:p w14:paraId="6E17A554" w14:textId="77777777" w:rsidR="00DA16C0" w:rsidRPr="00DA16C0" w:rsidRDefault="00103DB9" w:rsidP="00DA16C0">
      <w:r w:rsidRPr="00DA16C0">
        <w:t xml:space="preserve">Refer to </w:t>
      </w:r>
      <w:r w:rsidRPr="00DA16C0">
        <w:rPr>
          <w:b/>
        </w:rPr>
        <w:t>Appendix 4</w:t>
      </w:r>
      <w:r w:rsidRPr="00DA16C0">
        <w:t xml:space="preserve"> for worked examples.</w:t>
      </w:r>
    </w:p>
    <w:p w14:paraId="1C2E871F" w14:textId="77777777" w:rsidR="00DA16C0" w:rsidRPr="00DA16C0" w:rsidRDefault="00103DB9" w:rsidP="0024650B">
      <w:pPr>
        <w:pStyle w:val="Heading4"/>
      </w:pPr>
      <w:r w:rsidRPr="00DA16C0">
        <w:t>Evaluation criteria – weightings (Industry Reference Group advice)</w:t>
      </w:r>
    </w:p>
    <w:p w14:paraId="400270A0" w14:textId="77777777" w:rsidR="0024650B" w:rsidRPr="0024650B" w:rsidRDefault="00103DB9" w:rsidP="0024650B">
      <w:r w:rsidRPr="0024650B">
        <w:t>Advice from relevant members of the Industry Reference Group must be sought by agencies to inform proposed weightings for the best practice principles and local benefits test. To facilitate this advice, agencies should consider providing the following information to relevant members</w:t>
      </w:r>
      <w:r w:rsidR="00F77928">
        <w:t>:</w:t>
      </w:r>
      <w:r>
        <w:rPr>
          <w:vertAlign w:val="superscript"/>
        </w:rPr>
        <w:footnoteReference w:id="7"/>
      </w:r>
    </w:p>
    <w:p w14:paraId="38A78517" w14:textId="77777777" w:rsidR="0024650B" w:rsidRPr="0024650B" w:rsidRDefault="00103DB9" w:rsidP="00A33B13">
      <w:pPr>
        <w:pStyle w:val="ListParagraph"/>
        <w:numPr>
          <w:ilvl w:val="0"/>
          <w:numId w:val="23"/>
        </w:numPr>
      </w:pPr>
      <w:r w:rsidRPr="0024650B">
        <w:t>project objective, characteristics/circumstances, complexity, stage and location</w:t>
      </w:r>
    </w:p>
    <w:p w14:paraId="0DA98A77" w14:textId="77777777" w:rsidR="0024650B" w:rsidRPr="0024650B" w:rsidRDefault="00103DB9" w:rsidP="00A33B13">
      <w:pPr>
        <w:pStyle w:val="ListParagraph"/>
        <w:numPr>
          <w:ilvl w:val="0"/>
          <w:numId w:val="23"/>
        </w:numPr>
      </w:pPr>
      <w:r w:rsidRPr="0024650B">
        <w:t>proposed weightings for the best practice principles and local benefits test</w:t>
      </w:r>
    </w:p>
    <w:p w14:paraId="3C31B92B" w14:textId="77777777" w:rsidR="0024650B" w:rsidRPr="0024650B" w:rsidRDefault="00103DB9" w:rsidP="00A33B13">
      <w:pPr>
        <w:pStyle w:val="ListParagraph"/>
        <w:numPr>
          <w:ilvl w:val="0"/>
          <w:numId w:val="23"/>
        </w:numPr>
      </w:pPr>
      <w:r w:rsidRPr="0024650B">
        <w:t>workplace health and safety profile of local industry</w:t>
      </w:r>
    </w:p>
    <w:p w14:paraId="4CFC0AE2" w14:textId="77777777" w:rsidR="0024650B" w:rsidRPr="0024650B" w:rsidRDefault="00103DB9" w:rsidP="00A33B13">
      <w:pPr>
        <w:pStyle w:val="ListParagraph"/>
        <w:numPr>
          <w:ilvl w:val="0"/>
          <w:numId w:val="23"/>
        </w:numPr>
      </w:pPr>
      <w:r w:rsidRPr="0024650B">
        <w:t>local labour market conditions (including apprentices and trainees)</w:t>
      </w:r>
    </w:p>
    <w:p w14:paraId="7C3A7044" w14:textId="77777777" w:rsidR="0024650B" w:rsidRPr="0024650B" w:rsidRDefault="00103DB9" w:rsidP="00A33B13">
      <w:pPr>
        <w:pStyle w:val="ListParagraph"/>
        <w:numPr>
          <w:ilvl w:val="0"/>
          <w:numId w:val="23"/>
        </w:numPr>
      </w:pPr>
      <w:r w:rsidRPr="0024650B">
        <w:t>weightings for the best practice principles and local benefits test used in previous projects of a similar nature</w:t>
      </w:r>
    </w:p>
    <w:p w14:paraId="68F1DDAE" w14:textId="77777777" w:rsidR="0024650B" w:rsidRPr="0024650B" w:rsidRDefault="00103DB9" w:rsidP="00A33B13">
      <w:pPr>
        <w:pStyle w:val="ListParagraph"/>
        <w:numPr>
          <w:ilvl w:val="0"/>
          <w:numId w:val="23"/>
        </w:numPr>
      </w:pPr>
      <w:r w:rsidRPr="0024650B">
        <w:t>applicable regional profiles which provide an outlook of industry activity in each region, as well as key indicators relating to workforce and apprentices (e.g. Construction Skills Queensland Regional Profiles).</w:t>
      </w:r>
    </w:p>
    <w:p w14:paraId="21D25B84" w14:textId="77777777" w:rsidR="0024650B" w:rsidRPr="0024650B" w:rsidRDefault="00103DB9" w:rsidP="0024650B">
      <w:r w:rsidRPr="0024650B">
        <w:t xml:space="preserve">This advice should then be included in the later departmental brief provided to the responsible Minister as part of the approval process described in the </w:t>
      </w:r>
      <w:r w:rsidR="000C3D2E">
        <w:t>‘</w:t>
      </w:r>
      <w:r w:rsidRPr="0024650B">
        <w:t>Evaluation criteria – weightings (Ministerial approval process)</w:t>
      </w:r>
      <w:r w:rsidR="000C3D2E">
        <w:t>’</w:t>
      </w:r>
      <w:r w:rsidRPr="0024650B">
        <w:t xml:space="preserve"> section of this guide.</w:t>
      </w:r>
    </w:p>
    <w:p w14:paraId="1E0DA1BC" w14:textId="77777777" w:rsidR="0024650B" w:rsidRPr="0024650B" w:rsidRDefault="00103DB9" w:rsidP="00362B96">
      <w:pPr>
        <w:pStyle w:val="Heading4"/>
      </w:pPr>
      <w:r w:rsidRPr="0024650B">
        <w:lastRenderedPageBreak/>
        <w:t>Evaluation criteria – weightings (Ministerial approval process)</w:t>
      </w:r>
    </w:p>
    <w:p w14:paraId="0C02676A" w14:textId="77777777" w:rsidR="00362B96" w:rsidRPr="00362B96" w:rsidRDefault="00103DB9" w:rsidP="00362B96">
      <w:r w:rsidRPr="00362B96">
        <w:t xml:space="preserve">Approval must be sought from the responsible Minister for the weighting to be assigned to the best practice principles and local benefits test, prior to a tender’s release. </w:t>
      </w:r>
    </w:p>
    <w:p w14:paraId="5346173D" w14:textId="77777777" w:rsidR="00362B96" w:rsidRPr="00362B96" w:rsidRDefault="00103DB9" w:rsidP="00362B96">
      <w:r w:rsidRPr="00362B96">
        <w:t>Content to be included in the departmental brief to be submitted to the responsible Minister will depend on the requirements for the specific project, individual agency and responsible Minister. However, at a minimum, the brief should include:</w:t>
      </w:r>
    </w:p>
    <w:p w14:paraId="42F64ECF" w14:textId="77777777" w:rsidR="00362B96" w:rsidRPr="00362B96" w:rsidRDefault="00103DB9" w:rsidP="00A33B13">
      <w:pPr>
        <w:pStyle w:val="ListParagraph"/>
        <w:numPr>
          <w:ilvl w:val="0"/>
          <w:numId w:val="23"/>
        </w:numPr>
      </w:pPr>
      <w:r w:rsidRPr="00362B96">
        <w:t>advice from the relevant Industry Reference Group regarding the proposed weightings for the best practice principles and local benefits test</w:t>
      </w:r>
    </w:p>
    <w:p w14:paraId="7E3A3842" w14:textId="77777777" w:rsidR="00362B96" w:rsidRPr="00DA6D27" w:rsidRDefault="00103DB9" w:rsidP="00A33B13">
      <w:pPr>
        <w:pStyle w:val="ListParagraph"/>
        <w:numPr>
          <w:ilvl w:val="0"/>
          <w:numId w:val="23"/>
        </w:numPr>
      </w:pPr>
      <w:r w:rsidRPr="00362B96">
        <w:t xml:space="preserve">proposed </w:t>
      </w:r>
      <w:r w:rsidRPr="00DA6D27">
        <w:t>weightings and rationale for the best practice principles and local benefits test to be applied to the contractor</w:t>
      </w:r>
    </w:p>
    <w:p w14:paraId="1A8D2CBF" w14:textId="77777777" w:rsidR="00362B96" w:rsidRPr="00DA6D27" w:rsidRDefault="00103DB9" w:rsidP="00A33B13">
      <w:pPr>
        <w:pStyle w:val="ListParagraph"/>
        <w:numPr>
          <w:ilvl w:val="0"/>
          <w:numId w:val="23"/>
        </w:numPr>
      </w:pPr>
      <w:r w:rsidRPr="00DA6D27">
        <w:t>the strategy for applying the best practice principles to subcontractors, including proposed weightings and rationale, and</w:t>
      </w:r>
    </w:p>
    <w:p w14:paraId="34FA5D1A" w14:textId="77777777" w:rsidR="00362B96" w:rsidRPr="00DA6D27" w:rsidRDefault="00103DB9" w:rsidP="00A33B13">
      <w:pPr>
        <w:pStyle w:val="ListParagraph"/>
        <w:numPr>
          <w:ilvl w:val="0"/>
          <w:numId w:val="23"/>
        </w:numPr>
      </w:pPr>
      <w:r w:rsidRPr="00DA6D27">
        <w:t>applicable conditions to give effect to government commitments, targets or policies.</w:t>
      </w:r>
    </w:p>
    <w:p w14:paraId="03D26D64" w14:textId="77777777" w:rsidR="00B466BD" w:rsidRPr="00DA6D27" w:rsidRDefault="00103DB9" w:rsidP="00362B96">
      <w:r w:rsidRPr="00C206DA">
        <w:t>Noting that a requirement for a contract to be subject to the best practice principles is for its value to exceed the minimum value threshold of $20,000, the brief may also include an alternative minimum value threshold below which contracts will not be subject to the best practice principles.</w:t>
      </w:r>
    </w:p>
    <w:p w14:paraId="3ABB389F" w14:textId="77777777" w:rsidR="00362B96" w:rsidRPr="00362B96" w:rsidRDefault="00103DB9" w:rsidP="00362B96">
      <w:r w:rsidRPr="00DA6D27">
        <w:t>In terms of the strategy for applying the best practice principles to subcontractors, the weighting to be applied by the contractor when selecting subcontractors will vary depending</w:t>
      </w:r>
      <w:r w:rsidRPr="00F356A8">
        <w:t xml:space="preserve"> on the nature of the procurement model (e.g. managing contractor compared to design and construct), an</w:t>
      </w:r>
      <w:r w:rsidRPr="00B466BD">
        <w:t>d</w:t>
      </w:r>
      <w:r w:rsidRPr="00362B96">
        <w:t xml:space="preserve"> the </w:t>
      </w:r>
      <w:proofErr w:type="gramStart"/>
      <w:r w:rsidRPr="00362B96">
        <w:t>particular trade</w:t>
      </w:r>
      <w:proofErr w:type="gramEnd"/>
      <w:r w:rsidRPr="00362B96">
        <w:t xml:space="preserve"> package or service procured. This could include one of the three options outlined in </w:t>
      </w:r>
      <w:r w:rsidRPr="00362B96">
        <w:rPr>
          <w:b/>
        </w:rPr>
        <w:t>Table 4</w:t>
      </w:r>
      <w:r>
        <w:rPr>
          <w:bCs/>
          <w:vertAlign w:val="superscript"/>
        </w:rPr>
        <w:footnoteReference w:id="8"/>
      </w:r>
      <w:r w:rsidRPr="00362B96">
        <w:t xml:space="preserve"> below:</w:t>
      </w:r>
    </w:p>
    <w:p w14:paraId="3B77F471" w14:textId="77777777" w:rsidR="00362B96" w:rsidRPr="00362B96" w:rsidRDefault="00103DB9" w:rsidP="00362B96">
      <w:r w:rsidRPr="00362B96">
        <w:rPr>
          <w:b/>
        </w:rPr>
        <w:t>Table 4</w:t>
      </w:r>
      <w:r w:rsidRPr="00362B96">
        <w:rPr>
          <w:b/>
          <w:bCs/>
        </w:rPr>
        <w:t>:</w:t>
      </w:r>
      <w:r w:rsidRPr="00362B96">
        <w:t xml:space="preserve"> Options for applying the best practice principles </w:t>
      </w:r>
      <w:r w:rsidRPr="00DA6D27">
        <w:t>when contractor is selecting</w:t>
      </w:r>
      <w:r w:rsidRPr="00F356A8">
        <w:t xml:space="preserve"> subcontractors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4A0" w:firstRow="1" w:lastRow="0" w:firstColumn="1" w:lastColumn="0" w:noHBand="0" w:noVBand="1"/>
      </w:tblPr>
      <w:tblGrid>
        <w:gridCol w:w="1600"/>
        <w:gridCol w:w="7746"/>
      </w:tblGrid>
      <w:tr w:rsidR="00044A45" w14:paraId="268FE92D" w14:textId="77777777" w:rsidTr="00931A22">
        <w:trPr>
          <w:tblHeader/>
        </w:trPr>
        <w:tc>
          <w:tcPr>
            <w:tcW w:w="8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03E9743D" w14:textId="77777777" w:rsidR="00362B96" w:rsidRPr="00362B96" w:rsidRDefault="00103DB9" w:rsidP="00362B96">
            <w:pPr>
              <w:rPr>
                <w:b/>
                <w:color w:val="FFFFFF" w:themeColor="background1"/>
              </w:rPr>
            </w:pPr>
            <w:r w:rsidRPr="00362B96">
              <w:rPr>
                <w:b/>
                <w:color w:val="FFFFFF" w:themeColor="background1"/>
              </w:rPr>
              <w:t>Option no.</w:t>
            </w:r>
          </w:p>
        </w:tc>
        <w:tc>
          <w:tcPr>
            <w:tcW w:w="414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2E1CEBD4" w14:textId="77777777" w:rsidR="00362B96" w:rsidRPr="00362B96" w:rsidRDefault="00103DB9" w:rsidP="00362B96">
            <w:pPr>
              <w:rPr>
                <w:b/>
                <w:color w:val="FFFFFF" w:themeColor="background1"/>
              </w:rPr>
            </w:pPr>
            <w:r w:rsidRPr="00362B96">
              <w:rPr>
                <w:b/>
                <w:color w:val="FFFFFF" w:themeColor="background1"/>
              </w:rPr>
              <w:t>Description</w:t>
            </w:r>
          </w:p>
        </w:tc>
      </w:tr>
      <w:tr w:rsidR="00044A45" w14:paraId="54F71476" w14:textId="77777777" w:rsidTr="00931A22">
        <w:trPr>
          <w:trHeight w:val="1628"/>
        </w:trPr>
        <w:tc>
          <w:tcPr>
            <w:tcW w:w="856" w:type="pct"/>
            <w:tcBorders>
              <w:top w:val="single" w:sz="4" w:space="0" w:color="FFFFFF" w:themeColor="background1"/>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BFBFBF" w:themeFill="background1" w:themeFillShade="BF"/>
            <w:vAlign w:val="center"/>
          </w:tcPr>
          <w:p w14:paraId="79F12FEC" w14:textId="77777777" w:rsidR="00362B96" w:rsidRPr="00362B96" w:rsidRDefault="00103DB9" w:rsidP="00362B96">
            <w:pPr>
              <w:rPr>
                <w:b/>
              </w:rPr>
            </w:pPr>
            <w:r w:rsidRPr="00362B96">
              <w:rPr>
                <w:b/>
              </w:rPr>
              <w:t>Option 1</w:t>
            </w:r>
          </w:p>
        </w:tc>
        <w:tc>
          <w:tcPr>
            <w:tcW w:w="4144"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34C86300" w14:textId="77777777" w:rsidR="00362B96" w:rsidRPr="00F356A8" w:rsidRDefault="00103DB9" w:rsidP="00362B96">
            <w:r w:rsidRPr="00F356A8">
              <w:t>Seeking one approval from the responsible Minister that includes:</w:t>
            </w:r>
          </w:p>
          <w:p w14:paraId="068AD0FE" w14:textId="77777777" w:rsidR="00362B96" w:rsidRPr="00F356A8" w:rsidRDefault="00103DB9" w:rsidP="00A33B13">
            <w:pPr>
              <w:pStyle w:val="ListParagraph"/>
              <w:numPr>
                <w:ilvl w:val="0"/>
                <w:numId w:val="25"/>
              </w:numPr>
            </w:pPr>
            <w:r w:rsidRPr="00F356A8">
              <w:t xml:space="preserve">weightings for </w:t>
            </w:r>
            <w:r w:rsidRPr="00DA6D27">
              <w:t>the best practice principles when selecting</w:t>
            </w:r>
            <w:r w:rsidRPr="00F356A8">
              <w:t xml:space="preserve"> the contractor; and</w:t>
            </w:r>
          </w:p>
          <w:p w14:paraId="16805986" w14:textId="77777777" w:rsidR="00362B96" w:rsidRPr="00E42156" w:rsidRDefault="00103DB9" w:rsidP="00A33B13">
            <w:pPr>
              <w:pStyle w:val="ListParagraph"/>
              <w:numPr>
                <w:ilvl w:val="0"/>
                <w:numId w:val="24"/>
              </w:numPr>
            </w:pPr>
            <w:r w:rsidRPr="00B466BD">
              <w:t>approval for the contractor, in applying the best practice principles to subcontracts, to choose the most a</w:t>
            </w:r>
            <w:r w:rsidRPr="00E42156">
              <w:t>ppropriate weightings as applicable to the trade package or good or service procured through subcontracts.</w:t>
            </w:r>
          </w:p>
        </w:tc>
      </w:tr>
      <w:tr w:rsidR="00044A45" w14:paraId="2A6501F7" w14:textId="77777777" w:rsidTr="0066544A">
        <w:trPr>
          <w:trHeight w:val="1264"/>
        </w:trPr>
        <w:tc>
          <w:tcPr>
            <w:tcW w:w="85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BFBFBF" w:themeFill="background1" w:themeFillShade="BF"/>
            <w:vAlign w:val="center"/>
          </w:tcPr>
          <w:p w14:paraId="25D8E835" w14:textId="77777777" w:rsidR="00362B96" w:rsidRPr="00362B96" w:rsidRDefault="00103DB9" w:rsidP="00362B96">
            <w:pPr>
              <w:rPr>
                <w:b/>
              </w:rPr>
            </w:pPr>
            <w:r w:rsidRPr="00362B96">
              <w:rPr>
                <w:b/>
              </w:rPr>
              <w:t>Option 2</w:t>
            </w:r>
          </w:p>
        </w:tc>
        <w:tc>
          <w:tcPr>
            <w:tcW w:w="4144"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D50FDF7" w14:textId="77777777" w:rsidR="00362B96" w:rsidRPr="00F356A8" w:rsidRDefault="00103DB9" w:rsidP="00362B96">
            <w:r w:rsidRPr="00F356A8">
              <w:t>Seeking one approval from the responsible Minister that includes:</w:t>
            </w:r>
          </w:p>
          <w:p w14:paraId="772BB5DC" w14:textId="77777777" w:rsidR="00362B96" w:rsidRPr="00F356A8" w:rsidRDefault="00103DB9" w:rsidP="00A33B13">
            <w:pPr>
              <w:pStyle w:val="ListParagraph"/>
              <w:numPr>
                <w:ilvl w:val="0"/>
                <w:numId w:val="24"/>
              </w:numPr>
            </w:pPr>
            <w:r w:rsidRPr="00F356A8">
              <w:t xml:space="preserve">weightings for </w:t>
            </w:r>
            <w:r w:rsidRPr="00DA6D27">
              <w:t>the best practice principles when selecting</w:t>
            </w:r>
            <w:r w:rsidRPr="00F356A8">
              <w:t xml:space="preserve"> the contractor; and</w:t>
            </w:r>
          </w:p>
          <w:p w14:paraId="62EC9D8C" w14:textId="77777777" w:rsidR="00362B96" w:rsidRPr="00B466BD" w:rsidRDefault="00103DB9" w:rsidP="00A33B13">
            <w:pPr>
              <w:pStyle w:val="ListParagraph"/>
              <w:numPr>
                <w:ilvl w:val="0"/>
                <w:numId w:val="24"/>
              </w:numPr>
            </w:pPr>
            <w:r w:rsidRPr="00F356A8">
              <w:t xml:space="preserve">approval for weighting ranges to be applied </w:t>
            </w:r>
            <w:r w:rsidRPr="00DA6D27">
              <w:t>when selecting</w:t>
            </w:r>
            <w:r w:rsidRPr="00F356A8">
              <w:t xml:space="preserve"> subcontracts (may be broken d</w:t>
            </w:r>
            <w:r w:rsidRPr="00B466BD">
              <w:t>own into trade package or good or services).</w:t>
            </w:r>
          </w:p>
        </w:tc>
      </w:tr>
      <w:tr w:rsidR="00044A45" w14:paraId="0BA4855E" w14:textId="77777777" w:rsidTr="00931A22">
        <w:trPr>
          <w:trHeight w:val="518"/>
        </w:trPr>
        <w:tc>
          <w:tcPr>
            <w:tcW w:w="856"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BFBFBF" w:themeFill="background1" w:themeFillShade="BF"/>
            <w:vAlign w:val="center"/>
          </w:tcPr>
          <w:p w14:paraId="00092F1C" w14:textId="77777777" w:rsidR="00362B96" w:rsidRPr="00362B96" w:rsidRDefault="00103DB9" w:rsidP="00362B96">
            <w:pPr>
              <w:rPr>
                <w:b/>
              </w:rPr>
            </w:pPr>
            <w:r w:rsidRPr="00362B96">
              <w:rPr>
                <w:b/>
              </w:rPr>
              <w:t>Option 3</w:t>
            </w:r>
          </w:p>
          <w:p w14:paraId="7B60F87F" w14:textId="77777777" w:rsidR="00362B96" w:rsidRPr="00362B96" w:rsidRDefault="00362B96" w:rsidP="00362B96">
            <w:pPr>
              <w:rPr>
                <w:b/>
              </w:rPr>
            </w:pPr>
          </w:p>
        </w:tc>
        <w:tc>
          <w:tcPr>
            <w:tcW w:w="4144"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22A0A3C" w14:textId="77777777" w:rsidR="00362B96" w:rsidRPr="00B466BD" w:rsidRDefault="00103DB9" w:rsidP="00362B96">
            <w:r w:rsidRPr="00F356A8">
              <w:t>Seeking two approvals from the responsible Minister at different points in the procurement process. This i</w:t>
            </w:r>
            <w:r w:rsidRPr="00B466BD">
              <w:t>nvolves seeking:</w:t>
            </w:r>
          </w:p>
          <w:p w14:paraId="31D78F37" w14:textId="77777777" w:rsidR="00362B96" w:rsidRPr="00F356A8" w:rsidRDefault="00103DB9" w:rsidP="00A33B13">
            <w:pPr>
              <w:pStyle w:val="ListParagraph"/>
              <w:numPr>
                <w:ilvl w:val="0"/>
                <w:numId w:val="26"/>
              </w:numPr>
            </w:pPr>
            <w:r w:rsidRPr="00B466BD">
              <w:t xml:space="preserve">an initial approval for weightings for </w:t>
            </w:r>
            <w:r w:rsidRPr="00DA6D27">
              <w:t>the best practice principles when selecting</w:t>
            </w:r>
            <w:r w:rsidRPr="00F356A8">
              <w:t xml:space="preserve"> the contractor; and </w:t>
            </w:r>
          </w:p>
          <w:p w14:paraId="359E0EA4" w14:textId="77777777" w:rsidR="00362B96" w:rsidRPr="00F356A8" w:rsidRDefault="00103DB9" w:rsidP="00A33B13">
            <w:pPr>
              <w:pStyle w:val="ListParagraph"/>
              <w:numPr>
                <w:ilvl w:val="0"/>
                <w:numId w:val="26"/>
              </w:numPr>
            </w:pPr>
            <w:r w:rsidRPr="00F356A8">
              <w:t xml:space="preserve">a subsequent approval for </w:t>
            </w:r>
            <w:r w:rsidRPr="00DA6D27">
              <w:t>weightings for the best practice principles when the contractor is selecting</w:t>
            </w:r>
            <w:r w:rsidRPr="00F356A8">
              <w:t xml:space="preserve"> subcontractors.</w:t>
            </w:r>
          </w:p>
        </w:tc>
      </w:tr>
    </w:tbl>
    <w:p w14:paraId="419D2E2E" w14:textId="4F0CC318" w:rsidR="00362B96" w:rsidRPr="00362B96" w:rsidRDefault="00103DB9" w:rsidP="00362B96">
      <w:r w:rsidRPr="00134686">
        <w:t>The above options will provide the necessary flexibility where contracts are progressively tendered during the life of a project, ensures the best practice principles are a core component of the procurement process and allows the expertise available in the market to identify ways to maximise benefits and outcomes.</w:t>
      </w:r>
    </w:p>
    <w:p w14:paraId="46017C0B" w14:textId="77777777" w:rsidR="00362B96" w:rsidRPr="00362B96" w:rsidRDefault="00103DB9" w:rsidP="00362B96">
      <w:pPr>
        <w:pStyle w:val="IntenseQuote"/>
        <w:jc w:val="left"/>
        <w:rPr>
          <w:b/>
          <w:bCs/>
          <w:i/>
        </w:rPr>
      </w:pPr>
      <w:r w:rsidRPr="00362B96">
        <w:rPr>
          <w:b/>
          <w:bCs/>
        </w:rPr>
        <w:lastRenderedPageBreak/>
        <w:t>Ministerial approval process for weightings and project timeframes</w:t>
      </w:r>
    </w:p>
    <w:p w14:paraId="420089F6" w14:textId="77777777" w:rsidR="00362B96" w:rsidRPr="00362B96" w:rsidRDefault="00103DB9" w:rsidP="00362B96">
      <w:pPr>
        <w:pStyle w:val="IntenseQuote"/>
        <w:jc w:val="left"/>
        <w:rPr>
          <w:i/>
        </w:rPr>
      </w:pPr>
      <w:r w:rsidRPr="00362B96">
        <w:t>Agencies are recommended to allocate adequate time to seek Ministerial approval for the weighting to be assigned to the best practice principles and local benefits test as part of project and procurement planning.</w:t>
      </w:r>
    </w:p>
    <w:p w14:paraId="29B985A6" w14:textId="168C2367" w:rsidR="00362B96" w:rsidRPr="00362B96" w:rsidRDefault="00103DB9" w:rsidP="00362B96">
      <w:pPr>
        <w:pStyle w:val="IntenseQuote"/>
        <w:jc w:val="left"/>
        <w:rPr>
          <w:i/>
        </w:rPr>
      </w:pPr>
      <w:r w:rsidRPr="00362B96">
        <w:t xml:space="preserve">Once the responsible Minister approves the weightings for the best practice principles and local benefits test, the responsible Minister should advise the Minister </w:t>
      </w:r>
      <w:r w:rsidR="00CB3A35">
        <w:t xml:space="preserve">responsible for </w:t>
      </w:r>
      <w:r w:rsidR="007538AA">
        <w:t>g</w:t>
      </w:r>
      <w:r w:rsidR="00CB3A35">
        <w:t xml:space="preserve">overnment </w:t>
      </w:r>
      <w:r w:rsidR="007538AA">
        <w:t>p</w:t>
      </w:r>
      <w:r w:rsidR="00CB3A35">
        <w:t xml:space="preserve">rocurement </w:t>
      </w:r>
      <w:r w:rsidRPr="00362B96">
        <w:t>of these approved weightings, to inform weightings to be assigned for future best practice principles projects.</w:t>
      </w:r>
    </w:p>
    <w:p w14:paraId="4D48FEA1" w14:textId="77777777" w:rsidR="00362B96" w:rsidRPr="00362B96" w:rsidRDefault="00103DB9" w:rsidP="00362B96">
      <w:pPr>
        <w:pStyle w:val="Heading4"/>
      </w:pPr>
      <w:r w:rsidRPr="00362B96">
        <w:t xml:space="preserve">Evaluation plan </w:t>
      </w:r>
    </w:p>
    <w:p w14:paraId="045D51B7" w14:textId="1936D5B3" w:rsidR="00362B96" w:rsidRPr="00362B96" w:rsidRDefault="00103DB9" w:rsidP="00362B96">
      <w:r w:rsidRPr="00134686">
        <w:t>Agencies must prepare a formal evaluation plan documenting the evaluation approach and establish an evaluation panel(s) consisting of government officers with the requisite experience and knowledge. Where necessary, specialist advisors (e.g. work health and safety, legal) may be engaged in a non-voting capacity to advise the panel.</w:t>
      </w:r>
      <w:r w:rsidRPr="00362B96">
        <w:t xml:space="preserve"> </w:t>
      </w:r>
    </w:p>
    <w:p w14:paraId="0B148A30" w14:textId="77777777" w:rsidR="00362B96" w:rsidRPr="00362B96" w:rsidRDefault="00103DB9" w:rsidP="00362B96">
      <w:r w:rsidRPr="00362B96">
        <w:t>Agencies may leverage the expertise of the evaluation panel in developing the evaluation criteria and weightings. Evaluation panels must carefully consider how the best practice principles will be assessed, including the relationship to the local benefits test.</w:t>
      </w:r>
    </w:p>
    <w:p w14:paraId="2E060976" w14:textId="77777777" w:rsidR="00362B96" w:rsidRPr="00362B96" w:rsidRDefault="00103DB9" w:rsidP="00362B96">
      <w:r w:rsidRPr="00362B96">
        <w:t>This plan should define the evaluation criteria and approved weightings inclusive of those assigned to the best practice principles and the local benefits test. This is in addition to matters pertaining to the evaluation of the tender (e.g. tender evaluation timeframes, evaluation panel composition, delegate approvals).</w:t>
      </w:r>
    </w:p>
    <w:p w14:paraId="38A5CC49" w14:textId="77777777" w:rsidR="00362B96" w:rsidRPr="00362B96" w:rsidRDefault="00103DB9" w:rsidP="00362B96">
      <w:r w:rsidRPr="00362B96">
        <w:t xml:space="preserve">The evaluation plan and other related documents (e.g. tender document, probity plan) must be approved by the agency delegate prior to a tender’s release.  </w:t>
      </w:r>
    </w:p>
    <w:p w14:paraId="4B9ACCE2" w14:textId="77777777" w:rsidR="00362B96" w:rsidRPr="00362B96" w:rsidRDefault="00103DB9" w:rsidP="00362B96">
      <w:r w:rsidRPr="00362B96">
        <w:t xml:space="preserve">Refer to the </w:t>
      </w:r>
      <w:hyperlink r:id="rId17" w:history="1">
        <w:r w:rsidRPr="00362B96">
          <w:rPr>
            <w:rStyle w:val="Hyperlink"/>
          </w:rPr>
          <w:t>Evaluating offers guide</w:t>
        </w:r>
      </w:hyperlink>
      <w:r w:rsidRPr="00362B96">
        <w:t xml:space="preserve"> for more help with developing an evaluation plan.</w:t>
      </w:r>
    </w:p>
    <w:p w14:paraId="0CB2D511" w14:textId="77777777" w:rsidR="00362B96" w:rsidRPr="00362B96" w:rsidRDefault="00103DB9" w:rsidP="00362B96">
      <w:pPr>
        <w:pStyle w:val="Heading2"/>
      </w:pPr>
      <w:bookmarkStart w:id="51" w:name="_Toc61528755"/>
      <w:bookmarkStart w:id="52" w:name="_Toc69201376"/>
      <w:bookmarkStart w:id="53" w:name="_Toc182462569"/>
      <w:r w:rsidRPr="00362B96">
        <w:t>Going to market</w:t>
      </w:r>
      <w:bookmarkEnd w:id="51"/>
      <w:bookmarkEnd w:id="52"/>
      <w:bookmarkEnd w:id="53"/>
    </w:p>
    <w:p w14:paraId="43A4B448" w14:textId="77777777" w:rsidR="00362B96" w:rsidRPr="00362B96" w:rsidRDefault="00103DB9" w:rsidP="00362B96">
      <w:r w:rsidRPr="00362B96">
        <w:t>Once agencies secure relevant approvals for the tender document, evaluation plan and other related documents, the tender may be released to the market.</w:t>
      </w:r>
    </w:p>
    <w:p w14:paraId="20A51675" w14:textId="77777777" w:rsidR="00362B96" w:rsidRPr="00362B96" w:rsidRDefault="00103DB9" w:rsidP="00362B96">
      <w:r w:rsidRPr="00362B96">
        <w:t>Agencies should manage tenderer enquiries in accordance with their respective probity and confidentiality framework, and the current requirements under the QPP.</w:t>
      </w:r>
    </w:p>
    <w:p w14:paraId="785B5A58" w14:textId="77777777" w:rsidR="00362B96" w:rsidRPr="00362B96" w:rsidRDefault="00103DB9" w:rsidP="00362B96">
      <w:pPr>
        <w:pStyle w:val="IntenseQuote"/>
        <w:jc w:val="left"/>
        <w:rPr>
          <w:b/>
          <w:bCs/>
          <w:i/>
        </w:rPr>
      </w:pPr>
      <w:r w:rsidRPr="00362B96">
        <w:rPr>
          <w:b/>
          <w:bCs/>
        </w:rPr>
        <w:t xml:space="preserve">Updating existing processes to apply the best practice principles </w:t>
      </w:r>
    </w:p>
    <w:p w14:paraId="63A5EBFC" w14:textId="67B0FF1A" w:rsidR="00362B96" w:rsidRDefault="00103DB9" w:rsidP="00362B96">
      <w:pPr>
        <w:pStyle w:val="IntenseQuote"/>
        <w:jc w:val="left"/>
      </w:pPr>
      <w:r w:rsidRPr="00362B96">
        <w:t>Agencies may already be seeking tender responses against the best practice principles as part of current non-price criteria assessments. Adjustments to existing processes will need to be undertaken to ensure all best practice principles are addressed and weighted.</w:t>
      </w:r>
    </w:p>
    <w:p w14:paraId="6F5B12DD" w14:textId="77777777" w:rsidR="00362B96" w:rsidRPr="00362B96" w:rsidRDefault="00103DB9" w:rsidP="00362B96">
      <w:pPr>
        <w:pStyle w:val="Heading2"/>
      </w:pPr>
      <w:bookmarkStart w:id="54" w:name="_Toc61528756"/>
      <w:bookmarkStart w:id="55" w:name="_Toc69201377"/>
      <w:bookmarkStart w:id="56" w:name="_Toc182462570"/>
      <w:r w:rsidRPr="00362B96">
        <w:t>Evaluation</w:t>
      </w:r>
      <w:bookmarkEnd w:id="54"/>
      <w:bookmarkEnd w:id="55"/>
      <w:bookmarkEnd w:id="56"/>
    </w:p>
    <w:p w14:paraId="13EF8CD8" w14:textId="0C3788CD" w:rsidR="00362B96" w:rsidRPr="00362B96" w:rsidRDefault="00103DB9" w:rsidP="00362B96">
      <w:r w:rsidRPr="009C2BC9">
        <w:t>Tenderers must respond against each of the best practice principles.</w:t>
      </w:r>
      <w:r w:rsidRPr="00362B96">
        <w:t xml:space="preserve">  </w:t>
      </w:r>
    </w:p>
    <w:p w14:paraId="4C116700" w14:textId="3481C9FC" w:rsidR="00362B96" w:rsidRPr="00134686" w:rsidRDefault="00103DB9" w:rsidP="00134686">
      <w:r w:rsidRPr="009C2BC9">
        <w:t>Once the tender has closed, the evaluation panel must score responses against each of the best practice principles</w:t>
      </w:r>
      <w:r w:rsidRPr="00DA6D27">
        <w:t xml:space="preserve"> (along with all other evaluation criteria) as part of the evaluation process in line with the approach detailed in the evaluation plan. This should include consideration of</w:t>
      </w:r>
      <w:r w:rsidR="009C2BC9">
        <w:t xml:space="preserve"> </w:t>
      </w:r>
      <w:r w:rsidRPr="00134686">
        <w:t xml:space="preserve">strategies proposed by the contractor for evaluating subcontractor offers against the best practice principles. </w:t>
      </w:r>
    </w:p>
    <w:p w14:paraId="52A958FE" w14:textId="722E87A2" w:rsidR="00362B96" w:rsidRPr="00362B96" w:rsidRDefault="00103DB9" w:rsidP="00362B96">
      <w:r w:rsidRPr="00134686">
        <w:lastRenderedPageBreak/>
        <w:t xml:space="preserve">As noted in the </w:t>
      </w:r>
      <w:r w:rsidR="000C3D2E" w:rsidRPr="00134686">
        <w:t>‘</w:t>
      </w:r>
      <w:r w:rsidRPr="00134686">
        <w:t>Procurement planning</w:t>
      </w:r>
      <w:r w:rsidR="000C3D2E" w:rsidRPr="00134686">
        <w:t>’</w:t>
      </w:r>
      <w:r w:rsidRPr="00134686">
        <w:t xml:space="preserve"> section of this guide, consider whether you should engage independent expertise or seek technical reports in areas like workplace health and safety.</w:t>
      </w:r>
    </w:p>
    <w:p w14:paraId="45C7FAFD" w14:textId="77777777" w:rsidR="00362B96" w:rsidRPr="00362B96" w:rsidRDefault="00103DB9" w:rsidP="00362B96">
      <w:pPr>
        <w:rPr>
          <w:b/>
        </w:rPr>
      </w:pPr>
      <w:r w:rsidRPr="00362B96">
        <w:t xml:space="preserve">Panels should look for indicators of best practice. </w:t>
      </w:r>
      <w:r w:rsidRPr="00362B96">
        <w:rPr>
          <w:b/>
        </w:rPr>
        <w:t>Appendix 2</w:t>
      </w:r>
      <w:r w:rsidRPr="00362B96">
        <w:t xml:space="preserve"> provides example indicators of best practice that panels may wish to draw on.</w:t>
      </w:r>
    </w:p>
    <w:p w14:paraId="23F49946" w14:textId="77777777" w:rsidR="00362B96" w:rsidRPr="00362B96" w:rsidRDefault="00103DB9" w:rsidP="00A33B13">
      <w:pPr>
        <w:pStyle w:val="Heading3"/>
      </w:pPr>
      <w:bookmarkStart w:id="57" w:name="_Toc61528757"/>
      <w:bookmarkStart w:id="58" w:name="_Toc69201378"/>
      <w:bookmarkStart w:id="59" w:name="_Toc182462571"/>
      <w:r w:rsidRPr="00362B96">
        <w:t>Due diligence</w:t>
      </w:r>
      <w:bookmarkEnd w:id="57"/>
      <w:bookmarkEnd w:id="58"/>
      <w:bookmarkEnd w:id="59"/>
    </w:p>
    <w:p w14:paraId="79A8D257" w14:textId="77777777" w:rsidR="00A33B13" w:rsidRPr="00A33B13" w:rsidRDefault="00103DB9" w:rsidP="00A33B13">
      <w:pPr>
        <w:rPr>
          <w:iCs/>
        </w:rPr>
      </w:pPr>
      <w:r w:rsidRPr="00A33B13">
        <w:rPr>
          <w:iCs/>
        </w:rPr>
        <w:t xml:space="preserve">Separate due diligence should be undertaken as part of evaluation. Agencies must check an online database managed by the Executive Officer, Queensland Government Procurement (QGP) Compliance Branch, as to whether a supplier is the subject of </w:t>
      </w:r>
      <w:r w:rsidRPr="00DA6D27">
        <w:rPr>
          <w:iCs/>
        </w:rPr>
        <w:t>penalties or</w:t>
      </w:r>
      <w:r w:rsidRPr="00F356A8">
        <w:rPr>
          <w:iCs/>
        </w:rPr>
        <w:t xml:space="preserve"> a sanction</w:t>
      </w:r>
      <w:r w:rsidRPr="00A33B13">
        <w:rPr>
          <w:iCs/>
        </w:rPr>
        <w:t xml:space="preserve">. Further information is available in the </w:t>
      </w:r>
      <w:hyperlink r:id="rId18" w:history="1">
        <w:r w:rsidRPr="00A33B13">
          <w:rPr>
            <w:rStyle w:val="Hyperlink"/>
            <w:iCs/>
          </w:rPr>
          <w:t>Guidelines: Ethical Supplier Mandate</w:t>
        </w:r>
      </w:hyperlink>
      <w:r w:rsidRPr="00A33B13">
        <w:rPr>
          <w:i/>
          <w:iCs/>
        </w:rPr>
        <w:t>.</w:t>
      </w:r>
    </w:p>
    <w:p w14:paraId="5C9A517C" w14:textId="7E164FCD" w:rsidR="00A33B13" w:rsidRPr="00A33B13" w:rsidRDefault="00103DB9" w:rsidP="00A33B13">
      <w:pPr>
        <w:rPr>
          <w:iCs/>
        </w:rPr>
      </w:pPr>
      <w:r w:rsidRPr="009C2BC9">
        <w:rPr>
          <w:iCs/>
        </w:rPr>
        <w:t>Consider also reviewing third party sources to check the regulatory history and workplace health and safety records of contractors or subcontractors.</w:t>
      </w:r>
      <w:r w:rsidRPr="00A33B13">
        <w:rPr>
          <w:iCs/>
        </w:rPr>
        <w:t xml:space="preserve"> </w:t>
      </w:r>
    </w:p>
    <w:p w14:paraId="2734E1E2" w14:textId="77777777" w:rsidR="00A33B13" w:rsidRPr="00A33B13" w:rsidRDefault="00103DB9" w:rsidP="00A33B13">
      <w:pPr>
        <w:rPr>
          <w:iCs/>
        </w:rPr>
      </w:pPr>
      <w:r w:rsidRPr="00A33B13">
        <w:rPr>
          <w:iCs/>
        </w:rPr>
        <w:t xml:space="preserve">For example, check litigation outcomes for prosecutions by the Fair Work Ombudsman under the </w:t>
      </w:r>
      <w:r w:rsidRPr="00A33B13">
        <w:rPr>
          <w:i/>
          <w:iCs/>
        </w:rPr>
        <w:t>Fair Work Act 2009</w:t>
      </w:r>
      <w:r w:rsidRPr="00A33B13">
        <w:rPr>
          <w:iCs/>
        </w:rPr>
        <w:t xml:space="preserve"> at </w:t>
      </w:r>
      <w:hyperlink r:id="rId19" w:history="1">
        <w:r w:rsidRPr="00A33B13">
          <w:rPr>
            <w:rStyle w:val="Hyperlink"/>
            <w:iCs/>
          </w:rPr>
          <w:t>www.fairwork.gov.au/about-us/our-role/enforcing-the-legislation/litigation</w:t>
        </w:r>
      </w:hyperlink>
      <w:r w:rsidRPr="00A33B13">
        <w:rPr>
          <w:iCs/>
        </w:rPr>
        <w:t xml:space="preserve">. Similarly, Workplace Health and Safety Queensland publishes information for prosecutions and enforceable undertakings in Queensland at </w:t>
      </w:r>
      <w:hyperlink r:id="rId20" w:history="1">
        <w:r w:rsidRPr="00A33B13">
          <w:rPr>
            <w:rStyle w:val="Hyperlink"/>
            <w:iCs/>
          </w:rPr>
          <w:t>www.worksafe.qld.gov.au/laws-and-compliance/prosecutions</w:t>
        </w:r>
      </w:hyperlink>
      <w:r w:rsidRPr="00A33B13">
        <w:rPr>
          <w:iCs/>
        </w:rPr>
        <w:t>.</w:t>
      </w:r>
      <w:bookmarkStart w:id="60" w:name="_Hlk515270345"/>
    </w:p>
    <w:p w14:paraId="32CA5ACB" w14:textId="77777777" w:rsidR="00A33B13" w:rsidRPr="00A33B13" w:rsidRDefault="00103DB9" w:rsidP="00A33B13">
      <w:pPr>
        <w:rPr>
          <w:iCs/>
        </w:rPr>
      </w:pPr>
      <w:r w:rsidRPr="00A33B13">
        <w:rPr>
          <w:iCs/>
        </w:rPr>
        <w:t>Workplace Health and Safety Queensland have facilities to check on WHS performance and engages with clients on WHS issues/best practice (including electrical safety and workers compensation) on significant projects before the tender/contract stage as well as after.</w:t>
      </w:r>
    </w:p>
    <w:p w14:paraId="1809E05C" w14:textId="77777777" w:rsidR="00A33B13" w:rsidRPr="00A33B13" w:rsidRDefault="00103DB9" w:rsidP="00A33B13">
      <w:pPr>
        <w:rPr>
          <w:iCs/>
        </w:rPr>
      </w:pPr>
      <w:r w:rsidRPr="00A33B13">
        <w:rPr>
          <w:iCs/>
        </w:rPr>
        <w:t>Agencies should also consider checking the Queensland Building and Construction Commission licence register which enables confirmation of licence currency and information about directions to rectify, disciplinary action take, demerit points, infringement notices issue and whether there has been a disqualification or ban for that licensee.</w:t>
      </w:r>
    </w:p>
    <w:p w14:paraId="4DF0EF41" w14:textId="77777777" w:rsidR="00A33B13" w:rsidRPr="00A33B13" w:rsidRDefault="00103DB9" w:rsidP="00A33B13">
      <w:pPr>
        <w:pStyle w:val="Heading2"/>
      </w:pPr>
      <w:bookmarkStart w:id="61" w:name="_Toc61528758"/>
      <w:bookmarkStart w:id="62" w:name="_Toc69201379"/>
      <w:bookmarkStart w:id="63" w:name="_Toc182462572"/>
      <w:bookmarkEnd w:id="43"/>
      <w:bookmarkEnd w:id="60"/>
      <w:r w:rsidRPr="00A33B13">
        <w:t>Contract formation</w:t>
      </w:r>
      <w:bookmarkEnd w:id="61"/>
      <w:bookmarkEnd w:id="62"/>
      <w:bookmarkEnd w:id="63"/>
    </w:p>
    <w:p w14:paraId="2F17758B" w14:textId="77777777" w:rsidR="00A33B13" w:rsidRPr="00A33B13" w:rsidRDefault="00103DB9" w:rsidP="00A33B13">
      <w:pPr>
        <w:rPr>
          <w:b/>
          <w:iCs/>
        </w:rPr>
      </w:pPr>
      <w:r w:rsidRPr="00A33B13">
        <w:rPr>
          <w:b/>
          <w:iCs/>
        </w:rPr>
        <w:t xml:space="preserve">Contracts resulting from tender processes must include provisions requiring the successful tenderer to fulfil the commitments made in the tender, including those related to the best practice principles. </w:t>
      </w:r>
    </w:p>
    <w:p w14:paraId="320522AC" w14:textId="77777777" w:rsidR="00A33B13" w:rsidRPr="00A33B13" w:rsidRDefault="00103DB9" w:rsidP="00A33B13">
      <w:pPr>
        <w:rPr>
          <w:iCs/>
        </w:rPr>
      </w:pPr>
      <w:r w:rsidRPr="00A33B13">
        <w:rPr>
          <w:iCs/>
        </w:rPr>
        <w:t>Therefore, the successful tenderer is responsible for ensuring they meet these obligations.</w:t>
      </w:r>
    </w:p>
    <w:p w14:paraId="0A0FFDC6" w14:textId="77777777" w:rsidR="00A33B13" w:rsidRPr="00A33B13" w:rsidRDefault="00103DB9" w:rsidP="00A33B13">
      <w:pPr>
        <w:rPr>
          <w:iCs/>
        </w:rPr>
      </w:pPr>
      <w:r w:rsidRPr="00A33B13">
        <w:rPr>
          <w:iCs/>
        </w:rPr>
        <w:t>Contracts must require the contractor to:</w:t>
      </w:r>
    </w:p>
    <w:p w14:paraId="22874DE1" w14:textId="64B95996" w:rsidR="00A33B13" w:rsidRPr="003F0BB2" w:rsidRDefault="00103DB9" w:rsidP="00A33B13">
      <w:pPr>
        <w:pStyle w:val="ListParagraph"/>
        <w:numPr>
          <w:ilvl w:val="0"/>
          <w:numId w:val="23"/>
        </w:numPr>
      </w:pPr>
      <w:r w:rsidRPr="003F0BB2">
        <w:t xml:space="preserve">uphold commitments made in relation to </w:t>
      </w:r>
      <w:r w:rsidR="003F0BB2" w:rsidRPr="00134686">
        <w:t>the</w:t>
      </w:r>
      <w:r w:rsidRPr="003F0BB2">
        <w:t xml:space="preserve"> best practice principles</w:t>
      </w:r>
      <w:r w:rsidR="003F0BB2">
        <w:t xml:space="preserve"> </w:t>
      </w:r>
      <w:r w:rsidRPr="003F0BB2">
        <w:t xml:space="preserve">(e.g. </w:t>
      </w:r>
      <w:r w:rsidR="009F2D9B" w:rsidRPr="003F0BB2">
        <w:t>enable audit and compliance activities to occur including requiring subcontractors to provide relevant information through deeds poll or other contractual mechanisms</w:t>
      </w:r>
      <w:r w:rsidRPr="003F0BB2">
        <w:t>)</w:t>
      </w:r>
    </w:p>
    <w:p w14:paraId="3BC36603" w14:textId="77777777" w:rsidR="009F2D9B" w:rsidRPr="00C206DA" w:rsidRDefault="00103DB9" w:rsidP="00A33B13">
      <w:pPr>
        <w:pStyle w:val="ListParagraph"/>
        <w:numPr>
          <w:ilvl w:val="0"/>
          <w:numId w:val="23"/>
        </w:numPr>
      </w:pPr>
      <w:r w:rsidRPr="00C206DA">
        <w:t>include contract clauses to enable monitoring, reporting and measurement of performance</w:t>
      </w:r>
    </w:p>
    <w:p w14:paraId="522D608C" w14:textId="77777777" w:rsidR="00A33B13" w:rsidRPr="00A33B13" w:rsidRDefault="00103DB9" w:rsidP="00A33B13">
      <w:pPr>
        <w:pStyle w:val="ListParagraph"/>
        <w:numPr>
          <w:ilvl w:val="0"/>
          <w:numId w:val="23"/>
        </w:numPr>
      </w:pPr>
      <w:r w:rsidRPr="00A33B13">
        <w:t xml:space="preserve">include the best practice principles in the subcontract tender documentation, including requiring subcontractors to </w:t>
      </w:r>
      <w:proofErr w:type="gramStart"/>
      <w:r w:rsidRPr="00A33B13">
        <w:t>enter into</w:t>
      </w:r>
      <w:proofErr w:type="gramEnd"/>
      <w:r w:rsidRPr="00A33B13">
        <w:t xml:space="preserve"> any applicable deeds poll for audit and compliance activities to occur</w:t>
      </w:r>
    </w:p>
    <w:p w14:paraId="31DDC46F" w14:textId="77777777" w:rsidR="00A33B13" w:rsidRPr="00DA6D27" w:rsidRDefault="00103DB9" w:rsidP="00A33B13">
      <w:pPr>
        <w:pStyle w:val="ListParagraph"/>
        <w:numPr>
          <w:ilvl w:val="0"/>
          <w:numId w:val="23"/>
        </w:numPr>
      </w:pPr>
      <w:r w:rsidRPr="00F356A8">
        <w:t xml:space="preserve">assign weightings based on the strategy approved by the responsible Minister for </w:t>
      </w:r>
      <w:r w:rsidRPr="00DA6D27">
        <w:t>evaluating subcontractor offers against the best practice principles</w:t>
      </w:r>
    </w:p>
    <w:p w14:paraId="23C5AD8B" w14:textId="0C3DAA0A" w:rsidR="00A33B13" w:rsidRPr="003F0BB2" w:rsidRDefault="00103DB9" w:rsidP="00A33B13">
      <w:pPr>
        <w:pStyle w:val="ListParagraph"/>
        <w:numPr>
          <w:ilvl w:val="0"/>
          <w:numId w:val="23"/>
        </w:numPr>
      </w:pPr>
      <w:r w:rsidRPr="003F0BB2">
        <w:t>ask subcontractors to demonstrate how they propose to address the best practice principles</w:t>
      </w:r>
    </w:p>
    <w:p w14:paraId="719F7174" w14:textId="34B10884" w:rsidR="00A33B13" w:rsidRPr="00E96050" w:rsidRDefault="00103DB9" w:rsidP="00A33B13">
      <w:pPr>
        <w:pStyle w:val="ListParagraph"/>
        <w:numPr>
          <w:ilvl w:val="0"/>
          <w:numId w:val="23"/>
        </w:numPr>
      </w:pPr>
      <w:r w:rsidRPr="00E96050">
        <w:t xml:space="preserve">provide subcontractors with examples of best practice for </w:t>
      </w:r>
      <w:r w:rsidR="00E96050" w:rsidRPr="00134686">
        <w:t>the</w:t>
      </w:r>
      <w:r w:rsidRPr="00E96050">
        <w:t xml:space="preserve"> best practice principles which may vary from project to project</w:t>
      </w:r>
    </w:p>
    <w:p w14:paraId="0CD065AE" w14:textId="77777777" w:rsidR="00A33B13" w:rsidRPr="00A33B13" w:rsidRDefault="00103DB9" w:rsidP="00A33B13">
      <w:pPr>
        <w:pStyle w:val="ListParagraph"/>
        <w:numPr>
          <w:ilvl w:val="0"/>
          <w:numId w:val="23"/>
        </w:numPr>
      </w:pPr>
      <w:r w:rsidRPr="00A33B13">
        <w:t>assess subcontract tenders in line with the approved weightings and record decisions made</w:t>
      </w:r>
    </w:p>
    <w:p w14:paraId="31D9857A" w14:textId="77777777" w:rsidR="00A33B13" w:rsidRPr="00A33B13" w:rsidRDefault="00103DB9" w:rsidP="00A33B13">
      <w:pPr>
        <w:pStyle w:val="ListParagraph"/>
        <w:numPr>
          <w:ilvl w:val="0"/>
          <w:numId w:val="23"/>
        </w:numPr>
      </w:pPr>
      <w:r w:rsidRPr="00A33B13">
        <w:t>include a provision in any resulting contract with successful subcontractors requiring the subcontractor to fulfil the commitments made in its tender in respect of the best practice principles.</w:t>
      </w:r>
    </w:p>
    <w:p w14:paraId="00E254D1" w14:textId="496909AA" w:rsidR="00A33B13" w:rsidRPr="00A33B13" w:rsidRDefault="00103DB9" w:rsidP="00A33B13">
      <w:pPr>
        <w:rPr>
          <w:iCs/>
        </w:rPr>
      </w:pPr>
      <w:r w:rsidRPr="00A33B13">
        <w:rPr>
          <w:iCs/>
        </w:rPr>
        <w:lastRenderedPageBreak/>
        <w:t xml:space="preserve">Agencies may wish to refer to </w:t>
      </w:r>
      <w:r w:rsidRPr="00A33B13">
        <w:rPr>
          <w:b/>
          <w:iCs/>
        </w:rPr>
        <w:t>Appendix 5</w:t>
      </w:r>
      <w:r w:rsidRPr="00A33B13">
        <w:rPr>
          <w:iCs/>
        </w:rPr>
        <w:t xml:space="preserve"> in developing example clauses to ensure successful tenderers fulfil the commitments made in respect of the best practice principles in the tender. It is a policy requirement of the </w:t>
      </w:r>
      <w:hyperlink r:id="rId21" w:history="1">
        <w:r w:rsidR="00E96050">
          <w:rPr>
            <w:rStyle w:val="Hyperlink"/>
            <w:iCs/>
          </w:rPr>
          <w:t>Building Policy</w:t>
        </w:r>
        <w:r w:rsidR="00E96050" w:rsidRPr="00A33B13">
          <w:rPr>
            <w:rStyle w:val="Hyperlink"/>
            <w:iCs/>
          </w:rPr>
          <w:t xml:space="preserve"> Framework</w:t>
        </w:r>
      </w:hyperlink>
      <w:r w:rsidRPr="00A33B13">
        <w:rPr>
          <w:iCs/>
        </w:rPr>
        <w:t xml:space="preserve"> for agencies to use standard contracts developed by D</w:t>
      </w:r>
      <w:r w:rsidR="00835067">
        <w:rPr>
          <w:iCs/>
        </w:rPr>
        <w:t>H</w:t>
      </w:r>
      <w:r w:rsidRPr="00A33B13">
        <w:rPr>
          <w:iCs/>
        </w:rPr>
        <w:t>PW on all government building projects, and D</w:t>
      </w:r>
      <w:r w:rsidR="00835067">
        <w:rPr>
          <w:iCs/>
        </w:rPr>
        <w:t>H</w:t>
      </w:r>
      <w:r w:rsidRPr="00A33B13">
        <w:rPr>
          <w:iCs/>
        </w:rPr>
        <w:t xml:space="preserve">PW (Contract Services) will ensure the contracts are suitable and available for agencies to use for best practice principles projects.  </w:t>
      </w:r>
    </w:p>
    <w:p w14:paraId="05DC91F2" w14:textId="77777777" w:rsidR="00A33B13" w:rsidRPr="00A33B13" w:rsidRDefault="00103DB9" w:rsidP="00A33B13">
      <w:pPr>
        <w:rPr>
          <w:iCs/>
        </w:rPr>
      </w:pPr>
      <w:r w:rsidRPr="00A33B13">
        <w:rPr>
          <w:iCs/>
        </w:rPr>
        <w:t xml:space="preserve">Agencies should seek </w:t>
      </w:r>
      <w:r w:rsidR="00B23822">
        <w:rPr>
          <w:iCs/>
        </w:rPr>
        <w:t xml:space="preserve">legal </w:t>
      </w:r>
      <w:r w:rsidRPr="00A33B13">
        <w:rPr>
          <w:iCs/>
        </w:rPr>
        <w:t>advice if independent assessors are required as part of monitoring or audit activities.</w:t>
      </w:r>
    </w:p>
    <w:p w14:paraId="79D7B758" w14:textId="77777777" w:rsidR="00A33B13" w:rsidRPr="00A33B13" w:rsidRDefault="00103DB9" w:rsidP="00A33B13">
      <w:pPr>
        <w:pStyle w:val="Heading2"/>
      </w:pPr>
      <w:bookmarkStart w:id="64" w:name="_Toc61528759"/>
      <w:bookmarkStart w:id="65" w:name="_Toc69201380"/>
      <w:bookmarkStart w:id="66" w:name="_Toc182462573"/>
      <w:r w:rsidRPr="00A33B13">
        <w:t>Contract award and management</w:t>
      </w:r>
      <w:bookmarkEnd w:id="64"/>
      <w:bookmarkEnd w:id="65"/>
      <w:bookmarkEnd w:id="66"/>
    </w:p>
    <w:p w14:paraId="63A1ACC7" w14:textId="77777777" w:rsidR="00A33B13" w:rsidRPr="00A33B13" w:rsidRDefault="00103DB9" w:rsidP="00A33B13">
      <w:pPr>
        <w:rPr>
          <w:iCs/>
        </w:rPr>
      </w:pPr>
      <w:r w:rsidRPr="00A33B13">
        <w:rPr>
          <w:iCs/>
        </w:rPr>
        <w:t xml:space="preserve">On award of the contract to the successful tenderer, agencies should ensure fulfillment of contracted best practice principles commitments through robust contract management. </w:t>
      </w:r>
    </w:p>
    <w:p w14:paraId="4C6E27FB" w14:textId="77777777" w:rsidR="00A33B13" w:rsidRPr="00A33B13" w:rsidRDefault="00103DB9" w:rsidP="00A33B13">
      <w:pPr>
        <w:rPr>
          <w:iCs/>
        </w:rPr>
      </w:pPr>
      <w:r w:rsidRPr="00A33B13">
        <w:rPr>
          <w:iCs/>
        </w:rPr>
        <w:t xml:space="preserve">For each contract, consider the form in which monitoring takes place by reference to the performance management approach determined in the </w:t>
      </w:r>
      <w:r w:rsidR="000C3D2E">
        <w:rPr>
          <w:iCs/>
        </w:rPr>
        <w:t>‘</w:t>
      </w:r>
      <w:r w:rsidRPr="00A33B13">
        <w:rPr>
          <w:iCs/>
        </w:rPr>
        <w:t>Procurement planning</w:t>
      </w:r>
      <w:r w:rsidR="000C3D2E">
        <w:rPr>
          <w:iCs/>
        </w:rPr>
        <w:t>’</w:t>
      </w:r>
      <w:r w:rsidRPr="00A33B13">
        <w:rPr>
          <w:iCs/>
        </w:rPr>
        <w:t xml:space="preserve"> section of this guide and as agreed with the successful tenderer. For example, monitoring by the contract manager could be a mix of regular reporting regarding contract key performance indicators (e.g. to demonstrate compliance with the best practice principles), audits, site visits, or scheduled meetings. </w:t>
      </w:r>
    </w:p>
    <w:p w14:paraId="3900B248" w14:textId="77777777" w:rsidR="00A33B13" w:rsidRPr="00A33B13" w:rsidRDefault="00103DB9" w:rsidP="00A33B13">
      <w:pPr>
        <w:rPr>
          <w:iCs/>
        </w:rPr>
      </w:pPr>
      <w:r w:rsidRPr="00C206DA">
        <w:rPr>
          <w:iCs/>
        </w:rPr>
        <w:t>QGP Compliance Branch conducts proactive audits on best practice principles projects in addition to overseeing agency investigations of complaints. When non-compliance is detected,</w:t>
      </w:r>
      <w:r w:rsidRPr="00A33B13">
        <w:rPr>
          <w:iCs/>
        </w:rPr>
        <w:t xml:space="preserve"> usual contract management avenues include pursuing contractual (such a</w:t>
      </w:r>
      <w:r>
        <w:rPr>
          <w:iCs/>
        </w:rPr>
        <w:t>s</w:t>
      </w:r>
      <w:r w:rsidRPr="00A33B13">
        <w:rPr>
          <w:iCs/>
        </w:rPr>
        <w:t xml:space="preserve"> liquidated damages) and other remedies (such as court action) to enforce contractual obligations are required. In addition, this may also include taking any actions under the Ethical Supplier Mandate (if applicable) or Ethical Supplier Threshold.</w:t>
      </w:r>
    </w:p>
    <w:p w14:paraId="6AC455C9" w14:textId="77777777" w:rsidR="00A33B13" w:rsidRPr="00A33B13" w:rsidRDefault="00103DB9" w:rsidP="00A33B13">
      <w:pPr>
        <w:rPr>
          <w:iCs/>
        </w:rPr>
      </w:pPr>
      <w:r w:rsidRPr="00A33B13">
        <w:rPr>
          <w:b/>
          <w:iCs/>
        </w:rPr>
        <w:t>As with any contract, all instances of non-compliance with contractual obligations must be documented. Agencies may consider seeking legal advice as necessary prior to activating any provisions related to breach of contract (e.g. breach of best practice principles commitments)</w:t>
      </w:r>
      <w:r w:rsidRPr="00A33B13">
        <w:rPr>
          <w:iCs/>
        </w:rPr>
        <w:t xml:space="preserve">. </w:t>
      </w:r>
    </w:p>
    <w:p w14:paraId="091BF3DD" w14:textId="77777777" w:rsidR="00A33B13" w:rsidRPr="00A33B13" w:rsidRDefault="00103DB9" w:rsidP="00A33B13">
      <w:pPr>
        <w:rPr>
          <w:iCs/>
        </w:rPr>
      </w:pPr>
      <w:r w:rsidRPr="00A33B13">
        <w:rPr>
          <w:iCs/>
        </w:rPr>
        <w:t xml:space="preserve">For more information regarding contract management and the Ethical Supplier Mandate, please refer to the following guidance materials: </w:t>
      </w:r>
    </w:p>
    <w:p w14:paraId="437C3AFF" w14:textId="6438A683" w:rsidR="00C5417A" w:rsidRPr="00A33B13" w:rsidRDefault="00D2597E" w:rsidP="00C5417A">
      <w:pPr>
        <w:pStyle w:val="ListParagraph"/>
        <w:numPr>
          <w:ilvl w:val="0"/>
          <w:numId w:val="23"/>
        </w:numPr>
        <w:rPr>
          <w:iCs/>
        </w:rPr>
      </w:pPr>
      <w:hyperlink r:id="rId22" w:history="1">
        <w:r w:rsidR="00C5417A" w:rsidRPr="00EB49A4">
          <w:rPr>
            <w:rStyle w:val="Hyperlink"/>
            <w:iCs/>
          </w:rPr>
          <w:t xml:space="preserve">Building Policy Framework supported by the Building </w:t>
        </w:r>
        <w:r w:rsidR="00C5417A">
          <w:rPr>
            <w:rStyle w:val="Hyperlink"/>
            <w:iCs/>
          </w:rPr>
          <w:t>Policy Guideline</w:t>
        </w:r>
      </w:hyperlink>
    </w:p>
    <w:p w14:paraId="5D1F8EAB" w14:textId="77777777" w:rsidR="00A33B13" w:rsidRPr="00A33B13" w:rsidRDefault="00D2597E" w:rsidP="00A33B13">
      <w:pPr>
        <w:pStyle w:val="ListParagraph"/>
        <w:numPr>
          <w:ilvl w:val="0"/>
          <w:numId w:val="23"/>
        </w:numPr>
        <w:rPr>
          <w:iCs/>
        </w:rPr>
      </w:pPr>
      <w:hyperlink r:id="rId23" w:history="1">
        <w:r w:rsidR="00E006F7" w:rsidRPr="00A33B13">
          <w:rPr>
            <w:rStyle w:val="Hyperlink"/>
            <w:iCs/>
          </w:rPr>
          <w:t>Ethical Supplier Mandate</w:t>
        </w:r>
      </w:hyperlink>
    </w:p>
    <w:p w14:paraId="1EB11342" w14:textId="77777777" w:rsidR="00A33B13" w:rsidRPr="00A33B13" w:rsidRDefault="00D2597E" w:rsidP="00A33B13">
      <w:pPr>
        <w:pStyle w:val="ListParagraph"/>
        <w:numPr>
          <w:ilvl w:val="0"/>
          <w:numId w:val="23"/>
        </w:numPr>
        <w:rPr>
          <w:iCs/>
        </w:rPr>
      </w:pPr>
      <w:hyperlink r:id="rId24" w:history="1">
        <w:r w:rsidR="00E006F7" w:rsidRPr="00A33B13">
          <w:rPr>
            <w:rStyle w:val="Hyperlink"/>
            <w:iCs/>
          </w:rPr>
          <w:t>Guidelines: Ethical Supplier Mandate</w:t>
        </w:r>
      </w:hyperlink>
      <w:r w:rsidR="00E006F7" w:rsidRPr="00A33B13">
        <w:rPr>
          <w:iCs/>
        </w:rPr>
        <w:t xml:space="preserve"> </w:t>
      </w:r>
    </w:p>
    <w:p w14:paraId="0A3C9C5A" w14:textId="77777777" w:rsidR="00A33B13" w:rsidRPr="00A33B13" w:rsidRDefault="00D2597E" w:rsidP="00A33B13">
      <w:pPr>
        <w:numPr>
          <w:ilvl w:val="0"/>
          <w:numId w:val="27"/>
        </w:numPr>
        <w:rPr>
          <w:iCs/>
        </w:rPr>
      </w:pPr>
      <w:hyperlink r:id="rId25" w:history="1">
        <w:r w:rsidR="00E006F7" w:rsidRPr="00A33B13">
          <w:rPr>
            <w:rStyle w:val="Hyperlink"/>
            <w:iCs/>
          </w:rPr>
          <w:t>Guidelines: Ethical Supplier Threshold</w:t>
        </w:r>
      </w:hyperlink>
    </w:p>
    <w:p w14:paraId="5246E636" w14:textId="77777777" w:rsidR="00A33B13" w:rsidRPr="00A33B13" w:rsidRDefault="00103DB9" w:rsidP="00A33B13">
      <w:pPr>
        <w:pStyle w:val="Heading1"/>
      </w:pPr>
      <w:bookmarkStart w:id="67" w:name="_Toc61528760"/>
      <w:bookmarkStart w:id="68" w:name="_Toc69201381"/>
      <w:bookmarkStart w:id="69" w:name="_Toc182462574"/>
      <w:r w:rsidRPr="00A33B13">
        <w:t>Probity considerations</w:t>
      </w:r>
      <w:bookmarkEnd w:id="67"/>
      <w:bookmarkEnd w:id="68"/>
      <w:bookmarkEnd w:id="69"/>
    </w:p>
    <w:p w14:paraId="04FA8455" w14:textId="77777777" w:rsidR="00A33B13" w:rsidRPr="00A33B13" w:rsidRDefault="00103DB9" w:rsidP="00A33B13">
      <w:pPr>
        <w:pStyle w:val="Heading2"/>
      </w:pPr>
      <w:bookmarkStart w:id="70" w:name="_Toc61528761"/>
      <w:bookmarkStart w:id="71" w:name="_Toc69201382"/>
      <w:bookmarkStart w:id="72" w:name="_Toc182462575"/>
      <w:r w:rsidRPr="00A33B13">
        <w:t>Probity overview</w:t>
      </w:r>
      <w:bookmarkEnd w:id="70"/>
      <w:bookmarkEnd w:id="71"/>
      <w:bookmarkEnd w:id="72"/>
    </w:p>
    <w:p w14:paraId="19B354C6" w14:textId="77777777" w:rsidR="00A33B13" w:rsidRPr="00A33B13" w:rsidRDefault="00103DB9" w:rsidP="00A33B13">
      <w:pPr>
        <w:rPr>
          <w:iCs/>
        </w:rPr>
      </w:pPr>
      <w:r w:rsidRPr="00A33B13">
        <w:rPr>
          <w:iCs/>
        </w:rPr>
        <w:t xml:space="preserve">The Queensland Government requires procurement to be undertaken with integrity, ensuring probity and accountability for outcomes. Part of this involves ensuring transparency and defensibility of decisions made, and that all parts of the process and application of the principles are appropriately documented. </w:t>
      </w:r>
    </w:p>
    <w:p w14:paraId="0FC7E3A2" w14:textId="77777777" w:rsidR="00A33B13" w:rsidRPr="00A33B13" w:rsidRDefault="00103DB9" w:rsidP="00A33B13">
      <w:pPr>
        <w:rPr>
          <w:iCs/>
        </w:rPr>
      </w:pPr>
      <w:r w:rsidRPr="00A33B13">
        <w:rPr>
          <w:iCs/>
        </w:rPr>
        <w:t xml:space="preserve">The effective application of probity and transparency helps protect decision makers and other officials involved in a procurement from claims of unfairness, flawed processes or improper influence. Measures include for example, probity plans, and the engagement of probity auditors. </w:t>
      </w:r>
    </w:p>
    <w:p w14:paraId="02747E12" w14:textId="77777777" w:rsidR="00A33B13" w:rsidRPr="00A33B13" w:rsidRDefault="00103DB9" w:rsidP="00A33B13">
      <w:pPr>
        <w:rPr>
          <w:iCs/>
        </w:rPr>
      </w:pPr>
      <w:r w:rsidRPr="00A33B13">
        <w:rPr>
          <w:iCs/>
        </w:rPr>
        <w:t xml:space="preserve">For more information, please refer to the </w:t>
      </w:r>
      <w:hyperlink r:id="rId26" w:history="1">
        <w:r w:rsidRPr="00A33B13">
          <w:rPr>
            <w:rStyle w:val="Hyperlink"/>
            <w:iCs/>
          </w:rPr>
          <w:t>Probity and integrity in procurement</w:t>
        </w:r>
      </w:hyperlink>
      <w:r w:rsidRPr="00A33B13">
        <w:rPr>
          <w:iCs/>
        </w:rPr>
        <w:t xml:space="preserve"> guide.</w:t>
      </w:r>
    </w:p>
    <w:p w14:paraId="4A151F34" w14:textId="77777777" w:rsidR="00A33B13" w:rsidRPr="00A33B13" w:rsidRDefault="00103DB9" w:rsidP="00A33B13">
      <w:pPr>
        <w:pStyle w:val="Heading2"/>
      </w:pPr>
      <w:bookmarkStart w:id="73" w:name="_Toc61528762"/>
      <w:bookmarkStart w:id="74" w:name="_Toc69201383"/>
      <w:bookmarkStart w:id="75" w:name="_Toc182462576"/>
      <w:r w:rsidRPr="00A33B13">
        <w:lastRenderedPageBreak/>
        <w:t>Ensuring probity when applying the best practice principles to procurement</w:t>
      </w:r>
      <w:bookmarkEnd w:id="73"/>
      <w:bookmarkEnd w:id="74"/>
      <w:bookmarkEnd w:id="75"/>
    </w:p>
    <w:p w14:paraId="275ADD3E" w14:textId="77777777" w:rsidR="00A33B13" w:rsidRPr="00A33B13" w:rsidRDefault="00103DB9" w:rsidP="00A33B13">
      <w:pPr>
        <w:rPr>
          <w:iCs/>
        </w:rPr>
      </w:pPr>
      <w:r w:rsidRPr="00A33B13">
        <w:rPr>
          <w:iCs/>
        </w:rPr>
        <w:t>As with all procurement processes, when applying the best practice principles, observe high standards of integrity and probity. This means acting in such a way that there can be no perception of bias, influence or lack of integrity throughout the lifecycle of a procurement – from ensuring transparency of decisions made with respect to the allocation of approved weightings through to ensuring equitable communications and information dissemination amongst tenderers.</w:t>
      </w:r>
    </w:p>
    <w:p w14:paraId="63E66BB6" w14:textId="277473EA" w:rsidR="00A33B13" w:rsidRPr="00A33B13" w:rsidRDefault="00103DB9" w:rsidP="00A33B13">
      <w:pPr>
        <w:rPr>
          <w:iCs/>
        </w:rPr>
      </w:pPr>
      <w:r w:rsidRPr="00134686">
        <w:rPr>
          <w:iCs/>
        </w:rPr>
        <w:t xml:space="preserve">Evaluation processes in scoring against the best practice principles are no different to any other tender process. That is, a tenderer who offers a superior response, should be scored accordingly. </w:t>
      </w:r>
    </w:p>
    <w:p w14:paraId="19BF1D4E" w14:textId="77777777" w:rsidR="00A33B13" w:rsidRPr="00A33B13" w:rsidRDefault="00103DB9" w:rsidP="00A33B13">
      <w:pPr>
        <w:rPr>
          <w:iCs/>
        </w:rPr>
      </w:pPr>
      <w:r w:rsidRPr="00A33B13">
        <w:rPr>
          <w:iCs/>
        </w:rPr>
        <w:t xml:space="preserve">Agencies should ensure that debriefing processes are proactively offered or made available so that tenderers can receive feedback on their tender. Where a tenderer requests feedback, this may also include that tenderer’s response to the best practice principles.  </w:t>
      </w:r>
    </w:p>
    <w:p w14:paraId="53D3FA4C" w14:textId="77777777" w:rsidR="00A33B13" w:rsidRPr="00A33B13" w:rsidRDefault="00103DB9" w:rsidP="00A33B13">
      <w:pPr>
        <w:pStyle w:val="Heading1"/>
      </w:pPr>
      <w:bookmarkStart w:id="76" w:name="_Toc69201384"/>
      <w:bookmarkStart w:id="77" w:name="_Toc182462577"/>
      <w:r w:rsidRPr="00A33B13">
        <w:t>Compliance</w:t>
      </w:r>
      <w:bookmarkEnd w:id="76"/>
      <w:bookmarkEnd w:id="77"/>
    </w:p>
    <w:p w14:paraId="063621F6" w14:textId="16D58465" w:rsidR="00A33B13" w:rsidRPr="00134686" w:rsidRDefault="00E96050" w:rsidP="00A33B13">
      <w:pPr>
        <w:rPr>
          <w:iCs/>
        </w:rPr>
      </w:pPr>
      <w:r w:rsidRPr="00134686">
        <w:rPr>
          <w:iCs/>
        </w:rPr>
        <w:t>T</w:t>
      </w:r>
      <w:r w:rsidR="00103DB9" w:rsidRPr="00134686">
        <w:rPr>
          <w:iCs/>
        </w:rPr>
        <w:t>he QGP Compliance Branch monitor</w:t>
      </w:r>
      <w:r w:rsidRPr="00134686">
        <w:rPr>
          <w:iCs/>
        </w:rPr>
        <w:t>s</w:t>
      </w:r>
      <w:r w:rsidR="00103DB9" w:rsidRPr="00134686">
        <w:rPr>
          <w:iCs/>
        </w:rPr>
        <w:t xml:space="preserve"> and enforce</w:t>
      </w:r>
      <w:r w:rsidRPr="00134686">
        <w:rPr>
          <w:iCs/>
        </w:rPr>
        <w:t>s</w:t>
      </w:r>
      <w:r w:rsidR="00103DB9" w:rsidRPr="00134686">
        <w:rPr>
          <w:iCs/>
        </w:rPr>
        <w:t xml:space="preserve"> the policy requirements and ensure</w:t>
      </w:r>
      <w:r w:rsidRPr="00134686">
        <w:rPr>
          <w:iCs/>
        </w:rPr>
        <w:t>s</w:t>
      </w:r>
      <w:r w:rsidR="00103DB9" w:rsidRPr="00134686">
        <w:rPr>
          <w:iCs/>
        </w:rPr>
        <w:t xml:space="preserve"> that supplier commitments are delivered. For more information about the Compliance Branch, refer to </w:t>
      </w:r>
      <w:hyperlink r:id="rId27" w:history="1">
        <w:r w:rsidR="00103DB9" w:rsidRPr="00134686">
          <w:rPr>
            <w:rStyle w:val="Hyperlink"/>
            <w:iCs/>
          </w:rPr>
          <w:t>www.epw.qld.gov.au/about/strategy/buy-qld/compliance-complaints</w:t>
        </w:r>
      </w:hyperlink>
      <w:r w:rsidR="00103DB9" w:rsidRPr="00134686">
        <w:rPr>
          <w:iCs/>
        </w:rPr>
        <w:t xml:space="preserve">. </w:t>
      </w:r>
    </w:p>
    <w:p w14:paraId="65C18081" w14:textId="793F91D9" w:rsidR="00A33B13" w:rsidRPr="00A33B13" w:rsidRDefault="00E96050" w:rsidP="00A33B13">
      <w:pPr>
        <w:rPr>
          <w:iCs/>
        </w:rPr>
      </w:pPr>
      <w:r w:rsidRPr="00134686">
        <w:rPr>
          <w:iCs/>
        </w:rPr>
        <w:t>T</w:t>
      </w:r>
      <w:r w:rsidR="00103DB9" w:rsidRPr="00134686">
        <w:rPr>
          <w:iCs/>
        </w:rPr>
        <w:t>he Ethical Supplier Mandate is a mechanism for ensuring the</w:t>
      </w:r>
      <w:r w:rsidR="00103DB9" w:rsidRPr="00A33B13">
        <w:rPr>
          <w:iCs/>
        </w:rPr>
        <w:t xml:space="preserve"> Queensland Government is conducting business with ethical, environmentally and socially responsible suppliers, and for removing unethical behaviour from its supply chain. In relation to agencies and procurement categories covered by the Ethical Supplier Mandate, if, through a comp</w:t>
      </w:r>
      <w:r w:rsidR="00103DB9" w:rsidRPr="00F356A8">
        <w:rPr>
          <w:iCs/>
        </w:rPr>
        <w:t>la</w:t>
      </w:r>
      <w:r w:rsidR="00103DB9" w:rsidRPr="00DA6D27">
        <w:rPr>
          <w:iCs/>
        </w:rPr>
        <w:t>i</w:t>
      </w:r>
      <w:r w:rsidR="00103DB9" w:rsidRPr="00F356A8">
        <w:rPr>
          <w:iCs/>
        </w:rPr>
        <w:t>nt</w:t>
      </w:r>
      <w:r w:rsidR="00103DB9" w:rsidRPr="00A33B13">
        <w:rPr>
          <w:iCs/>
        </w:rPr>
        <w:t xml:space="preserve"> or an audit, evidence of supplier non-compliance with contracted best practice principles commitments is found, a referral to the Penalties and Sanctions Committee will be made for consideration of demerit points. An accumulation of 20 demerit points may result in a supplier being barred from tendering for government work for up to 12 months. For more information on demerits, penalties and sanctions, please refer to </w:t>
      </w:r>
      <w:hyperlink r:id="rId28" w:history="1">
        <w:r w:rsidR="00103DB9" w:rsidRPr="00A33B13">
          <w:rPr>
            <w:rStyle w:val="Hyperlink"/>
            <w:iCs/>
          </w:rPr>
          <w:t>www.qld.gov.au/ethicalsupplier</w:t>
        </w:r>
      </w:hyperlink>
      <w:r w:rsidR="00103DB9" w:rsidRPr="00A33B13">
        <w:rPr>
          <w:iCs/>
        </w:rPr>
        <w:t xml:space="preserve">. </w:t>
      </w:r>
    </w:p>
    <w:p w14:paraId="4B6BC029" w14:textId="0AC74667" w:rsidR="00A33B13" w:rsidRPr="00A33B13" w:rsidRDefault="00030393" w:rsidP="00A33B13">
      <w:pPr>
        <w:rPr>
          <w:iCs/>
        </w:rPr>
      </w:pPr>
      <w:r w:rsidRPr="00030393">
        <w:rPr>
          <w:iCs/>
        </w:rPr>
        <w:t>The Procurement Investigation Unit</w:t>
      </w:r>
      <w:r>
        <w:rPr>
          <w:iCs/>
        </w:rPr>
        <w:t xml:space="preserve"> (PIU)</w:t>
      </w:r>
      <w:r w:rsidRPr="00030393">
        <w:rPr>
          <w:iCs/>
        </w:rPr>
        <w:t xml:space="preserve"> investigates alleged breaches of the Ethical Supplier Threshold and incidents of non-compliance under the Ethical Supplier Mandate on behalf of all procuring agencies across government.</w:t>
      </w:r>
      <w:r>
        <w:rPr>
          <w:iCs/>
        </w:rPr>
        <w:t xml:space="preserve"> For more information, contact the PIU</w:t>
      </w:r>
      <w:r w:rsidR="00103DB9" w:rsidRPr="00A33B13">
        <w:rPr>
          <w:iCs/>
        </w:rPr>
        <w:t xml:space="preserve"> on 1300 10 50 30 or </w:t>
      </w:r>
      <w:hyperlink r:id="rId29" w:history="1">
        <w:r w:rsidR="002E4BD0" w:rsidRPr="002E4BD0">
          <w:rPr>
            <w:rStyle w:val="Hyperlink"/>
            <w:iCs/>
          </w:rPr>
          <w:t>QPPCompliance@epw.qld.gov.au</w:t>
        </w:r>
      </w:hyperlink>
      <w:r w:rsidR="00103DB9" w:rsidRPr="00A33B13">
        <w:rPr>
          <w:iCs/>
        </w:rPr>
        <w:t xml:space="preserve">. </w:t>
      </w:r>
    </w:p>
    <w:p w14:paraId="7FB7C2ED" w14:textId="19E4A3B4" w:rsidR="00A33B13" w:rsidRPr="00A33B13" w:rsidRDefault="00103DB9" w:rsidP="00A33B13">
      <w:pPr>
        <w:rPr>
          <w:iCs/>
        </w:rPr>
      </w:pPr>
      <w:r w:rsidRPr="002E4BD0">
        <w:rPr>
          <w:iCs/>
        </w:rPr>
        <w:t xml:space="preserve">For more information on audit requirements, contact the </w:t>
      </w:r>
      <w:r w:rsidRPr="002E4BD0">
        <w:rPr>
          <w:i/>
          <w:iCs/>
        </w:rPr>
        <w:t>Buy Queensland</w:t>
      </w:r>
      <w:r w:rsidRPr="002E4BD0">
        <w:rPr>
          <w:iCs/>
        </w:rPr>
        <w:t xml:space="preserve"> Audit </w:t>
      </w:r>
      <w:r w:rsidR="002E4BD0" w:rsidRPr="00134686">
        <w:rPr>
          <w:iCs/>
        </w:rPr>
        <w:t>Unit</w:t>
      </w:r>
      <w:r w:rsidR="002E4BD0" w:rsidRPr="002E4BD0">
        <w:rPr>
          <w:iCs/>
        </w:rPr>
        <w:t xml:space="preserve"> </w:t>
      </w:r>
      <w:r w:rsidRPr="002E4BD0">
        <w:rPr>
          <w:iCs/>
        </w:rPr>
        <w:t xml:space="preserve">on 1300 10 50 30 or </w:t>
      </w:r>
      <w:hyperlink r:id="rId30" w:history="1">
        <w:r w:rsidR="002E4BD0" w:rsidRPr="002E4BD0">
          <w:rPr>
            <w:rStyle w:val="Hyperlink"/>
            <w:iCs/>
          </w:rPr>
          <w:t>BuyQ</w:t>
        </w:r>
        <w:r w:rsidR="002E4BD0" w:rsidRPr="00134686">
          <w:rPr>
            <w:rStyle w:val="Hyperlink"/>
            <w:iCs/>
          </w:rPr>
          <w:t>LDA</w:t>
        </w:r>
        <w:r w:rsidR="002E4BD0" w:rsidRPr="002E4BD0">
          <w:rPr>
            <w:rStyle w:val="Hyperlink"/>
            <w:iCs/>
          </w:rPr>
          <w:t>udit@</w:t>
        </w:r>
        <w:r w:rsidR="002E4BD0" w:rsidRPr="00134686">
          <w:rPr>
            <w:rStyle w:val="Hyperlink"/>
            <w:iCs/>
          </w:rPr>
          <w:t>e</w:t>
        </w:r>
        <w:r w:rsidR="002E4BD0" w:rsidRPr="002E4BD0">
          <w:rPr>
            <w:rStyle w:val="Hyperlink"/>
            <w:iCs/>
          </w:rPr>
          <w:t>pw.qld.gov.au</w:t>
        </w:r>
      </w:hyperlink>
      <w:r w:rsidRPr="002E4BD0">
        <w:rPr>
          <w:iCs/>
          <w:u w:val="single"/>
        </w:rPr>
        <w:t>.</w:t>
      </w:r>
    </w:p>
    <w:p w14:paraId="47BDFCBA" w14:textId="1C28343C" w:rsidR="00A33B13" w:rsidRPr="00A33B13" w:rsidRDefault="00103DB9" w:rsidP="00A33B13">
      <w:pPr>
        <w:rPr>
          <w:iCs/>
        </w:rPr>
      </w:pPr>
      <w:r w:rsidRPr="00A33B13">
        <w:rPr>
          <w:iCs/>
        </w:rPr>
        <w:t xml:space="preserve">For more information about the Ethical Supplier Mandate and Ethical Supplier Threshold, please contact the </w:t>
      </w:r>
      <w:r w:rsidR="002E4BD0">
        <w:rPr>
          <w:iCs/>
        </w:rPr>
        <w:t xml:space="preserve">Strategy and </w:t>
      </w:r>
      <w:r w:rsidR="002E4BD0">
        <w:rPr>
          <w:iCs/>
        </w:rPr>
        <w:t>Coordination Unit</w:t>
      </w:r>
      <w:r w:rsidRPr="00A33B13">
        <w:rPr>
          <w:iCs/>
        </w:rPr>
        <w:t xml:space="preserve"> on 1300 10 50 30 or </w:t>
      </w:r>
      <w:hyperlink r:id="rId31" w:history="1">
        <w:r w:rsidR="002E4BD0" w:rsidRPr="002E4BD0">
          <w:rPr>
            <w:rStyle w:val="Hyperlink"/>
            <w:iCs/>
          </w:rPr>
          <w:t>ethicalsupply@epw.qld.gov.au</w:t>
        </w:r>
      </w:hyperlink>
      <w:r w:rsidRPr="00A33B13">
        <w:rPr>
          <w:iCs/>
        </w:rPr>
        <w:t>.</w:t>
      </w:r>
    </w:p>
    <w:p w14:paraId="5E954482" w14:textId="77777777" w:rsidR="00A33B13" w:rsidRPr="00A33B13" w:rsidRDefault="00103DB9" w:rsidP="00A33B13">
      <w:pPr>
        <w:pStyle w:val="Heading1"/>
      </w:pPr>
      <w:bookmarkStart w:id="78" w:name="_Toc61528763"/>
      <w:bookmarkStart w:id="79" w:name="_Toc69201385"/>
      <w:bookmarkStart w:id="80" w:name="_Toc182462578"/>
      <w:r w:rsidRPr="00A33B13">
        <w:t xml:space="preserve">Advice about applying the </w:t>
      </w:r>
      <w:bookmarkEnd w:id="78"/>
      <w:r w:rsidRPr="00A33B13">
        <w:t>best practice principles</w:t>
      </w:r>
      <w:bookmarkEnd w:id="79"/>
      <w:bookmarkEnd w:id="80"/>
    </w:p>
    <w:p w14:paraId="1F72205F" w14:textId="4D689AF7" w:rsidR="00A33B13" w:rsidRPr="00DA6D27" w:rsidRDefault="00103DB9" w:rsidP="00A33B13">
      <w:pPr>
        <w:rPr>
          <w:iCs/>
        </w:rPr>
      </w:pPr>
      <w:r w:rsidRPr="00A33B13">
        <w:rPr>
          <w:iCs/>
        </w:rPr>
        <w:t xml:space="preserve">For advice on construction tender and contract clauses, contact Contract Services, Building Contract </w:t>
      </w:r>
      <w:r w:rsidRPr="00DA6D27">
        <w:rPr>
          <w:iCs/>
        </w:rPr>
        <w:t xml:space="preserve">Management, Department of </w:t>
      </w:r>
      <w:r w:rsidR="00435A0A">
        <w:rPr>
          <w:iCs/>
        </w:rPr>
        <w:t>Housing</w:t>
      </w:r>
      <w:r w:rsidRPr="00DA6D27">
        <w:rPr>
          <w:iCs/>
        </w:rPr>
        <w:t xml:space="preserve"> and Public Works: </w:t>
      </w:r>
      <w:hyperlink r:id="rId32" w:history="1">
        <w:r w:rsidR="00C5417A" w:rsidRPr="00510294">
          <w:rPr>
            <w:rStyle w:val="Hyperlink"/>
            <w:iCs/>
          </w:rPr>
          <w:t>bcmsecretariat@epw.qld.gov.au</w:t>
        </w:r>
      </w:hyperlink>
      <w:r w:rsidRPr="00DA6D27">
        <w:rPr>
          <w:iCs/>
          <w:u w:val="single"/>
        </w:rPr>
        <w:t>.</w:t>
      </w:r>
    </w:p>
    <w:p w14:paraId="78509AA0" w14:textId="1A98477C" w:rsidR="00A33B13" w:rsidRPr="00DA6D27" w:rsidRDefault="00103DB9" w:rsidP="00A33B13">
      <w:pPr>
        <w:rPr>
          <w:iCs/>
        </w:rPr>
      </w:pPr>
      <w:r w:rsidRPr="00C206DA">
        <w:rPr>
          <w:iCs/>
        </w:rPr>
        <w:t xml:space="preserve">For advice on </w:t>
      </w:r>
      <w:r w:rsidR="009E7815" w:rsidRPr="00C206DA">
        <w:rPr>
          <w:iCs/>
        </w:rPr>
        <w:t>transport civil construction projects,</w:t>
      </w:r>
      <w:r w:rsidRPr="00C206DA">
        <w:rPr>
          <w:iCs/>
        </w:rPr>
        <w:t xml:space="preserve"> contact Procurement, Infrastructure Delivery Services, Department of Transport and Main Roads:</w:t>
      </w:r>
      <w:r w:rsidR="00975C29" w:rsidRPr="00975C29">
        <w:t xml:space="preserve"> </w:t>
      </w:r>
      <w:hyperlink r:id="rId33" w:tgtFrame="_blank" w:tooltip="mailto:infrastructuretransactions@tmr.qld.gov.au" w:history="1">
        <w:r w:rsidR="00975C29" w:rsidRPr="00975C29">
          <w:rPr>
            <w:rStyle w:val="Hyperlink"/>
            <w:iCs/>
          </w:rPr>
          <w:t>infrastructuretransactions@tmr.qld.gov.au</w:t>
        </w:r>
      </w:hyperlink>
      <w:r w:rsidR="00975C29" w:rsidRPr="00975C29">
        <w:rPr>
          <w:iCs/>
        </w:rPr>
        <w:t>.</w:t>
      </w:r>
      <w:r w:rsidRPr="00DA6D27">
        <w:rPr>
          <w:iCs/>
        </w:rPr>
        <w:t xml:space="preserve"> </w:t>
      </w:r>
    </w:p>
    <w:p w14:paraId="4748DC38" w14:textId="5930A560" w:rsidR="00A33B13" w:rsidRPr="00A33B13" w:rsidRDefault="00103DB9" w:rsidP="00A33B13">
      <w:pPr>
        <w:rPr>
          <w:iCs/>
        </w:rPr>
      </w:pPr>
      <w:r w:rsidRPr="00DA6D27">
        <w:rPr>
          <w:iCs/>
        </w:rPr>
        <w:t>For industrial relations advice</w:t>
      </w:r>
      <w:r w:rsidRPr="00A33B13">
        <w:rPr>
          <w:iCs/>
        </w:rPr>
        <w:t xml:space="preserve">, contact the Office of Industrial Relations, </w:t>
      </w:r>
      <w:r w:rsidR="00E2523D">
        <w:rPr>
          <w:iCs/>
        </w:rPr>
        <w:t>Department of State Development, Infrastructure and Planning</w:t>
      </w:r>
      <w:r w:rsidRPr="00A33B13">
        <w:rPr>
          <w:iCs/>
        </w:rPr>
        <w:t>: (07)</w:t>
      </w:r>
      <w:r w:rsidR="00EB67EF">
        <w:rPr>
          <w:iCs/>
        </w:rPr>
        <w:t> </w:t>
      </w:r>
      <w:r w:rsidRPr="00A33B13">
        <w:rPr>
          <w:iCs/>
        </w:rPr>
        <w:t>3406 9999.</w:t>
      </w:r>
    </w:p>
    <w:p w14:paraId="51351FFE" w14:textId="3A4546E4" w:rsidR="00A33B13" w:rsidRPr="00A33B13" w:rsidRDefault="00103DB9" w:rsidP="00A33B13">
      <w:pPr>
        <w:rPr>
          <w:iCs/>
        </w:rPr>
      </w:pPr>
      <w:r w:rsidRPr="00A33B13">
        <w:rPr>
          <w:iCs/>
        </w:rPr>
        <w:t xml:space="preserve">For workplace health and safety advice, contact Workplace Health and Safety Queensland, Office of Industrial Relations, </w:t>
      </w:r>
      <w:r w:rsidR="002E4BD0">
        <w:rPr>
          <w:iCs/>
        </w:rPr>
        <w:t>Department of State Development, Infrastructure and Planning</w:t>
      </w:r>
      <w:r w:rsidRPr="00A33B13">
        <w:rPr>
          <w:iCs/>
        </w:rPr>
        <w:t>: 1300 362 128.</w:t>
      </w:r>
    </w:p>
    <w:p w14:paraId="7E193055" w14:textId="0EBD6BB4" w:rsidR="00A33B13" w:rsidRPr="00A33B13" w:rsidRDefault="00103DB9" w:rsidP="00A33B13">
      <w:pPr>
        <w:rPr>
          <w:iCs/>
        </w:rPr>
      </w:pPr>
      <w:r w:rsidRPr="00A33B13">
        <w:rPr>
          <w:iCs/>
        </w:rPr>
        <w:lastRenderedPageBreak/>
        <w:t xml:space="preserve">For advice in relation to apprentices and trainees, contact Apprenticeships Info, Department of </w:t>
      </w:r>
      <w:r w:rsidR="00435A0A">
        <w:rPr>
          <w:iCs/>
        </w:rPr>
        <w:t>Trade, Employment</w:t>
      </w:r>
      <w:r w:rsidRPr="00A33B13">
        <w:rPr>
          <w:iCs/>
        </w:rPr>
        <w:t xml:space="preserve"> and Training: 1800 210 210.</w:t>
      </w:r>
    </w:p>
    <w:p w14:paraId="27601DA6" w14:textId="1B3C5C4E" w:rsidR="00A33B13" w:rsidRPr="00A33B13" w:rsidRDefault="00103DB9" w:rsidP="00A33B13">
      <w:pPr>
        <w:rPr>
          <w:iCs/>
        </w:rPr>
      </w:pPr>
      <w:r w:rsidRPr="00A33B13">
        <w:rPr>
          <w:iCs/>
        </w:rPr>
        <w:t xml:space="preserve">For general advice, contact </w:t>
      </w:r>
      <w:r w:rsidR="00390314">
        <w:rPr>
          <w:iCs/>
        </w:rPr>
        <w:t>Queensland Government</w:t>
      </w:r>
      <w:r w:rsidRPr="00A33B13">
        <w:rPr>
          <w:iCs/>
        </w:rPr>
        <w:t xml:space="preserve"> Procurement, Department of </w:t>
      </w:r>
      <w:r w:rsidR="00435A0A">
        <w:rPr>
          <w:iCs/>
        </w:rPr>
        <w:t>Housing</w:t>
      </w:r>
      <w:r w:rsidRPr="00A33B13">
        <w:rPr>
          <w:iCs/>
        </w:rPr>
        <w:t xml:space="preserve"> and Public Works: </w:t>
      </w:r>
      <w:hyperlink r:id="rId34" w:history="1">
        <w:r w:rsidR="002E4BD0" w:rsidRPr="002E4BD0">
          <w:rPr>
            <w:rStyle w:val="Hyperlink"/>
            <w:iCs/>
          </w:rPr>
          <w:t>betterprocurement@epw.qld.gov.au</w:t>
        </w:r>
      </w:hyperlink>
      <w:r w:rsidRPr="00A33B13">
        <w:rPr>
          <w:iCs/>
        </w:rPr>
        <w:t>.</w:t>
      </w:r>
    </w:p>
    <w:p w14:paraId="2D5E2B05" w14:textId="77777777" w:rsidR="00931A22" w:rsidRPr="00931A22" w:rsidRDefault="00103DB9" w:rsidP="00931A22">
      <w:pPr>
        <w:pStyle w:val="Heading1"/>
      </w:pPr>
      <w:bookmarkStart w:id="81" w:name="_Toc61528764"/>
      <w:bookmarkStart w:id="82" w:name="_Toc69201386"/>
      <w:bookmarkStart w:id="83" w:name="_Toc182462579"/>
      <w:r w:rsidRPr="00931A22">
        <w:t>Definitions</w:t>
      </w:r>
      <w:bookmarkEnd w:id="81"/>
      <w:bookmarkEnd w:id="82"/>
      <w:bookmarkEnd w:id="83"/>
      <w:r w:rsidRPr="00931A22">
        <w:t xml:space="preserve"> </w:t>
      </w:r>
    </w:p>
    <w:p w14:paraId="10A51DC2" w14:textId="77777777" w:rsidR="00931A22" w:rsidRPr="00C10749" w:rsidRDefault="00103DB9" w:rsidP="00931A22">
      <w:pPr>
        <w:rPr>
          <w:bCs/>
          <w:iCs/>
        </w:rPr>
      </w:pPr>
      <w:r w:rsidRPr="00C10749">
        <w:rPr>
          <w:bCs/>
          <w:iCs/>
        </w:rPr>
        <w:t>The following definitions apply for the purpose of this guide:</w:t>
      </w:r>
    </w:p>
    <w:p w14:paraId="29736522" w14:textId="77777777" w:rsidR="00931A22" w:rsidRPr="00931A22" w:rsidRDefault="00103DB9" w:rsidP="00931A22">
      <w:pPr>
        <w:rPr>
          <w:bCs/>
          <w:iCs/>
        </w:rPr>
      </w:pPr>
      <w:r w:rsidRPr="00931A22">
        <w:rPr>
          <w:b/>
          <w:iCs/>
        </w:rPr>
        <w:t xml:space="preserve">Agency (or agencies) </w:t>
      </w:r>
      <w:r w:rsidRPr="00931A22">
        <w:rPr>
          <w:bCs/>
          <w:iCs/>
        </w:rPr>
        <w:t>refers to</w:t>
      </w:r>
      <w:r w:rsidRPr="00931A22">
        <w:rPr>
          <w:iCs/>
        </w:rPr>
        <w:t xml:space="preserve"> a budget sector agency, government-owned corporation, statutory body or special purpose vehicle as defined</w:t>
      </w:r>
      <w:r w:rsidRPr="00931A22">
        <w:rPr>
          <w:bCs/>
          <w:iCs/>
        </w:rPr>
        <w:t xml:space="preserve"> in the QPP.</w:t>
      </w:r>
    </w:p>
    <w:p w14:paraId="2CFE2BCB" w14:textId="77777777" w:rsidR="00986C20" w:rsidRPr="00C206DA" w:rsidRDefault="00103DB9" w:rsidP="00931A22">
      <w:pPr>
        <w:rPr>
          <w:bCs/>
          <w:iCs/>
        </w:rPr>
      </w:pPr>
      <w:r w:rsidRPr="00C206DA">
        <w:rPr>
          <w:b/>
          <w:iCs/>
        </w:rPr>
        <w:t>Category council chair</w:t>
      </w:r>
      <w:r w:rsidRPr="00C206DA">
        <w:rPr>
          <w:bCs/>
          <w:iCs/>
        </w:rPr>
        <w:t xml:space="preserve"> is the respective chairperson of each of the six agency-led category councils</w:t>
      </w:r>
      <w:r w:rsidR="00ED602B" w:rsidRPr="00C206DA">
        <w:rPr>
          <w:bCs/>
          <w:iCs/>
        </w:rPr>
        <w:t>.</w:t>
      </w:r>
      <w:r w:rsidR="00FC3EF1" w:rsidRPr="00C206DA">
        <w:rPr>
          <w:iCs/>
        </w:rPr>
        <w:t xml:space="preserve"> For further information, please refer to the </w:t>
      </w:r>
      <w:hyperlink r:id="rId35" w:history="1">
        <w:r w:rsidR="00FC3EF1" w:rsidRPr="00C206DA">
          <w:rPr>
            <w:rStyle w:val="Hyperlink"/>
            <w:iCs/>
          </w:rPr>
          <w:t>Procurement governance</w:t>
        </w:r>
      </w:hyperlink>
      <w:r w:rsidR="00FC3EF1" w:rsidRPr="00C206DA">
        <w:rPr>
          <w:iCs/>
        </w:rPr>
        <w:t xml:space="preserve"> webpage.</w:t>
      </w:r>
    </w:p>
    <w:p w14:paraId="2DE2E4A9" w14:textId="77777777" w:rsidR="00931A22" w:rsidRPr="00C206DA" w:rsidRDefault="00103DB9" w:rsidP="00931A22">
      <w:pPr>
        <w:rPr>
          <w:iCs/>
        </w:rPr>
      </w:pPr>
      <w:r w:rsidRPr="00C206DA">
        <w:rPr>
          <w:b/>
          <w:iCs/>
        </w:rPr>
        <w:t>Contractor</w:t>
      </w:r>
      <w:r w:rsidRPr="00C206DA">
        <w:rPr>
          <w:iCs/>
        </w:rPr>
        <w:t xml:space="preserve"> means the person bound to execute the work under the contract, and for the purpose of this guide includes suppliers</w:t>
      </w:r>
      <w:r w:rsidR="0025496A" w:rsidRPr="00C206DA">
        <w:rPr>
          <w:iCs/>
        </w:rPr>
        <w:t xml:space="preserve">, and any person/organisation who has been awarded a contract where they will act in a </w:t>
      </w:r>
      <w:proofErr w:type="gramStart"/>
      <w:r w:rsidR="0025496A" w:rsidRPr="00C206DA">
        <w:rPr>
          <w:iCs/>
        </w:rPr>
        <w:t>Principal</w:t>
      </w:r>
      <w:proofErr w:type="gramEnd"/>
      <w:r w:rsidR="0025496A" w:rsidRPr="00C206DA">
        <w:rPr>
          <w:iCs/>
        </w:rPr>
        <w:t xml:space="preserve"> or Managing Contractor role and/or have been directly engaged by the Project Owner/State of Queensland.</w:t>
      </w:r>
    </w:p>
    <w:p w14:paraId="746B0008" w14:textId="77777777" w:rsidR="0025496A" w:rsidRDefault="00103DB9" w:rsidP="0025496A">
      <w:pPr>
        <w:rPr>
          <w:b/>
          <w:bCs/>
          <w:iCs/>
        </w:rPr>
      </w:pPr>
      <w:r w:rsidRPr="00C206DA">
        <w:rPr>
          <w:b/>
          <w:bCs/>
          <w:iCs/>
        </w:rPr>
        <w:t xml:space="preserve">Goods and services </w:t>
      </w:r>
      <w:proofErr w:type="gramStart"/>
      <w:r w:rsidRPr="00C206DA">
        <w:rPr>
          <w:iCs/>
        </w:rPr>
        <w:t>has</w:t>
      </w:r>
      <w:proofErr w:type="gramEnd"/>
      <w:r w:rsidRPr="00C206DA">
        <w:rPr>
          <w:iCs/>
        </w:rPr>
        <w:t xml:space="preserve"> the definition included in the QPP to </w:t>
      </w:r>
      <w:r w:rsidR="00C649FA" w:rsidRPr="00C206DA">
        <w:rPr>
          <w:iCs/>
        </w:rPr>
        <w:t>‘</w:t>
      </w:r>
      <w:r w:rsidRPr="00C206DA">
        <w:rPr>
          <w:iCs/>
        </w:rPr>
        <w:t>include all property (except for real property) and all types of services including building and construction services, and infrastructure.</w:t>
      </w:r>
      <w:r w:rsidR="00C649FA" w:rsidRPr="00C206DA">
        <w:rPr>
          <w:iCs/>
        </w:rPr>
        <w:t>’</w:t>
      </w:r>
    </w:p>
    <w:p w14:paraId="47ED2E8A" w14:textId="77777777" w:rsidR="00931A22" w:rsidRPr="00931A22" w:rsidRDefault="00103DB9" w:rsidP="00931A22">
      <w:pPr>
        <w:rPr>
          <w:iCs/>
        </w:rPr>
      </w:pPr>
      <w:r w:rsidRPr="00931A22">
        <w:rPr>
          <w:b/>
          <w:bCs/>
          <w:iCs/>
        </w:rPr>
        <w:t>Industry Reference Groups</w:t>
      </w:r>
      <w:r w:rsidRPr="00931A22">
        <w:rPr>
          <w:iCs/>
        </w:rPr>
        <w:t xml:space="preserve"> provide an opportunity for industry, unions and advocates to share their expertise on procurement policy development, emergent trends, sector-wide procurement matters and opportunities for improvement of government procurement activities. For further information, please refer to the </w:t>
      </w:r>
      <w:hyperlink r:id="rId36" w:history="1">
        <w:r w:rsidRPr="00931A22">
          <w:rPr>
            <w:rStyle w:val="Hyperlink"/>
            <w:iCs/>
          </w:rPr>
          <w:t>Procurement governance</w:t>
        </w:r>
      </w:hyperlink>
      <w:r w:rsidRPr="00931A22">
        <w:rPr>
          <w:iCs/>
        </w:rPr>
        <w:t xml:space="preserve"> webpage.</w:t>
      </w:r>
    </w:p>
    <w:p w14:paraId="3F240DFE" w14:textId="77777777" w:rsidR="00562C4C" w:rsidRDefault="00562C4C" w:rsidP="00562C4C">
      <w:r w:rsidRPr="32006D69">
        <w:rPr>
          <w:b/>
          <w:bCs/>
        </w:rPr>
        <w:t>Local benefits</w:t>
      </w:r>
      <w:r>
        <w:t xml:space="preserve"> are economic impact benefits deriving from procurement investment supporting the local workforce and local suppliers.</w:t>
      </w:r>
    </w:p>
    <w:p w14:paraId="65398D75" w14:textId="77777777" w:rsidR="00562C4C" w:rsidRPr="00EC0774" w:rsidRDefault="00562C4C" w:rsidP="00562C4C">
      <w:pPr>
        <w:rPr>
          <w:iCs/>
        </w:rPr>
      </w:pPr>
      <w:r>
        <w:rPr>
          <w:b/>
          <w:bCs/>
          <w:iCs/>
        </w:rPr>
        <w:t>Local supplier</w:t>
      </w:r>
      <w:r>
        <w:rPr>
          <w:iCs/>
        </w:rPr>
        <w:t xml:space="preserve"> means a supplier of goods and/or services that maintains a workforce whose usual place of residency (i.e. where they normally live, sleep and eat) is located within a </w:t>
      </w:r>
      <w:proofErr w:type="gramStart"/>
      <w:r>
        <w:rPr>
          <w:iCs/>
        </w:rPr>
        <w:t>125 kilometre</w:t>
      </w:r>
      <w:proofErr w:type="gramEnd"/>
      <w:r>
        <w:rPr>
          <w:iCs/>
        </w:rPr>
        <w:t xml:space="preserve"> (km) radius of where the good and/or service is to be supplied. If a capable local supplier does not exist within the </w:t>
      </w:r>
      <w:proofErr w:type="gramStart"/>
      <w:r>
        <w:rPr>
          <w:iCs/>
        </w:rPr>
        <w:t>125 kilometre</w:t>
      </w:r>
      <w:proofErr w:type="gramEnd"/>
      <w:r>
        <w:rPr>
          <w:iCs/>
        </w:rPr>
        <w:t xml:space="preserve"> radius, the radius should be extended progressively to the local region, then Queensland, then outside of Queensland, until a suitable supplier is identified.</w:t>
      </w:r>
    </w:p>
    <w:p w14:paraId="6BF4A694" w14:textId="3AF59F1E" w:rsidR="00562C4C" w:rsidRDefault="00562C4C" w:rsidP="00562C4C">
      <w:r w:rsidRPr="32006D69">
        <w:rPr>
          <w:b/>
          <w:bCs/>
        </w:rPr>
        <w:t>Local workforce</w:t>
      </w:r>
      <w:r>
        <w:t xml:space="preserve"> means a workforce whose usual pace of residency is located within a 125 km radius of where the good and/or service is to be supplied.</w:t>
      </w:r>
    </w:p>
    <w:p w14:paraId="54EFDE45" w14:textId="77777777" w:rsidR="00931A22" w:rsidRPr="00931A22" w:rsidRDefault="00103DB9" w:rsidP="00931A22">
      <w:pPr>
        <w:rPr>
          <w:bCs/>
          <w:iCs/>
        </w:rPr>
      </w:pPr>
      <w:r w:rsidRPr="00931A22">
        <w:rPr>
          <w:b/>
          <w:iCs/>
        </w:rPr>
        <w:t xml:space="preserve">Major project, </w:t>
      </w:r>
      <w:r w:rsidRPr="00931A22">
        <w:rPr>
          <w:bCs/>
          <w:iCs/>
        </w:rPr>
        <w:t xml:space="preserve">for the purpose of this guide, means a project that meets the requirements outlined under the </w:t>
      </w:r>
      <w:r w:rsidR="000C3D2E">
        <w:rPr>
          <w:bCs/>
          <w:iCs/>
        </w:rPr>
        <w:t>‘</w:t>
      </w:r>
      <w:r w:rsidRPr="00931A22">
        <w:rPr>
          <w:bCs/>
          <w:iCs/>
        </w:rPr>
        <w:t>When is a project subject to the best practice principles?</w:t>
      </w:r>
      <w:r w:rsidR="000C3D2E">
        <w:rPr>
          <w:bCs/>
          <w:iCs/>
        </w:rPr>
        <w:t>’</w:t>
      </w:r>
      <w:r w:rsidRPr="00931A22">
        <w:rPr>
          <w:bCs/>
          <w:iCs/>
        </w:rPr>
        <w:t xml:space="preserve"> section of this guide, and is therefore subject to the best practice principles. Referenced as ‘best practice principles project’ in this guide.</w:t>
      </w:r>
    </w:p>
    <w:p w14:paraId="112ED2B6" w14:textId="77777777" w:rsidR="00931A22" w:rsidRPr="00931A22" w:rsidRDefault="00103DB9" w:rsidP="00931A22">
      <w:pPr>
        <w:rPr>
          <w:bCs/>
          <w:iCs/>
        </w:rPr>
      </w:pPr>
      <w:r w:rsidRPr="00931A22">
        <w:rPr>
          <w:b/>
          <w:iCs/>
        </w:rPr>
        <w:t xml:space="preserve">Principal contractor </w:t>
      </w:r>
      <w:r w:rsidRPr="00931A22">
        <w:rPr>
          <w:bCs/>
          <w:iCs/>
        </w:rPr>
        <w:t xml:space="preserve">has the meaning as defined in section 293 of the </w:t>
      </w:r>
      <w:hyperlink r:id="rId37" w:history="1">
        <w:r w:rsidRPr="00931A22">
          <w:rPr>
            <w:rStyle w:val="Hyperlink"/>
            <w:i/>
            <w:iCs/>
          </w:rPr>
          <w:t>Work Health and Safety Regulation 2011</w:t>
        </w:r>
      </w:hyperlink>
      <w:r w:rsidRPr="00931A22">
        <w:rPr>
          <w:bCs/>
          <w:iCs/>
        </w:rPr>
        <w:t>.</w:t>
      </w:r>
    </w:p>
    <w:p w14:paraId="53B7D68A" w14:textId="77777777" w:rsidR="00562C4C" w:rsidRDefault="00562C4C" w:rsidP="00562C4C">
      <w:pPr>
        <w:rPr>
          <w:bCs/>
          <w:iCs/>
        </w:rPr>
      </w:pPr>
      <w:r>
        <w:rPr>
          <w:b/>
          <w:iCs/>
        </w:rPr>
        <w:t>Procurement</w:t>
      </w:r>
      <w:r>
        <w:rPr>
          <w:bCs/>
          <w:iCs/>
        </w:rPr>
        <w:t xml:space="preserve"> encompasses the whole process of obtaining goods and/or services. This includes identification of needs; planning; design; standards determination; specification writing; selection of suppliers; financing; contract management; disposals; other related functions.</w:t>
      </w:r>
    </w:p>
    <w:p w14:paraId="4C565B32" w14:textId="77777777" w:rsidR="00931A22" w:rsidRPr="00931A22" w:rsidRDefault="00103DB9" w:rsidP="00931A22">
      <w:pPr>
        <w:rPr>
          <w:bCs/>
          <w:iCs/>
        </w:rPr>
      </w:pPr>
      <w:r w:rsidRPr="00931A22">
        <w:rPr>
          <w:b/>
          <w:iCs/>
        </w:rPr>
        <w:t xml:space="preserve">Project </w:t>
      </w:r>
      <w:r w:rsidRPr="00931A22">
        <w:rPr>
          <w:bCs/>
          <w:iCs/>
        </w:rPr>
        <w:t>means a temporary endeavour undertaken to create a unique product, service or result.</w:t>
      </w:r>
    </w:p>
    <w:p w14:paraId="27F56728" w14:textId="77777777" w:rsidR="00931A22" w:rsidRPr="00C206DA" w:rsidRDefault="00103DB9" w:rsidP="00931A22">
      <w:pPr>
        <w:rPr>
          <w:b/>
          <w:iCs/>
        </w:rPr>
      </w:pPr>
      <w:r w:rsidRPr="00931A22">
        <w:rPr>
          <w:b/>
          <w:iCs/>
        </w:rPr>
        <w:t>Program</w:t>
      </w:r>
      <w:r w:rsidRPr="00931A22">
        <w:rPr>
          <w:bCs/>
          <w:iCs/>
        </w:rPr>
        <w:t xml:space="preserve"> means a group of related projects managed in a coordinated way to obtain benefits and control not available from managing them individually. Programs may include elements of related work outside of </w:t>
      </w:r>
      <w:r w:rsidRPr="00C206DA">
        <w:rPr>
          <w:bCs/>
          <w:iCs/>
        </w:rPr>
        <w:t>the scope of the discrete projects in the program.</w:t>
      </w:r>
    </w:p>
    <w:p w14:paraId="0C8322C8" w14:textId="77777777" w:rsidR="00814E15" w:rsidRPr="00C206DA" w:rsidRDefault="00103DB9" w:rsidP="00814E15">
      <w:r w:rsidRPr="00C206DA">
        <w:rPr>
          <w:b/>
          <w:bCs/>
        </w:rPr>
        <w:lastRenderedPageBreak/>
        <w:t>Project value</w:t>
      </w:r>
      <w:r w:rsidRPr="00C206DA">
        <w:t xml:space="preserve"> means:</w:t>
      </w:r>
    </w:p>
    <w:p w14:paraId="1DD9FD71" w14:textId="77777777" w:rsidR="00814E15" w:rsidRPr="00C206DA" w:rsidRDefault="00103DB9" w:rsidP="00814E15">
      <w:pPr>
        <w:pStyle w:val="ListParagraph"/>
        <w:numPr>
          <w:ilvl w:val="0"/>
          <w:numId w:val="11"/>
        </w:numPr>
      </w:pPr>
      <w:r w:rsidRPr="00C206DA">
        <w:t xml:space="preserve">estimated capital cost of $100 million or more, or </w:t>
      </w:r>
    </w:p>
    <w:p w14:paraId="4EDCA706" w14:textId="77777777" w:rsidR="00814E15" w:rsidRPr="00C206DA" w:rsidRDefault="00103DB9" w:rsidP="00814E15">
      <w:pPr>
        <w:pStyle w:val="ListParagraph"/>
        <w:numPr>
          <w:ilvl w:val="0"/>
          <w:numId w:val="11"/>
        </w:numPr>
      </w:pPr>
      <w:r w:rsidRPr="00C206DA">
        <w:t xml:space="preserve">the net present value of financial commitments </w:t>
      </w:r>
      <w:proofErr w:type="gramStart"/>
      <w:r w:rsidRPr="00C206DA">
        <w:t>entered into</w:t>
      </w:r>
      <w:proofErr w:type="gramEnd"/>
      <w:r w:rsidRPr="00C206DA">
        <w:t xml:space="preserve"> by the State of Queensland for goods and services (as defined in the QPP) in relation to the project where this is estimated to be $100 million or more.</w:t>
      </w:r>
    </w:p>
    <w:p w14:paraId="02007C42" w14:textId="77777777" w:rsidR="00931A22" w:rsidRPr="00C206DA" w:rsidRDefault="00103DB9" w:rsidP="00931A22">
      <w:pPr>
        <w:rPr>
          <w:b/>
          <w:iCs/>
        </w:rPr>
      </w:pPr>
      <w:r w:rsidRPr="00C206DA">
        <w:rPr>
          <w:b/>
          <w:iCs/>
        </w:rPr>
        <w:t xml:space="preserve">Responsible Minister </w:t>
      </w:r>
      <w:r w:rsidRPr="00C206DA">
        <w:rPr>
          <w:iCs/>
        </w:rPr>
        <w:t xml:space="preserve">means the Minister(s), including any </w:t>
      </w:r>
      <w:proofErr w:type="gramStart"/>
      <w:r w:rsidRPr="00C206DA">
        <w:rPr>
          <w:iCs/>
        </w:rPr>
        <w:t>shareholding Minister</w:t>
      </w:r>
      <w:proofErr w:type="gramEnd"/>
      <w:r w:rsidRPr="00C206DA">
        <w:rPr>
          <w:iCs/>
        </w:rPr>
        <w:t>(s), who are accountable for the project.</w:t>
      </w:r>
    </w:p>
    <w:p w14:paraId="67AB92BE" w14:textId="77777777" w:rsidR="00931A22" w:rsidRPr="00931A22" w:rsidRDefault="00103DB9" w:rsidP="00931A22">
      <w:pPr>
        <w:rPr>
          <w:iCs/>
        </w:rPr>
      </w:pPr>
      <w:r w:rsidRPr="00C206DA">
        <w:rPr>
          <w:b/>
          <w:iCs/>
        </w:rPr>
        <w:t>Subcontractor</w:t>
      </w:r>
      <w:r w:rsidRPr="00C206DA">
        <w:rPr>
          <w:iCs/>
        </w:rPr>
        <w:t xml:space="preserve"> means a person</w:t>
      </w:r>
      <w:r w:rsidR="00C649FA" w:rsidRPr="00C206DA">
        <w:rPr>
          <w:iCs/>
        </w:rPr>
        <w:t>/organisation</w:t>
      </w:r>
      <w:r w:rsidRPr="00C206DA">
        <w:rPr>
          <w:iCs/>
        </w:rPr>
        <w:t xml:space="preserve"> engaged by the </w:t>
      </w:r>
      <w:r w:rsidRPr="00C206DA">
        <w:rPr>
          <w:b/>
          <w:iCs/>
        </w:rPr>
        <w:t>contractor</w:t>
      </w:r>
      <w:r w:rsidRPr="00C206DA">
        <w:rPr>
          <w:iCs/>
        </w:rPr>
        <w:t xml:space="preserve"> to perform any part of the work, or supply goods and services within the scope of the project.</w:t>
      </w:r>
      <w:r w:rsidRPr="00931A22">
        <w:rPr>
          <w:iCs/>
        </w:rPr>
        <w:t xml:space="preserve"> </w:t>
      </w:r>
    </w:p>
    <w:p w14:paraId="3C2967A8" w14:textId="77777777" w:rsidR="00931A22" w:rsidRDefault="00103DB9" w:rsidP="00931A22">
      <w:pPr>
        <w:rPr>
          <w:iCs/>
        </w:rPr>
      </w:pPr>
      <w:r w:rsidRPr="00931A22">
        <w:rPr>
          <w:b/>
          <w:iCs/>
        </w:rPr>
        <w:t xml:space="preserve">Weightings </w:t>
      </w:r>
      <w:r w:rsidRPr="00931A22">
        <w:rPr>
          <w:iCs/>
        </w:rPr>
        <w:t>includes sub-weightings as appropriate.</w:t>
      </w:r>
    </w:p>
    <w:p w14:paraId="1B7A6057" w14:textId="77777777" w:rsidR="00931A22" w:rsidRDefault="00103DB9">
      <w:pPr>
        <w:spacing w:line="259" w:lineRule="auto"/>
        <w:rPr>
          <w:iCs/>
        </w:rPr>
      </w:pPr>
      <w:r>
        <w:rPr>
          <w:iCs/>
        </w:rPr>
        <w:br w:type="page"/>
      </w:r>
    </w:p>
    <w:p w14:paraId="40CEA7F2" w14:textId="77777777" w:rsidR="00931A22" w:rsidRPr="00931A22" w:rsidRDefault="00103DB9" w:rsidP="00931A22">
      <w:pPr>
        <w:pStyle w:val="Heading1"/>
      </w:pPr>
      <w:bookmarkStart w:id="84" w:name="_Toc69201387"/>
      <w:bookmarkStart w:id="85" w:name="_Toc182462580"/>
      <w:r w:rsidRPr="00931A22">
        <w:lastRenderedPageBreak/>
        <w:t>Appendix 1 – Example subject areas related to each best practice principle</w:t>
      </w:r>
      <w:bookmarkEnd w:id="84"/>
      <w:bookmarkEnd w:id="85"/>
    </w:p>
    <w:p w14:paraId="530DCD8C" w14:textId="77777777" w:rsidR="00931A22" w:rsidRPr="00931A22" w:rsidRDefault="00103DB9" w:rsidP="00931A22">
      <w:pPr>
        <w:rPr>
          <w:iCs/>
        </w:rPr>
      </w:pPr>
      <w:r w:rsidRPr="00931A22">
        <w:rPr>
          <w:b/>
          <w:iCs/>
        </w:rPr>
        <w:t xml:space="preserve">Table 5: </w:t>
      </w:r>
      <w:r w:rsidRPr="00931A22">
        <w:rPr>
          <w:iCs/>
        </w:rPr>
        <w:t>Example subject areas in relation to each best practice principle</w:t>
      </w:r>
      <w:r>
        <w:rPr>
          <w:iCs/>
          <w:vertAlign w:val="superscript"/>
        </w:rPr>
        <w:footnoteReference w:id="9"/>
      </w:r>
    </w:p>
    <w:tbl>
      <w:tblPr>
        <w:tblW w:w="5000"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blBorders>
        <w:tblLook w:val="04A0" w:firstRow="1" w:lastRow="0" w:firstColumn="1" w:lastColumn="0" w:noHBand="0" w:noVBand="1"/>
      </w:tblPr>
      <w:tblGrid>
        <w:gridCol w:w="2783"/>
        <w:gridCol w:w="6563"/>
      </w:tblGrid>
      <w:tr w:rsidR="00044A45" w14:paraId="106FFC5A" w14:textId="77777777" w:rsidTr="00931A22">
        <w:trPr>
          <w:tblHeader/>
        </w:trPr>
        <w:tc>
          <w:tcPr>
            <w:tcW w:w="14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53935D82" w14:textId="77777777" w:rsidR="00931A22" w:rsidRPr="00931A22" w:rsidRDefault="00103DB9" w:rsidP="00931A22">
            <w:pPr>
              <w:rPr>
                <w:b/>
                <w:iCs/>
                <w:color w:val="FFFFFF" w:themeColor="background1"/>
              </w:rPr>
            </w:pPr>
            <w:r w:rsidRPr="00931A22">
              <w:rPr>
                <w:b/>
                <w:iCs/>
                <w:color w:val="FFFFFF" w:themeColor="background1"/>
              </w:rPr>
              <w:t>Best practice principle</w:t>
            </w:r>
          </w:p>
        </w:tc>
        <w:tc>
          <w:tcPr>
            <w:tcW w:w="35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57772269" w14:textId="77777777" w:rsidR="00931A22" w:rsidRPr="00931A22" w:rsidRDefault="00103DB9" w:rsidP="00931A22">
            <w:pPr>
              <w:rPr>
                <w:b/>
                <w:iCs/>
                <w:color w:val="FFFFFF" w:themeColor="background1"/>
              </w:rPr>
            </w:pPr>
            <w:r w:rsidRPr="00931A22">
              <w:rPr>
                <w:b/>
                <w:iCs/>
                <w:color w:val="FFFFFF" w:themeColor="background1"/>
              </w:rPr>
              <w:t>Example subject areas related to best practice</w:t>
            </w:r>
          </w:p>
        </w:tc>
      </w:tr>
      <w:tr w:rsidR="00044A45" w14:paraId="0F6DD77F" w14:textId="77777777" w:rsidTr="00931A22">
        <w:trPr>
          <w:trHeight w:val="2309"/>
        </w:trPr>
        <w:tc>
          <w:tcPr>
            <w:tcW w:w="14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3330B2E2" w14:textId="77777777" w:rsidR="00931A22" w:rsidRPr="00931A22" w:rsidRDefault="00103DB9" w:rsidP="00931A22">
            <w:pPr>
              <w:rPr>
                <w:b/>
                <w:iCs/>
              </w:rPr>
            </w:pPr>
            <w:r w:rsidRPr="00931A22">
              <w:rPr>
                <w:b/>
                <w:iCs/>
              </w:rPr>
              <w:t>1. Best practice workplace health and safety (WHS) systems and standards</w:t>
            </w:r>
          </w:p>
          <w:p w14:paraId="6E4B45B1" w14:textId="77777777" w:rsidR="00931A22" w:rsidRPr="00931A22" w:rsidRDefault="00931A22" w:rsidP="00931A22">
            <w:pPr>
              <w:rPr>
                <w:iCs/>
              </w:rPr>
            </w:pPr>
          </w:p>
          <w:p w14:paraId="58BD7CFA" w14:textId="77777777" w:rsidR="00931A22" w:rsidRPr="00931A22" w:rsidRDefault="00931A22" w:rsidP="00931A22">
            <w:pPr>
              <w:rPr>
                <w:b/>
                <w:iCs/>
                <w:u w:val="single"/>
              </w:rPr>
            </w:pPr>
          </w:p>
        </w:tc>
        <w:tc>
          <w:tcPr>
            <w:tcW w:w="3511" w:type="pct"/>
            <w:tcBorders>
              <w:top w:val="single" w:sz="4" w:space="0" w:color="FFFFFF" w:themeColor="background1"/>
              <w:left w:val="single" w:sz="4" w:space="0" w:color="FFFFFF" w:themeColor="background1"/>
              <w:bottom w:val="single" w:sz="4" w:space="0" w:color="BFBFBF" w:themeColor="background1" w:themeShade="BF"/>
              <w:right w:val="single" w:sz="4" w:space="0" w:color="BFBFBF" w:themeColor="background1" w:themeShade="BF"/>
            </w:tcBorders>
            <w:shd w:val="clear" w:color="auto" w:fill="F2F2F2" w:themeFill="background1" w:themeFillShade="F2"/>
          </w:tcPr>
          <w:p w14:paraId="78706F63" w14:textId="77777777" w:rsidR="00931A22" w:rsidRPr="00931A22" w:rsidRDefault="00103DB9" w:rsidP="00931A22">
            <w:pPr>
              <w:rPr>
                <w:iCs/>
              </w:rPr>
            </w:pPr>
            <w:r w:rsidRPr="00931A22">
              <w:rPr>
                <w:iCs/>
              </w:rPr>
              <w:t>A demonstrated history of and commitment to compliance with work health and safety laws:</w:t>
            </w:r>
          </w:p>
          <w:p w14:paraId="0C6E30BD" w14:textId="77777777" w:rsidR="00931A22" w:rsidRPr="00931A22" w:rsidRDefault="00103DB9" w:rsidP="00931A22">
            <w:pPr>
              <w:pStyle w:val="ListParagraph"/>
              <w:numPr>
                <w:ilvl w:val="0"/>
                <w:numId w:val="24"/>
              </w:numPr>
              <w:rPr>
                <w:iCs/>
              </w:rPr>
            </w:pPr>
            <w:r w:rsidRPr="00931A22">
              <w:rPr>
                <w:iCs/>
              </w:rPr>
              <w:t xml:space="preserve">details about matters such as adverse findings, penalty infringement notices, warnings, infringements penalties, pursuant to the </w:t>
            </w:r>
            <w:r w:rsidRPr="00931A22">
              <w:rPr>
                <w:i/>
                <w:iCs/>
              </w:rPr>
              <w:t xml:space="preserve">Work Health and Safety Act 2011 </w:t>
            </w:r>
            <w:r w:rsidRPr="00931A22">
              <w:rPr>
                <w:iCs/>
              </w:rPr>
              <w:t>and</w:t>
            </w:r>
            <w:r w:rsidRPr="00931A22">
              <w:rPr>
                <w:i/>
                <w:iCs/>
              </w:rPr>
              <w:t xml:space="preserve"> Electrical Safety Act 2002</w:t>
            </w:r>
            <w:r w:rsidRPr="00931A22">
              <w:rPr>
                <w:iCs/>
              </w:rPr>
              <w:t>, over the past 10 years</w:t>
            </w:r>
          </w:p>
          <w:p w14:paraId="7A507B3A" w14:textId="77777777" w:rsidR="00931A22" w:rsidRPr="00931A22" w:rsidRDefault="00103DB9" w:rsidP="00931A22">
            <w:pPr>
              <w:pStyle w:val="ListParagraph"/>
              <w:numPr>
                <w:ilvl w:val="0"/>
                <w:numId w:val="24"/>
              </w:numPr>
              <w:rPr>
                <w:iCs/>
              </w:rPr>
            </w:pPr>
            <w:r w:rsidRPr="00931A22">
              <w:rPr>
                <w:iCs/>
              </w:rPr>
              <w:t>history and registration of Workers’ Compensation and policy number</w:t>
            </w:r>
          </w:p>
          <w:p w14:paraId="7C946597" w14:textId="77777777" w:rsidR="00931A22" w:rsidRPr="00931A22" w:rsidRDefault="00103DB9" w:rsidP="00931A22">
            <w:pPr>
              <w:pStyle w:val="ListParagraph"/>
              <w:numPr>
                <w:ilvl w:val="0"/>
                <w:numId w:val="24"/>
              </w:numPr>
              <w:rPr>
                <w:iCs/>
              </w:rPr>
            </w:pPr>
            <w:r w:rsidRPr="00931A22">
              <w:rPr>
                <w:iCs/>
              </w:rPr>
              <w:t>processes and procedures governing workforce consultation on WHS matters</w:t>
            </w:r>
          </w:p>
          <w:p w14:paraId="640A4611" w14:textId="77777777" w:rsidR="00931A22" w:rsidRPr="00931A22" w:rsidRDefault="00103DB9" w:rsidP="00931A22">
            <w:pPr>
              <w:pStyle w:val="ListParagraph"/>
              <w:numPr>
                <w:ilvl w:val="0"/>
                <w:numId w:val="24"/>
              </w:numPr>
              <w:rPr>
                <w:iCs/>
              </w:rPr>
            </w:pPr>
            <w:r w:rsidRPr="00931A22">
              <w:rPr>
                <w:iCs/>
              </w:rPr>
              <w:t>the level of knowledge and experience in the use of digital engineering to reduce work, health and safety risks (where relevant for the project)</w:t>
            </w:r>
          </w:p>
          <w:p w14:paraId="792EEFE3" w14:textId="77777777" w:rsidR="00931A22" w:rsidRPr="00931A22" w:rsidRDefault="00103DB9" w:rsidP="00931A22">
            <w:pPr>
              <w:pStyle w:val="ListParagraph"/>
              <w:numPr>
                <w:ilvl w:val="0"/>
                <w:numId w:val="24"/>
              </w:numPr>
              <w:rPr>
                <w:iCs/>
              </w:rPr>
            </w:pPr>
            <w:r w:rsidRPr="00931A22">
              <w:rPr>
                <w:iCs/>
              </w:rPr>
              <w:t>work health and safety management plans, specifically focused on managing the risk rather than the consequences of the risk</w:t>
            </w:r>
          </w:p>
          <w:p w14:paraId="18B5BF05" w14:textId="77777777" w:rsidR="00931A22" w:rsidRPr="00931A22" w:rsidRDefault="00103DB9" w:rsidP="00931A22">
            <w:pPr>
              <w:pStyle w:val="ListParagraph"/>
              <w:numPr>
                <w:ilvl w:val="0"/>
                <w:numId w:val="24"/>
              </w:numPr>
              <w:rPr>
                <w:iCs/>
              </w:rPr>
            </w:pPr>
            <w:r w:rsidRPr="00931A22">
              <w:rPr>
                <w:iCs/>
              </w:rPr>
              <w:t xml:space="preserve">how the organisation will manage site establishment </w:t>
            </w:r>
            <w:proofErr w:type="spellStart"/>
            <w:r w:rsidRPr="00931A22">
              <w:rPr>
                <w:iCs/>
              </w:rPr>
              <w:t>e.g</w:t>
            </w:r>
            <w:proofErr w:type="spellEnd"/>
            <w:r w:rsidRPr="00931A22">
              <w:rPr>
                <w:iCs/>
              </w:rPr>
              <w:t xml:space="preserve"> preparatory works including security, site clearance (including comprehensive WH&amp;S site induction for anyone who performs work on the site) amenities; access and egress and on-site labour movement.</w:t>
            </w:r>
          </w:p>
        </w:tc>
      </w:tr>
      <w:tr w:rsidR="00044A45" w14:paraId="69CF2E5B" w14:textId="77777777" w:rsidTr="00931A22">
        <w:trPr>
          <w:trHeight w:val="546"/>
        </w:trPr>
        <w:tc>
          <w:tcPr>
            <w:tcW w:w="14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03F0CADA" w14:textId="77777777" w:rsidR="00931A22" w:rsidRPr="00931A22" w:rsidRDefault="00103DB9" w:rsidP="00931A22">
            <w:pPr>
              <w:rPr>
                <w:b/>
                <w:iCs/>
              </w:rPr>
            </w:pPr>
            <w:r w:rsidRPr="00931A22">
              <w:rPr>
                <w:b/>
                <w:iCs/>
              </w:rPr>
              <w:t>2. Best practice commitment to apprentices and trainees</w:t>
            </w:r>
          </w:p>
        </w:tc>
        <w:tc>
          <w:tcPr>
            <w:tcW w:w="3511" w:type="pct"/>
            <w:tcBorders>
              <w:top w:val="single" w:sz="4" w:space="0" w:color="BFBFBF" w:themeColor="background1" w:themeShade="BF"/>
              <w:left w:val="single" w:sz="4" w:space="0" w:color="FFFFFF" w:themeColor="background1"/>
              <w:bottom w:val="single" w:sz="4" w:space="0" w:color="BFBFBF" w:themeColor="background1" w:themeShade="BF"/>
              <w:right w:val="single" w:sz="4" w:space="0" w:color="BFBFBF" w:themeColor="background1" w:themeShade="BF"/>
            </w:tcBorders>
            <w:shd w:val="clear" w:color="auto" w:fill="F2F2F2" w:themeFill="background1" w:themeFillShade="F2"/>
          </w:tcPr>
          <w:p w14:paraId="47A2CB03" w14:textId="77777777" w:rsidR="00931A22" w:rsidRPr="00931A22" w:rsidRDefault="00103DB9" w:rsidP="00931A22">
            <w:pPr>
              <w:rPr>
                <w:iCs/>
              </w:rPr>
            </w:pPr>
            <w:r w:rsidRPr="00931A22">
              <w:rPr>
                <w:iCs/>
              </w:rPr>
              <w:t>A demonstrated history of and commitment to training, including the engagement of apprentices and trainees:</w:t>
            </w:r>
          </w:p>
          <w:p w14:paraId="4B53064F" w14:textId="77777777" w:rsidR="00931A22" w:rsidRPr="00931A22" w:rsidRDefault="00103DB9" w:rsidP="00931A22">
            <w:pPr>
              <w:pStyle w:val="ListParagraph"/>
              <w:numPr>
                <w:ilvl w:val="0"/>
                <w:numId w:val="24"/>
              </w:numPr>
              <w:rPr>
                <w:iCs/>
              </w:rPr>
            </w:pPr>
            <w:r w:rsidRPr="00931A22">
              <w:rPr>
                <w:iCs/>
              </w:rPr>
              <w:t>compliance with the Queensland Government Building and Construction Training Policy</w:t>
            </w:r>
          </w:p>
          <w:p w14:paraId="4B25E4D5" w14:textId="77777777" w:rsidR="00931A22" w:rsidRPr="00931A22" w:rsidRDefault="00103DB9" w:rsidP="00931A22">
            <w:pPr>
              <w:pStyle w:val="ListParagraph"/>
              <w:numPr>
                <w:ilvl w:val="0"/>
                <w:numId w:val="24"/>
              </w:numPr>
              <w:rPr>
                <w:iCs/>
              </w:rPr>
            </w:pPr>
            <w:r w:rsidRPr="00931A22">
              <w:rPr>
                <w:iCs/>
              </w:rPr>
              <w:t>the number of apprentices and trainees to be employed as part of the project</w:t>
            </w:r>
          </w:p>
          <w:p w14:paraId="07C89AF2" w14:textId="77777777" w:rsidR="00931A22" w:rsidRPr="00931A22" w:rsidRDefault="00103DB9" w:rsidP="00931A22">
            <w:pPr>
              <w:pStyle w:val="ListParagraph"/>
              <w:numPr>
                <w:ilvl w:val="0"/>
                <w:numId w:val="24"/>
              </w:numPr>
              <w:rPr>
                <w:iCs/>
              </w:rPr>
            </w:pPr>
            <w:r w:rsidRPr="00931A22">
              <w:rPr>
                <w:iCs/>
              </w:rPr>
              <w:t>specific training and development plans that will be provided in relation to the work</w:t>
            </w:r>
          </w:p>
          <w:p w14:paraId="35ECE80B" w14:textId="77777777" w:rsidR="00931A22" w:rsidRPr="00931A22" w:rsidRDefault="00103DB9" w:rsidP="00931A22">
            <w:pPr>
              <w:pStyle w:val="ListParagraph"/>
              <w:numPr>
                <w:ilvl w:val="0"/>
                <w:numId w:val="24"/>
              </w:numPr>
              <w:rPr>
                <w:iCs/>
              </w:rPr>
            </w:pPr>
            <w:r w:rsidRPr="00931A22">
              <w:rPr>
                <w:iCs/>
              </w:rPr>
              <w:t xml:space="preserve">supporting the delivery of nationally endorsed building and construction competencies </w:t>
            </w:r>
          </w:p>
          <w:p w14:paraId="5C8EB554" w14:textId="77777777" w:rsidR="00931A22" w:rsidRPr="00931A22" w:rsidRDefault="00103DB9" w:rsidP="00931A22">
            <w:pPr>
              <w:pStyle w:val="ListParagraph"/>
              <w:numPr>
                <w:ilvl w:val="0"/>
                <w:numId w:val="24"/>
              </w:numPr>
              <w:rPr>
                <w:iCs/>
              </w:rPr>
            </w:pPr>
            <w:r w:rsidRPr="00931A22">
              <w:rPr>
                <w:iCs/>
              </w:rPr>
              <w:t>other practices or programs used to improve opportunities for apprentices and trainees, including training and advancement.</w:t>
            </w:r>
          </w:p>
        </w:tc>
      </w:tr>
    </w:tbl>
    <w:p w14:paraId="150B83D4" w14:textId="77777777" w:rsidR="00931A22" w:rsidRPr="00931A22" w:rsidRDefault="00931A22" w:rsidP="00931A22">
      <w:pPr>
        <w:rPr>
          <w:iCs/>
        </w:rPr>
      </w:pPr>
    </w:p>
    <w:p w14:paraId="75CD0AEB" w14:textId="77777777" w:rsidR="00BA376C" w:rsidRDefault="00103DB9">
      <w:pPr>
        <w:spacing w:line="259" w:lineRule="auto"/>
        <w:rPr>
          <w:iCs/>
        </w:rPr>
      </w:pPr>
      <w:r>
        <w:rPr>
          <w:iCs/>
        </w:rPr>
        <w:br w:type="page"/>
      </w:r>
    </w:p>
    <w:p w14:paraId="5628CE55" w14:textId="77777777" w:rsidR="00BA376C" w:rsidRPr="00BA376C" w:rsidRDefault="00103DB9" w:rsidP="00BA376C">
      <w:pPr>
        <w:pStyle w:val="Heading1"/>
      </w:pPr>
      <w:bookmarkStart w:id="86" w:name="_Toc69201388"/>
      <w:bookmarkStart w:id="87" w:name="_Toc182462581"/>
      <w:r w:rsidRPr="00BA376C">
        <w:lastRenderedPageBreak/>
        <w:t>Appendix 2 – Example indicators of best practice</w:t>
      </w:r>
      <w:bookmarkEnd w:id="86"/>
      <w:bookmarkEnd w:id="87"/>
    </w:p>
    <w:p w14:paraId="7680818C" w14:textId="77777777" w:rsidR="00BA376C" w:rsidRPr="00BA376C" w:rsidRDefault="00103DB9" w:rsidP="00BA376C">
      <w:pPr>
        <w:rPr>
          <w:b/>
          <w:iCs/>
        </w:rPr>
      </w:pPr>
      <w:r w:rsidRPr="00BA376C">
        <w:rPr>
          <w:b/>
          <w:iCs/>
        </w:rPr>
        <w:t xml:space="preserve">Table 6: </w:t>
      </w:r>
      <w:r w:rsidRPr="00BA376C">
        <w:rPr>
          <w:iCs/>
        </w:rPr>
        <w:t>Example indicators in relation to each best practice principle</w:t>
      </w:r>
      <w:r>
        <w:rPr>
          <w:iCs/>
          <w:vertAlign w:val="superscript"/>
        </w:rPr>
        <w:footnoteReference w:id="10"/>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4A0" w:firstRow="1" w:lastRow="0" w:firstColumn="1" w:lastColumn="0" w:noHBand="0" w:noVBand="1"/>
      </w:tblPr>
      <w:tblGrid>
        <w:gridCol w:w="2783"/>
        <w:gridCol w:w="6563"/>
      </w:tblGrid>
      <w:tr w:rsidR="00044A45" w14:paraId="4C263390" w14:textId="77777777" w:rsidTr="00F77928">
        <w:trPr>
          <w:tblHeader/>
        </w:trPr>
        <w:tc>
          <w:tcPr>
            <w:tcW w:w="148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3AF6BC90" w14:textId="77777777" w:rsidR="00BA376C" w:rsidRPr="00BA376C" w:rsidRDefault="00103DB9" w:rsidP="00BA376C">
            <w:pPr>
              <w:rPr>
                <w:b/>
                <w:iCs/>
                <w:color w:val="FFFFFF" w:themeColor="background1"/>
              </w:rPr>
            </w:pPr>
            <w:r w:rsidRPr="00BA376C">
              <w:rPr>
                <w:b/>
                <w:iCs/>
                <w:color w:val="FFFFFF" w:themeColor="background1"/>
              </w:rPr>
              <w:t>Best practice principle</w:t>
            </w:r>
          </w:p>
        </w:tc>
        <w:tc>
          <w:tcPr>
            <w:tcW w:w="3511"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tcPr>
          <w:p w14:paraId="26ACBEF3" w14:textId="77777777" w:rsidR="00BA376C" w:rsidRPr="00BA376C" w:rsidRDefault="00103DB9" w:rsidP="00BA376C">
            <w:pPr>
              <w:rPr>
                <w:b/>
                <w:iCs/>
                <w:color w:val="FFFFFF" w:themeColor="background1"/>
              </w:rPr>
            </w:pPr>
            <w:r w:rsidRPr="00BA376C">
              <w:rPr>
                <w:b/>
                <w:iCs/>
                <w:color w:val="FFFFFF" w:themeColor="background1"/>
              </w:rPr>
              <w:t>Indicators of best practice</w:t>
            </w:r>
          </w:p>
        </w:tc>
      </w:tr>
      <w:tr w:rsidR="00044A45" w14:paraId="1FC0C51A" w14:textId="77777777" w:rsidTr="00F77928">
        <w:trPr>
          <w:trHeight w:val="2309"/>
        </w:trPr>
        <w:tc>
          <w:tcPr>
            <w:tcW w:w="1489" w:type="pct"/>
            <w:tcBorders>
              <w:top w:val="single" w:sz="4" w:space="0" w:color="FFFFFF" w:themeColor="background1"/>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BFBFBF" w:themeFill="background1" w:themeFillShade="BF"/>
          </w:tcPr>
          <w:p w14:paraId="7094F97F" w14:textId="77777777" w:rsidR="00BA376C" w:rsidRPr="00BA376C" w:rsidRDefault="00103DB9" w:rsidP="00BA376C">
            <w:pPr>
              <w:rPr>
                <w:b/>
                <w:iCs/>
              </w:rPr>
            </w:pPr>
            <w:r w:rsidRPr="00BA376C">
              <w:rPr>
                <w:b/>
                <w:iCs/>
              </w:rPr>
              <w:t>1. Best practice workplace health and safety (WHS) systems and standards</w:t>
            </w:r>
          </w:p>
          <w:p w14:paraId="1E346357" w14:textId="77777777" w:rsidR="00BA376C" w:rsidRPr="00BA376C" w:rsidRDefault="00BA376C" w:rsidP="00BA376C">
            <w:pPr>
              <w:rPr>
                <w:iCs/>
              </w:rPr>
            </w:pPr>
          </w:p>
          <w:p w14:paraId="5AD3D127" w14:textId="77777777" w:rsidR="00BA376C" w:rsidRPr="00BA376C" w:rsidRDefault="00BA376C" w:rsidP="00BA376C">
            <w:pPr>
              <w:rPr>
                <w:b/>
                <w:iCs/>
                <w:u w:val="single"/>
              </w:rPr>
            </w:pPr>
          </w:p>
        </w:tc>
        <w:tc>
          <w:tcPr>
            <w:tcW w:w="3511"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0B0BA920" w14:textId="77777777" w:rsidR="00BA376C" w:rsidRPr="00BA376C" w:rsidRDefault="00103DB9" w:rsidP="00BA376C">
            <w:pPr>
              <w:rPr>
                <w:iCs/>
              </w:rPr>
            </w:pPr>
            <w:r w:rsidRPr="00BA376C">
              <w:rPr>
                <w:iCs/>
              </w:rPr>
              <w:t>Compliance with work health and safety laws such as:</w:t>
            </w:r>
          </w:p>
          <w:p w14:paraId="5963EFF0" w14:textId="77777777" w:rsidR="00BA376C" w:rsidRPr="00BA376C" w:rsidRDefault="00103DB9" w:rsidP="00BA376C">
            <w:pPr>
              <w:pStyle w:val="ListParagraph"/>
              <w:numPr>
                <w:ilvl w:val="0"/>
                <w:numId w:val="24"/>
              </w:numPr>
              <w:rPr>
                <w:iCs/>
              </w:rPr>
            </w:pPr>
            <w:r w:rsidRPr="00BA376C">
              <w:rPr>
                <w:iCs/>
              </w:rPr>
              <w:t xml:space="preserve">if a company recording matters such as adverse findings, penalty infringement notices, warnings, infringements or penalties, pursuant to the </w:t>
            </w:r>
            <w:r w:rsidRPr="00BA376C">
              <w:rPr>
                <w:i/>
                <w:iCs/>
              </w:rPr>
              <w:t>Work Health and Safety Act 2011</w:t>
            </w:r>
            <w:r w:rsidRPr="00BA376C">
              <w:rPr>
                <w:iCs/>
              </w:rPr>
              <w:t xml:space="preserve"> over the past 10 years, confirm matters have been resolved </w:t>
            </w:r>
          </w:p>
          <w:p w14:paraId="69F8B6AE" w14:textId="77777777" w:rsidR="00BA376C" w:rsidRPr="00BA376C" w:rsidRDefault="00103DB9" w:rsidP="00BA376C">
            <w:pPr>
              <w:pStyle w:val="ListParagraph"/>
              <w:numPr>
                <w:ilvl w:val="0"/>
                <w:numId w:val="24"/>
              </w:numPr>
              <w:rPr>
                <w:iCs/>
              </w:rPr>
            </w:pPr>
            <w:r w:rsidRPr="00BA376C">
              <w:rPr>
                <w:iCs/>
              </w:rPr>
              <w:t>confirmation of current accreditation through the Work Health and Safety Accreditation Scheme</w:t>
            </w:r>
          </w:p>
          <w:p w14:paraId="05853204" w14:textId="77777777" w:rsidR="00BA376C" w:rsidRPr="00C206DA" w:rsidRDefault="00103DB9" w:rsidP="00BA376C">
            <w:pPr>
              <w:pStyle w:val="ListParagraph"/>
              <w:numPr>
                <w:ilvl w:val="0"/>
                <w:numId w:val="24"/>
              </w:numPr>
              <w:rPr>
                <w:iCs/>
              </w:rPr>
            </w:pPr>
            <w:r w:rsidRPr="00C206DA">
              <w:rPr>
                <w:iCs/>
              </w:rPr>
              <w:t>a health and safety management plan that may include approach to managing health and safety, health and safety policies, details of site management, outline of how safety systems compl</w:t>
            </w:r>
            <w:r w:rsidR="00A021A7" w:rsidRPr="00C206DA">
              <w:rPr>
                <w:iCs/>
              </w:rPr>
              <w:t>y</w:t>
            </w:r>
            <w:r w:rsidRPr="00C206DA">
              <w:rPr>
                <w:iCs/>
              </w:rPr>
              <w:t xml:space="preserve"> with relevant WHS legislation</w:t>
            </w:r>
          </w:p>
          <w:p w14:paraId="61DC8025" w14:textId="77777777" w:rsidR="00BA376C" w:rsidRPr="00BA376C" w:rsidRDefault="00103DB9" w:rsidP="00BA376C">
            <w:pPr>
              <w:pStyle w:val="ListParagraph"/>
              <w:numPr>
                <w:ilvl w:val="0"/>
                <w:numId w:val="24"/>
              </w:numPr>
              <w:rPr>
                <w:iCs/>
              </w:rPr>
            </w:pPr>
            <w:r w:rsidRPr="00BA376C">
              <w:rPr>
                <w:iCs/>
              </w:rPr>
              <w:t>workers’ compensation insurance policy, policy type and policy number</w:t>
            </w:r>
          </w:p>
          <w:p w14:paraId="632CEA39" w14:textId="77777777" w:rsidR="00BA376C" w:rsidRPr="00BA376C" w:rsidRDefault="00103DB9" w:rsidP="00BA376C">
            <w:pPr>
              <w:numPr>
                <w:ilvl w:val="0"/>
                <w:numId w:val="32"/>
              </w:numPr>
              <w:rPr>
                <w:iCs/>
              </w:rPr>
            </w:pPr>
            <w:r w:rsidRPr="00BA376C">
              <w:rPr>
                <w:iCs/>
              </w:rPr>
              <w:t xml:space="preserve">compliance with </w:t>
            </w:r>
            <w:r w:rsidRPr="00BA376C">
              <w:rPr>
                <w:i/>
                <w:iCs/>
              </w:rPr>
              <w:t>Electrical Safety Act 2002</w:t>
            </w:r>
            <w:r w:rsidRPr="00BA376C">
              <w:rPr>
                <w:iCs/>
              </w:rPr>
              <w:t xml:space="preserve"> (Qld).</w:t>
            </w:r>
          </w:p>
          <w:p w14:paraId="4D22844B" w14:textId="77777777" w:rsidR="00BA376C" w:rsidRPr="00BA376C" w:rsidRDefault="00103DB9" w:rsidP="00BA376C">
            <w:pPr>
              <w:rPr>
                <w:iCs/>
              </w:rPr>
            </w:pPr>
            <w:r w:rsidRPr="00BA376C">
              <w:rPr>
                <w:iCs/>
              </w:rPr>
              <w:t xml:space="preserve">A documented WHS system that incorporates: </w:t>
            </w:r>
          </w:p>
          <w:p w14:paraId="403A0730" w14:textId="77777777" w:rsidR="00BA376C" w:rsidRPr="00BA376C" w:rsidRDefault="00103DB9" w:rsidP="00BA376C">
            <w:pPr>
              <w:pStyle w:val="ListParagraph"/>
              <w:numPr>
                <w:ilvl w:val="0"/>
                <w:numId w:val="24"/>
              </w:numPr>
              <w:rPr>
                <w:iCs/>
              </w:rPr>
            </w:pPr>
            <w:r w:rsidRPr="00BA376C">
              <w:rPr>
                <w:iCs/>
              </w:rPr>
              <w:t xml:space="preserve">appropriate level of insurances </w:t>
            </w:r>
            <w:proofErr w:type="gramStart"/>
            <w:r w:rsidRPr="00BA376C">
              <w:rPr>
                <w:iCs/>
              </w:rPr>
              <w:t>are</w:t>
            </w:r>
            <w:proofErr w:type="gramEnd"/>
            <w:r w:rsidRPr="00BA376C">
              <w:rPr>
                <w:iCs/>
              </w:rPr>
              <w:t xml:space="preserve"> in place</w:t>
            </w:r>
          </w:p>
          <w:p w14:paraId="0D32A364" w14:textId="77777777" w:rsidR="00BA376C" w:rsidRPr="00BA376C" w:rsidRDefault="00103DB9" w:rsidP="00BA376C">
            <w:pPr>
              <w:pStyle w:val="ListParagraph"/>
              <w:numPr>
                <w:ilvl w:val="0"/>
                <w:numId w:val="24"/>
              </w:numPr>
              <w:rPr>
                <w:iCs/>
              </w:rPr>
            </w:pPr>
            <w:r w:rsidRPr="00BA376C">
              <w:rPr>
                <w:iCs/>
              </w:rPr>
              <w:t>determination of workgroups each with a nominated Health and Safety Representative (HSR)</w:t>
            </w:r>
          </w:p>
          <w:p w14:paraId="6AB2FCD5" w14:textId="77777777" w:rsidR="00BA376C" w:rsidRPr="00BA376C" w:rsidRDefault="00103DB9" w:rsidP="00BA376C">
            <w:pPr>
              <w:pStyle w:val="ListParagraph"/>
              <w:numPr>
                <w:ilvl w:val="0"/>
                <w:numId w:val="24"/>
              </w:numPr>
              <w:rPr>
                <w:iCs/>
              </w:rPr>
            </w:pPr>
            <w:r w:rsidRPr="00BA376C">
              <w:rPr>
                <w:iCs/>
              </w:rPr>
              <w:t>a nomination, election and notification process for HSRs, with mandatory training provided covering role and responsibilities</w:t>
            </w:r>
          </w:p>
          <w:p w14:paraId="6F9A587C" w14:textId="77777777" w:rsidR="00BA376C" w:rsidRPr="00BA376C" w:rsidRDefault="00103DB9" w:rsidP="00BA376C">
            <w:pPr>
              <w:pStyle w:val="ListParagraph"/>
              <w:numPr>
                <w:ilvl w:val="0"/>
                <w:numId w:val="24"/>
              </w:numPr>
              <w:rPr>
                <w:iCs/>
              </w:rPr>
            </w:pPr>
            <w:r w:rsidRPr="00BA376C">
              <w:rPr>
                <w:iCs/>
              </w:rPr>
              <w:t>involvement of HSRs in pre-start meetings, Toolbox Talks and WHS incident responses and investigations</w:t>
            </w:r>
          </w:p>
          <w:p w14:paraId="0F417679" w14:textId="77777777" w:rsidR="00BA376C" w:rsidRPr="00BA376C" w:rsidRDefault="00103DB9" w:rsidP="00BA376C">
            <w:pPr>
              <w:pStyle w:val="ListParagraph"/>
              <w:numPr>
                <w:ilvl w:val="0"/>
                <w:numId w:val="24"/>
              </w:numPr>
              <w:rPr>
                <w:iCs/>
              </w:rPr>
            </w:pPr>
            <w:r w:rsidRPr="00BA376C">
              <w:rPr>
                <w:iCs/>
              </w:rPr>
              <w:t xml:space="preserve">constitution and procedure for WHS Committee including representation from all levels of the organisation (50:50 between Person Conducting a Business or Undertaking (PCBU) and worker representatives), rotation of key roles (chairperson, secretary etc) on a regular basis, and formal documentation of actions, discussions and information for follow-up </w:t>
            </w:r>
          </w:p>
          <w:p w14:paraId="5D6AC94F" w14:textId="77777777" w:rsidR="00BA376C" w:rsidRPr="00BA376C" w:rsidRDefault="00103DB9" w:rsidP="00BA376C">
            <w:pPr>
              <w:pStyle w:val="ListParagraph"/>
              <w:numPr>
                <w:ilvl w:val="0"/>
                <w:numId w:val="24"/>
              </w:numPr>
              <w:rPr>
                <w:iCs/>
              </w:rPr>
            </w:pPr>
            <w:r w:rsidRPr="00BA376C">
              <w:rPr>
                <w:iCs/>
              </w:rPr>
              <w:t>formal grievance process for the resolution of WHS matters, including documented process and tools to track WHS issues raised by workforce (e.g. via HSRs and/or WHS Committee) through to resolution.</w:t>
            </w:r>
          </w:p>
          <w:p w14:paraId="64B9D53B" w14:textId="77777777" w:rsidR="00BA376C" w:rsidRPr="00BA376C" w:rsidRDefault="00103DB9" w:rsidP="00BA376C">
            <w:pPr>
              <w:rPr>
                <w:iCs/>
              </w:rPr>
            </w:pPr>
            <w:r w:rsidRPr="00BA376C">
              <w:rPr>
                <w:iCs/>
              </w:rPr>
              <w:t>Policies and procedures that incorporate (where relevant):</w:t>
            </w:r>
          </w:p>
          <w:p w14:paraId="48362A1A" w14:textId="77777777" w:rsidR="00BA376C" w:rsidRPr="00BA376C" w:rsidRDefault="00103DB9" w:rsidP="00BA376C">
            <w:pPr>
              <w:pStyle w:val="ListParagraph"/>
              <w:numPr>
                <w:ilvl w:val="0"/>
                <w:numId w:val="24"/>
              </w:numPr>
              <w:rPr>
                <w:iCs/>
              </w:rPr>
            </w:pPr>
            <w:r w:rsidRPr="00BA376C">
              <w:rPr>
                <w:iCs/>
              </w:rPr>
              <w:t>awareness and utilisation of digital engineering application/s, digital engineering strategy for transitioning from design to construction, and to reduce work, health and safety risks</w:t>
            </w:r>
          </w:p>
          <w:p w14:paraId="60F9EFF9" w14:textId="77777777" w:rsidR="00BA376C" w:rsidRPr="00BA376C" w:rsidRDefault="00103DB9" w:rsidP="00BA376C">
            <w:pPr>
              <w:pStyle w:val="ListParagraph"/>
              <w:numPr>
                <w:ilvl w:val="0"/>
                <w:numId w:val="24"/>
              </w:numPr>
              <w:rPr>
                <w:iCs/>
              </w:rPr>
            </w:pPr>
            <w:r w:rsidRPr="00BA376C">
              <w:rPr>
                <w:iCs/>
              </w:rPr>
              <w:t>strategy for encouraging digital engineering use by subcontractors</w:t>
            </w:r>
          </w:p>
          <w:p w14:paraId="6F781D10" w14:textId="77777777" w:rsidR="00BA376C" w:rsidRPr="00BA376C" w:rsidRDefault="00103DB9" w:rsidP="00BA376C">
            <w:pPr>
              <w:pStyle w:val="ListParagraph"/>
              <w:numPr>
                <w:ilvl w:val="0"/>
                <w:numId w:val="24"/>
              </w:numPr>
              <w:rPr>
                <w:iCs/>
              </w:rPr>
            </w:pPr>
            <w:r w:rsidRPr="00BA376C">
              <w:rPr>
                <w:iCs/>
              </w:rPr>
              <w:lastRenderedPageBreak/>
              <w:t>the level of training the company provides in the use of digital engineering and</w:t>
            </w:r>
          </w:p>
          <w:p w14:paraId="6DFFE772" w14:textId="77777777" w:rsidR="00BA376C" w:rsidRPr="00BA376C" w:rsidRDefault="00103DB9" w:rsidP="00BA376C">
            <w:pPr>
              <w:pStyle w:val="ListParagraph"/>
              <w:numPr>
                <w:ilvl w:val="0"/>
                <w:numId w:val="24"/>
              </w:numPr>
              <w:rPr>
                <w:iCs/>
              </w:rPr>
            </w:pPr>
            <w:r w:rsidRPr="00BA376C">
              <w:rPr>
                <w:iCs/>
              </w:rPr>
              <w:t>projects previously worked on using digital engineering from design to construction.</w:t>
            </w:r>
          </w:p>
          <w:p w14:paraId="0D5EEB57" w14:textId="77777777" w:rsidR="00BA376C" w:rsidRPr="00BA376C" w:rsidRDefault="00103DB9" w:rsidP="00BA376C">
            <w:pPr>
              <w:rPr>
                <w:iCs/>
              </w:rPr>
            </w:pPr>
            <w:r w:rsidRPr="00BA376C">
              <w:rPr>
                <w:iCs/>
              </w:rPr>
              <w:t>Other:</w:t>
            </w:r>
          </w:p>
          <w:p w14:paraId="0D7723E1" w14:textId="77777777" w:rsidR="00BA376C" w:rsidRPr="00BA376C" w:rsidRDefault="00103DB9" w:rsidP="00BA376C">
            <w:pPr>
              <w:pStyle w:val="ListParagraph"/>
              <w:numPr>
                <w:ilvl w:val="0"/>
                <w:numId w:val="24"/>
              </w:numPr>
              <w:rPr>
                <w:iCs/>
              </w:rPr>
            </w:pPr>
            <w:r w:rsidRPr="00BA376C">
              <w:rPr>
                <w:iCs/>
              </w:rPr>
              <w:t>arrangements for the assessment, monitoring and review of Safe Work Method Statement (SWMS)</w:t>
            </w:r>
          </w:p>
          <w:p w14:paraId="2EA815DA" w14:textId="77777777" w:rsidR="00BA376C" w:rsidRPr="00BA376C" w:rsidRDefault="00103DB9" w:rsidP="00BA376C">
            <w:pPr>
              <w:pStyle w:val="ListParagraph"/>
              <w:numPr>
                <w:ilvl w:val="0"/>
                <w:numId w:val="24"/>
              </w:numPr>
              <w:rPr>
                <w:iCs/>
              </w:rPr>
            </w:pPr>
            <w:r w:rsidRPr="00BA376C">
              <w:rPr>
                <w:iCs/>
              </w:rPr>
              <w:t>arrangements in place for consultation, cooperation and coordination of activities in relation to compliance with the WHS Act</w:t>
            </w:r>
          </w:p>
          <w:p w14:paraId="015B1EFF" w14:textId="77777777" w:rsidR="00BA376C" w:rsidRPr="00BA376C" w:rsidRDefault="00103DB9" w:rsidP="00BA376C">
            <w:pPr>
              <w:pStyle w:val="ListParagraph"/>
              <w:numPr>
                <w:ilvl w:val="0"/>
                <w:numId w:val="24"/>
              </w:numPr>
              <w:rPr>
                <w:iCs/>
              </w:rPr>
            </w:pPr>
            <w:r w:rsidRPr="00BA376C">
              <w:rPr>
                <w:iCs/>
              </w:rPr>
              <w:t>any site specific WHS rules and the arrangements for ensuring that all persons at the workplace are informed of the rules.</w:t>
            </w:r>
          </w:p>
        </w:tc>
      </w:tr>
      <w:tr w:rsidR="00044A45" w14:paraId="34B08F6A" w14:textId="77777777" w:rsidTr="00F77928">
        <w:trPr>
          <w:trHeight w:val="1666"/>
        </w:trPr>
        <w:tc>
          <w:tcPr>
            <w:tcW w:w="1489"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BFBFBF" w:themeFill="background1" w:themeFillShade="BF"/>
          </w:tcPr>
          <w:p w14:paraId="41562D38" w14:textId="77777777" w:rsidR="00BA376C" w:rsidRPr="00BA376C" w:rsidRDefault="00103DB9" w:rsidP="00BA376C">
            <w:pPr>
              <w:rPr>
                <w:b/>
                <w:iCs/>
              </w:rPr>
            </w:pPr>
            <w:r w:rsidRPr="00BA376C">
              <w:rPr>
                <w:b/>
                <w:iCs/>
              </w:rPr>
              <w:lastRenderedPageBreak/>
              <w:t>2. Best practice commitment to apprentices and trainees</w:t>
            </w:r>
          </w:p>
        </w:tc>
        <w:tc>
          <w:tcPr>
            <w:tcW w:w="3511"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22119A38" w14:textId="77777777" w:rsidR="00BA376C" w:rsidRPr="00BA376C" w:rsidRDefault="00103DB9" w:rsidP="00BA376C">
            <w:pPr>
              <w:pStyle w:val="ListParagraph"/>
              <w:numPr>
                <w:ilvl w:val="0"/>
                <w:numId w:val="21"/>
              </w:numPr>
              <w:rPr>
                <w:iCs/>
              </w:rPr>
            </w:pPr>
            <w:r w:rsidRPr="00BA376C">
              <w:rPr>
                <w:iCs/>
              </w:rPr>
              <w:t>Record of compliance with the Queensland Government Building and Construction Training Policy.</w:t>
            </w:r>
          </w:p>
          <w:p w14:paraId="18562279" w14:textId="77777777" w:rsidR="00BA376C" w:rsidRPr="00BA376C" w:rsidRDefault="00103DB9" w:rsidP="00BA376C">
            <w:pPr>
              <w:pStyle w:val="ListParagraph"/>
              <w:numPr>
                <w:ilvl w:val="0"/>
                <w:numId w:val="21"/>
              </w:numPr>
              <w:rPr>
                <w:iCs/>
              </w:rPr>
            </w:pPr>
            <w:r w:rsidRPr="00BA376C">
              <w:rPr>
                <w:iCs/>
              </w:rPr>
              <w:t>Support for the delivery of nationally endorsed building and construction competencies (</w:t>
            </w:r>
            <w:proofErr w:type="spellStart"/>
            <w:r w:rsidRPr="00BA376C">
              <w:rPr>
                <w:iCs/>
              </w:rPr>
              <w:t>eg.</w:t>
            </w:r>
            <w:proofErr w:type="spellEnd"/>
            <w:r w:rsidRPr="00BA376C">
              <w:rPr>
                <w:iCs/>
              </w:rPr>
              <w:t xml:space="preserve"> policies and procedures to support staff in enrolling in and completing training, position descriptions that require workers to hold relevant qualifications).</w:t>
            </w:r>
          </w:p>
          <w:p w14:paraId="3B75446A" w14:textId="77777777" w:rsidR="00BA376C" w:rsidRPr="00BA376C" w:rsidRDefault="00103DB9" w:rsidP="00BA376C">
            <w:pPr>
              <w:pStyle w:val="ListParagraph"/>
              <w:numPr>
                <w:ilvl w:val="0"/>
                <w:numId w:val="21"/>
              </w:numPr>
              <w:rPr>
                <w:iCs/>
              </w:rPr>
            </w:pPr>
            <w:r w:rsidRPr="00BA376C">
              <w:rPr>
                <w:iCs/>
              </w:rPr>
              <w:t>Evidence of workplace related training provided to employees.</w:t>
            </w:r>
          </w:p>
          <w:p w14:paraId="1CCE62CA" w14:textId="77777777" w:rsidR="00BA376C" w:rsidRPr="00BA376C" w:rsidRDefault="00103DB9" w:rsidP="00BA376C">
            <w:pPr>
              <w:pStyle w:val="ListParagraph"/>
              <w:numPr>
                <w:ilvl w:val="0"/>
                <w:numId w:val="21"/>
              </w:numPr>
              <w:rPr>
                <w:iCs/>
              </w:rPr>
            </w:pPr>
            <w:r w:rsidRPr="00BA376C">
              <w:rPr>
                <w:iCs/>
              </w:rPr>
              <w:t>Number of current apprentice and trainee employees.</w:t>
            </w:r>
          </w:p>
        </w:tc>
      </w:tr>
    </w:tbl>
    <w:p w14:paraId="3B25D35D" w14:textId="77777777" w:rsidR="00BA376C" w:rsidRDefault="00BA376C" w:rsidP="00362B96">
      <w:pPr>
        <w:rPr>
          <w:iCs/>
        </w:rPr>
      </w:pPr>
    </w:p>
    <w:p w14:paraId="352A7A5E" w14:textId="77777777" w:rsidR="00BA376C" w:rsidRDefault="00103DB9">
      <w:pPr>
        <w:spacing w:line="259" w:lineRule="auto"/>
        <w:rPr>
          <w:iCs/>
        </w:rPr>
      </w:pPr>
      <w:r>
        <w:rPr>
          <w:iCs/>
        </w:rPr>
        <w:br w:type="page"/>
      </w:r>
    </w:p>
    <w:p w14:paraId="39A52AFC" w14:textId="77777777" w:rsidR="00BA376C" w:rsidRPr="00BA376C" w:rsidRDefault="00103DB9" w:rsidP="00BA376C">
      <w:pPr>
        <w:pStyle w:val="Heading1"/>
      </w:pPr>
      <w:bookmarkStart w:id="88" w:name="_Toc69201389"/>
      <w:bookmarkStart w:id="89" w:name="_Toc182462582"/>
      <w:r w:rsidRPr="00BA376C">
        <w:lastRenderedPageBreak/>
        <w:t>Appendix 3 – Key steps in the application of the best practice principles</w:t>
      </w:r>
      <w:bookmarkEnd w:id="88"/>
      <w:bookmarkEnd w:id="89"/>
    </w:p>
    <w:p w14:paraId="106EE04A" w14:textId="77777777" w:rsidR="00BA376C" w:rsidRPr="00BA376C" w:rsidRDefault="00103DB9" w:rsidP="00BA376C">
      <w:pPr>
        <w:pStyle w:val="Heading2"/>
      </w:pPr>
      <w:bookmarkStart w:id="90" w:name="_Toc69201390"/>
      <w:bookmarkStart w:id="91" w:name="_Toc182462583"/>
      <w:r w:rsidRPr="00BA376C">
        <w:t>Step 1: When do the best practice principles apply to a project?</w:t>
      </w:r>
      <w:bookmarkEnd w:id="90"/>
      <w:bookmarkEnd w:id="91"/>
    </w:p>
    <w:p w14:paraId="089F2917" w14:textId="77777777" w:rsidR="00BA376C" w:rsidRPr="00BA376C" w:rsidRDefault="00103DB9" w:rsidP="00BA376C">
      <w:pPr>
        <w:numPr>
          <w:ilvl w:val="0"/>
          <w:numId w:val="42"/>
        </w:numPr>
        <w:rPr>
          <w:iCs/>
        </w:rPr>
      </w:pPr>
      <w:r w:rsidRPr="00BA376C">
        <w:rPr>
          <w:iCs/>
        </w:rPr>
        <w:t>Is this a project?</w:t>
      </w:r>
    </w:p>
    <w:p w14:paraId="5CF7FF4A" w14:textId="77777777" w:rsidR="00BA376C" w:rsidRPr="00BA376C" w:rsidRDefault="00103DB9" w:rsidP="00BA376C">
      <w:pPr>
        <w:pStyle w:val="ListParagraph"/>
        <w:numPr>
          <w:ilvl w:val="0"/>
          <w:numId w:val="23"/>
        </w:numPr>
        <w:rPr>
          <w:iCs/>
        </w:rPr>
      </w:pPr>
      <w:r w:rsidRPr="00BA376C">
        <w:rPr>
          <w:iCs/>
        </w:rPr>
        <w:t>If yes – proceed to question 2</w:t>
      </w:r>
      <w:r w:rsidR="008301EB">
        <w:rPr>
          <w:iCs/>
        </w:rPr>
        <w:t>.</w:t>
      </w:r>
    </w:p>
    <w:p w14:paraId="3109B2F8" w14:textId="77777777" w:rsidR="00BA376C" w:rsidRPr="00BA376C" w:rsidRDefault="00103DB9" w:rsidP="00BA376C">
      <w:pPr>
        <w:pStyle w:val="ListParagraph"/>
        <w:numPr>
          <w:ilvl w:val="0"/>
          <w:numId w:val="23"/>
        </w:numPr>
        <w:rPr>
          <w:iCs/>
        </w:rPr>
      </w:pPr>
      <w:r w:rsidRPr="00BA376C">
        <w:rPr>
          <w:iCs/>
        </w:rPr>
        <w:t>If no – the best practice principles do not apply.  Also consider if this is a program that has been declared? If no, the best practice principles do not apply. If yes, the program, and all projects that comprise the program, will be subject to the best practice principles</w:t>
      </w:r>
      <w:r w:rsidR="008301EB">
        <w:rPr>
          <w:iCs/>
        </w:rPr>
        <w:t>.</w:t>
      </w:r>
    </w:p>
    <w:p w14:paraId="5C239BF3" w14:textId="77777777" w:rsidR="00BA376C" w:rsidRPr="00BA376C" w:rsidRDefault="00103DB9" w:rsidP="00BA376C">
      <w:pPr>
        <w:numPr>
          <w:ilvl w:val="0"/>
          <w:numId w:val="42"/>
        </w:numPr>
        <w:rPr>
          <w:iCs/>
        </w:rPr>
      </w:pPr>
      <w:r w:rsidRPr="00BA376C">
        <w:rPr>
          <w:iCs/>
        </w:rPr>
        <w:t>Is the project subject to the QPP?</w:t>
      </w:r>
    </w:p>
    <w:p w14:paraId="5D229A88" w14:textId="77777777" w:rsidR="00BA376C" w:rsidRPr="00BA376C" w:rsidRDefault="00103DB9" w:rsidP="00BA376C">
      <w:pPr>
        <w:pStyle w:val="ListParagraph"/>
        <w:numPr>
          <w:ilvl w:val="0"/>
          <w:numId w:val="23"/>
        </w:numPr>
        <w:rPr>
          <w:iCs/>
        </w:rPr>
      </w:pPr>
      <w:r w:rsidRPr="00BA376C">
        <w:rPr>
          <w:iCs/>
        </w:rPr>
        <w:t>If yes – proceed to question 3</w:t>
      </w:r>
      <w:r w:rsidR="008301EB">
        <w:rPr>
          <w:iCs/>
        </w:rPr>
        <w:t>.</w:t>
      </w:r>
    </w:p>
    <w:p w14:paraId="138F4AC5" w14:textId="77777777" w:rsidR="00BA376C" w:rsidRPr="00DA6D27" w:rsidRDefault="00103DB9" w:rsidP="00BA376C">
      <w:pPr>
        <w:pStyle w:val="ListParagraph"/>
        <w:numPr>
          <w:ilvl w:val="0"/>
          <w:numId w:val="23"/>
        </w:numPr>
        <w:rPr>
          <w:iCs/>
        </w:rPr>
      </w:pPr>
      <w:r w:rsidRPr="00BA376C">
        <w:rPr>
          <w:iCs/>
        </w:rPr>
        <w:t xml:space="preserve">If no – the best practice </w:t>
      </w:r>
      <w:r w:rsidRPr="00DA6D27">
        <w:rPr>
          <w:iCs/>
        </w:rPr>
        <w:t>principles do not apply</w:t>
      </w:r>
      <w:r w:rsidR="008301EB" w:rsidRPr="00DA6D27">
        <w:rPr>
          <w:iCs/>
        </w:rPr>
        <w:t>.</w:t>
      </w:r>
    </w:p>
    <w:p w14:paraId="7B34289A" w14:textId="77777777" w:rsidR="00BA376C" w:rsidRPr="00DA6D27" w:rsidRDefault="00103DB9" w:rsidP="00BA376C">
      <w:pPr>
        <w:numPr>
          <w:ilvl w:val="0"/>
          <w:numId w:val="42"/>
        </w:numPr>
        <w:rPr>
          <w:iCs/>
        </w:rPr>
      </w:pPr>
      <w:r w:rsidRPr="00DA6D27">
        <w:rPr>
          <w:iCs/>
        </w:rPr>
        <w:t>Is the procurement category BCM, TIS, Med, SS, GGS or other (excluding ICT)?</w:t>
      </w:r>
    </w:p>
    <w:p w14:paraId="1B068F43" w14:textId="77777777" w:rsidR="00BA376C" w:rsidRPr="00DA6D27" w:rsidRDefault="00103DB9" w:rsidP="00BA376C">
      <w:pPr>
        <w:pStyle w:val="ListParagraph"/>
        <w:numPr>
          <w:ilvl w:val="0"/>
          <w:numId w:val="23"/>
        </w:numPr>
        <w:rPr>
          <w:iCs/>
        </w:rPr>
      </w:pPr>
      <w:r w:rsidRPr="00DA6D27">
        <w:rPr>
          <w:iCs/>
        </w:rPr>
        <w:t>If yes – proceed to question 4</w:t>
      </w:r>
      <w:r w:rsidR="008301EB" w:rsidRPr="00DA6D27">
        <w:rPr>
          <w:iCs/>
        </w:rPr>
        <w:t>.</w:t>
      </w:r>
    </w:p>
    <w:p w14:paraId="65B2C5CB" w14:textId="77777777" w:rsidR="00BA376C" w:rsidRPr="00DA6D27" w:rsidRDefault="00103DB9" w:rsidP="00BA376C">
      <w:pPr>
        <w:pStyle w:val="ListParagraph"/>
        <w:numPr>
          <w:ilvl w:val="0"/>
          <w:numId w:val="23"/>
        </w:numPr>
        <w:rPr>
          <w:iCs/>
        </w:rPr>
      </w:pPr>
      <w:r w:rsidRPr="00DA6D27">
        <w:rPr>
          <w:iCs/>
        </w:rPr>
        <w:t>If no – is the project (or program) declared? If no, the best practice principles do not apply. If yes, the project (or program) is subject to the best practice principles</w:t>
      </w:r>
      <w:r w:rsidR="008301EB" w:rsidRPr="00DA6D27">
        <w:rPr>
          <w:iCs/>
        </w:rPr>
        <w:t>.</w:t>
      </w:r>
    </w:p>
    <w:p w14:paraId="165AEF64" w14:textId="77777777" w:rsidR="00BA376C" w:rsidRPr="00DA6D27" w:rsidRDefault="00103DB9" w:rsidP="00BA376C">
      <w:pPr>
        <w:numPr>
          <w:ilvl w:val="0"/>
          <w:numId w:val="42"/>
        </w:numPr>
        <w:rPr>
          <w:iCs/>
        </w:rPr>
      </w:pPr>
      <w:r w:rsidRPr="00DA6D27">
        <w:rPr>
          <w:iCs/>
        </w:rPr>
        <w:t>Is the project value $100 million or more?</w:t>
      </w:r>
    </w:p>
    <w:p w14:paraId="399E7F5C" w14:textId="77777777" w:rsidR="00BA376C" w:rsidRPr="00DA6D27" w:rsidRDefault="00103DB9" w:rsidP="00BA376C">
      <w:pPr>
        <w:pStyle w:val="ListParagraph"/>
        <w:numPr>
          <w:ilvl w:val="0"/>
          <w:numId w:val="23"/>
        </w:numPr>
        <w:rPr>
          <w:iCs/>
        </w:rPr>
      </w:pPr>
      <w:r w:rsidRPr="00DA6D27">
        <w:rPr>
          <w:iCs/>
        </w:rPr>
        <w:t>If yes – the project is subject to the best practice principles</w:t>
      </w:r>
      <w:r w:rsidR="008301EB" w:rsidRPr="00DA6D27">
        <w:rPr>
          <w:iCs/>
        </w:rPr>
        <w:t>.</w:t>
      </w:r>
    </w:p>
    <w:p w14:paraId="1088B076" w14:textId="77777777" w:rsidR="00BA376C" w:rsidRPr="00DA6D27" w:rsidRDefault="00103DB9" w:rsidP="00BA376C">
      <w:pPr>
        <w:pStyle w:val="ListParagraph"/>
        <w:numPr>
          <w:ilvl w:val="0"/>
          <w:numId w:val="23"/>
        </w:numPr>
        <w:rPr>
          <w:iCs/>
        </w:rPr>
      </w:pPr>
      <w:r w:rsidRPr="00DA6D27">
        <w:rPr>
          <w:iCs/>
        </w:rPr>
        <w:t>If no – is the project (or program) declared? If no, the best practice principles do not apply. If yes, the project (or program) is subject to best practice principles</w:t>
      </w:r>
      <w:r w:rsidR="008301EB" w:rsidRPr="00DA6D27">
        <w:rPr>
          <w:iCs/>
        </w:rPr>
        <w:t>.</w:t>
      </w:r>
    </w:p>
    <w:p w14:paraId="66E64FA5" w14:textId="77777777" w:rsidR="00BA376C" w:rsidRPr="00DA6D27" w:rsidRDefault="00103DB9" w:rsidP="00BA376C">
      <w:pPr>
        <w:rPr>
          <w:iCs/>
        </w:rPr>
      </w:pPr>
      <w:r w:rsidRPr="00DA6D27">
        <w:rPr>
          <w:iCs/>
        </w:rPr>
        <w:t>Before moving to Step 2, agencies must include the best practice principles project in the Queensland Government Forward Procurement Pipeline.</w:t>
      </w:r>
    </w:p>
    <w:p w14:paraId="2C8A504C" w14:textId="77777777" w:rsidR="00BA376C" w:rsidRPr="00DA6D27" w:rsidRDefault="00103DB9" w:rsidP="00BA376C">
      <w:pPr>
        <w:pStyle w:val="Heading2"/>
      </w:pPr>
      <w:bookmarkStart w:id="92" w:name="_Toc69201391"/>
      <w:bookmarkStart w:id="93" w:name="_Toc182462584"/>
      <w:r w:rsidRPr="00DA6D27">
        <w:t>Step 2: How to apply the best practice principles during each stage of the procurement cycle</w:t>
      </w:r>
      <w:bookmarkEnd w:id="92"/>
      <w:bookmarkEnd w:id="93"/>
    </w:p>
    <w:p w14:paraId="513747E7" w14:textId="77777777" w:rsidR="00BA376C" w:rsidRPr="00DA6D27" w:rsidRDefault="00103DB9" w:rsidP="00BA376C">
      <w:pPr>
        <w:pStyle w:val="Heading3"/>
      </w:pPr>
      <w:bookmarkStart w:id="94" w:name="_Toc69201392"/>
      <w:bookmarkStart w:id="95" w:name="_Toc182462585"/>
      <w:r w:rsidRPr="00DA6D27">
        <w:t>Procurement strategy development</w:t>
      </w:r>
      <w:bookmarkEnd w:id="94"/>
      <w:bookmarkEnd w:id="95"/>
    </w:p>
    <w:p w14:paraId="50CE5005" w14:textId="77777777" w:rsidR="00BA376C" w:rsidRPr="00DA6D27" w:rsidRDefault="00103DB9" w:rsidP="00BA376C">
      <w:pPr>
        <w:rPr>
          <w:iCs/>
        </w:rPr>
      </w:pPr>
      <w:r w:rsidRPr="00DA6D27">
        <w:rPr>
          <w:iCs/>
        </w:rPr>
        <w:t xml:space="preserve">Apply the best practice principles to any contract that meets </w:t>
      </w:r>
      <w:proofErr w:type="gramStart"/>
      <w:r w:rsidRPr="00DA6D27">
        <w:rPr>
          <w:iCs/>
        </w:rPr>
        <w:t>all of</w:t>
      </w:r>
      <w:proofErr w:type="gramEnd"/>
      <w:r w:rsidRPr="00DA6D27">
        <w:rPr>
          <w:iCs/>
        </w:rPr>
        <w:t xml:space="preserve"> the following three requirements: </w:t>
      </w:r>
    </w:p>
    <w:p w14:paraId="15E0A743" w14:textId="77777777" w:rsidR="00BA376C" w:rsidRPr="00C206DA" w:rsidRDefault="00103DB9" w:rsidP="00AE19AB">
      <w:pPr>
        <w:pStyle w:val="Heading5"/>
      </w:pPr>
      <w:r w:rsidRPr="00C206DA">
        <w:t>Requirement 1</w:t>
      </w:r>
    </w:p>
    <w:p w14:paraId="667D67D7" w14:textId="77777777" w:rsidR="001C24D6" w:rsidRPr="00C206DA" w:rsidRDefault="00103DB9" w:rsidP="001C24D6">
      <w:pPr>
        <w:rPr>
          <w:i/>
          <w:iCs/>
        </w:rPr>
      </w:pPr>
      <w:r w:rsidRPr="00C206DA">
        <w:t>Contract is for a contractor or subcontractor to provide ‘goods and services’ (as defined in the QPP) on-site except for those contractors or subcontractors that provide services exclusively of the following kinds:</w:t>
      </w:r>
    </w:p>
    <w:p w14:paraId="74058D47" w14:textId="77777777" w:rsidR="001C24D6" w:rsidRPr="00C206DA" w:rsidRDefault="00103DB9" w:rsidP="001C24D6">
      <w:pPr>
        <w:pStyle w:val="ListParagraph"/>
        <w:numPr>
          <w:ilvl w:val="0"/>
          <w:numId w:val="7"/>
        </w:numPr>
      </w:pPr>
      <w:r w:rsidRPr="00C206DA">
        <w:t>architectural, design, surveying or quantity surveying services relating to construction work</w:t>
      </w:r>
    </w:p>
    <w:p w14:paraId="1409C565" w14:textId="77777777" w:rsidR="001C24D6" w:rsidRPr="00C206DA" w:rsidRDefault="00103DB9" w:rsidP="001C24D6">
      <w:pPr>
        <w:pStyle w:val="ListParagraph"/>
        <w:numPr>
          <w:ilvl w:val="0"/>
          <w:numId w:val="7"/>
        </w:numPr>
      </w:pPr>
      <w:r w:rsidRPr="00C206DA">
        <w:t>building, engineering, interior or exterior decoration or landscape advisory services relating to construction work</w:t>
      </w:r>
    </w:p>
    <w:p w14:paraId="55E67D0C" w14:textId="77777777" w:rsidR="001C24D6" w:rsidRPr="00C206DA" w:rsidRDefault="00103DB9" w:rsidP="001C24D6">
      <w:pPr>
        <w:pStyle w:val="ListParagraph"/>
        <w:numPr>
          <w:ilvl w:val="0"/>
          <w:numId w:val="7"/>
        </w:numPr>
      </w:pPr>
      <w:r w:rsidRPr="00C206DA">
        <w:t>soil testing services relating to construction work</w:t>
      </w:r>
    </w:p>
    <w:p w14:paraId="06580889" w14:textId="77777777" w:rsidR="001C24D6" w:rsidRPr="00C206DA" w:rsidRDefault="00103DB9" w:rsidP="001C24D6">
      <w:pPr>
        <w:pStyle w:val="ListParagraph"/>
        <w:numPr>
          <w:ilvl w:val="0"/>
          <w:numId w:val="7"/>
        </w:numPr>
      </w:pPr>
      <w:r w:rsidRPr="00C206DA">
        <w:t>off-site prefabrication of made-to-order components to form part of any building, structure or works, unless that work is performed on an auxiliary or holding site that is separate from the primary construction site or sites</w:t>
      </w:r>
    </w:p>
    <w:p w14:paraId="7A4C14B5" w14:textId="77777777" w:rsidR="001C24D6" w:rsidRPr="00C206DA" w:rsidRDefault="00103DB9" w:rsidP="001C24D6">
      <w:pPr>
        <w:pStyle w:val="ListParagraph"/>
        <w:numPr>
          <w:ilvl w:val="0"/>
          <w:numId w:val="7"/>
        </w:numPr>
      </w:pPr>
      <w:r w:rsidRPr="00C206DA">
        <w:t>transportation or supply of goods to be used for building work, directly to building sites (including any resources platform) where that work is being or may be performed.</w:t>
      </w:r>
    </w:p>
    <w:p w14:paraId="53C352A6" w14:textId="77777777" w:rsidR="001C24D6" w:rsidRPr="00DA6D27" w:rsidRDefault="001C24D6" w:rsidP="00DA6D27">
      <w:pPr>
        <w:pStyle w:val="ListParagraph"/>
      </w:pPr>
    </w:p>
    <w:p w14:paraId="07467D8E" w14:textId="77777777" w:rsidR="00BA376C" w:rsidRPr="00DA6D27" w:rsidRDefault="00103DB9" w:rsidP="00AE19AB">
      <w:pPr>
        <w:pStyle w:val="Heading5"/>
      </w:pPr>
      <w:r w:rsidRPr="00DA6D27">
        <w:lastRenderedPageBreak/>
        <w:t>Requirement 2</w:t>
      </w:r>
    </w:p>
    <w:p w14:paraId="364B5C7F" w14:textId="77777777" w:rsidR="0027242C" w:rsidRPr="00DA6D27" w:rsidRDefault="00103DB9" w:rsidP="00BA376C">
      <w:pPr>
        <w:rPr>
          <w:iCs/>
        </w:rPr>
      </w:pPr>
      <w:r w:rsidRPr="00DA6D27">
        <w:rPr>
          <w:iCs/>
        </w:rPr>
        <w:t xml:space="preserve">Contract exceeds the minimum value threshold of $20,000. </w:t>
      </w:r>
    </w:p>
    <w:p w14:paraId="0428388D" w14:textId="77777777" w:rsidR="00BA376C" w:rsidRPr="00DA6D27" w:rsidRDefault="00103DB9" w:rsidP="00BA376C">
      <w:pPr>
        <w:rPr>
          <w:iCs/>
        </w:rPr>
      </w:pPr>
      <w:r w:rsidRPr="00DA6D27">
        <w:rPr>
          <w:iCs/>
        </w:rPr>
        <w:t xml:space="preserve">Contracts valued below the minimum value threshold will not be subject to the best practice principles. </w:t>
      </w:r>
    </w:p>
    <w:p w14:paraId="160E267B" w14:textId="77777777" w:rsidR="00BA376C" w:rsidRPr="00DA6D27" w:rsidRDefault="00103DB9" w:rsidP="00BA376C">
      <w:pPr>
        <w:rPr>
          <w:iCs/>
        </w:rPr>
      </w:pPr>
      <w:r w:rsidRPr="00DA6D27">
        <w:rPr>
          <w:iCs/>
        </w:rPr>
        <w:t xml:space="preserve">An alternative minimum value threshold may be approved on a project-by-project basis as part of the Ministerial approval process for the best practice principles and local benefits test weightings. </w:t>
      </w:r>
    </w:p>
    <w:p w14:paraId="37E70B6F" w14:textId="77777777" w:rsidR="00BA376C" w:rsidRPr="00DA6D27" w:rsidRDefault="00103DB9" w:rsidP="00AE19AB">
      <w:pPr>
        <w:pStyle w:val="Heading5"/>
      </w:pPr>
      <w:r w:rsidRPr="00DA6D27">
        <w:t>Requirement 3</w:t>
      </w:r>
    </w:p>
    <w:p w14:paraId="35AE777E" w14:textId="77777777" w:rsidR="00BA376C" w:rsidRPr="00DA6D27" w:rsidRDefault="00103DB9" w:rsidP="00BA376C">
      <w:pPr>
        <w:rPr>
          <w:iCs/>
        </w:rPr>
      </w:pPr>
      <w:r w:rsidRPr="00DA6D27">
        <w:rPr>
          <w:iCs/>
        </w:rPr>
        <w:t xml:space="preserve">Contract is established as part of taking the project to completion. </w:t>
      </w:r>
    </w:p>
    <w:p w14:paraId="012AF245" w14:textId="77777777" w:rsidR="00BA376C" w:rsidRPr="00C206DA" w:rsidRDefault="00103DB9" w:rsidP="00BA376C">
      <w:pPr>
        <w:rPr>
          <w:iCs/>
        </w:rPr>
      </w:pPr>
      <w:r w:rsidRPr="00C206DA">
        <w:rPr>
          <w:iCs/>
        </w:rPr>
        <w:t>The best practice principles do not apply to ongoing contracts established for the purposes of providing ongoing goods or services following the completion of a project (e.g. the best practice principles would apply to the design and construction phase for a building or transport civil</w:t>
      </w:r>
      <w:r w:rsidR="0027242C" w:rsidRPr="00C206DA">
        <w:rPr>
          <w:iCs/>
        </w:rPr>
        <w:t xml:space="preserve"> construction</w:t>
      </w:r>
      <w:r w:rsidRPr="00C206DA">
        <w:rPr>
          <w:iCs/>
        </w:rPr>
        <w:t xml:space="preserve"> project but would not apply to ongoing facilities management, operation and maintenance contracts).</w:t>
      </w:r>
    </w:p>
    <w:p w14:paraId="679CFE35" w14:textId="77777777" w:rsidR="00BA376C" w:rsidRPr="004D4646" w:rsidRDefault="00103DB9" w:rsidP="00AE19AB">
      <w:pPr>
        <w:pStyle w:val="Heading4"/>
      </w:pPr>
      <w:r w:rsidRPr="004D4646">
        <w:t>If the best practice principles project is in the BCM procurement category</w:t>
      </w:r>
    </w:p>
    <w:p w14:paraId="3907D0B0" w14:textId="7F4B139A" w:rsidR="00BA376C" w:rsidRPr="00134686" w:rsidRDefault="00103DB9" w:rsidP="00AE19AB">
      <w:pPr>
        <w:pStyle w:val="ListParagraph"/>
        <w:numPr>
          <w:ilvl w:val="0"/>
          <w:numId w:val="23"/>
        </w:numPr>
        <w:rPr>
          <w:iCs/>
        </w:rPr>
      </w:pPr>
      <w:r w:rsidRPr="004D4646">
        <w:rPr>
          <w:iCs/>
        </w:rPr>
        <w:t>Use Queensland Government Prequalification (PQC) System to engage contractors</w:t>
      </w:r>
      <w:r w:rsidR="00A03468" w:rsidRPr="00134686">
        <w:rPr>
          <w:iCs/>
        </w:rPr>
        <w:t>.</w:t>
      </w:r>
    </w:p>
    <w:p w14:paraId="7BDDB10C" w14:textId="77777777" w:rsidR="00BA376C" w:rsidRPr="004D4646" w:rsidRDefault="00103DB9" w:rsidP="00AE19AB">
      <w:pPr>
        <w:pStyle w:val="Heading4"/>
      </w:pPr>
      <w:r w:rsidRPr="004D4646">
        <w:t>If the best practice principles project is in the TIS procurement category</w:t>
      </w:r>
    </w:p>
    <w:p w14:paraId="69CB4193" w14:textId="77777777" w:rsidR="00BA376C" w:rsidRPr="004D4646" w:rsidRDefault="00103DB9" w:rsidP="00AE19AB">
      <w:pPr>
        <w:pStyle w:val="ListParagraph"/>
        <w:numPr>
          <w:ilvl w:val="0"/>
          <w:numId w:val="23"/>
        </w:numPr>
        <w:rPr>
          <w:iCs/>
        </w:rPr>
      </w:pPr>
      <w:r w:rsidRPr="004D4646">
        <w:rPr>
          <w:iCs/>
        </w:rPr>
        <w:t>Use any applicable prequalification system to engage contractors</w:t>
      </w:r>
      <w:r w:rsidR="0008037E" w:rsidRPr="004D4646">
        <w:rPr>
          <w:iCs/>
        </w:rPr>
        <w:t xml:space="preserve"> consistent with the principles of the PQC System</w:t>
      </w:r>
      <w:r w:rsidRPr="004D4646">
        <w:rPr>
          <w:iCs/>
        </w:rPr>
        <w:t xml:space="preserve"> (e.g. National Prequalification System for Civil (Road and Bridge) Construction Contracts)</w:t>
      </w:r>
      <w:r w:rsidR="00A03468" w:rsidRPr="004D4646">
        <w:rPr>
          <w:iCs/>
        </w:rPr>
        <w:t>.</w:t>
      </w:r>
    </w:p>
    <w:p w14:paraId="359F9266" w14:textId="77777777" w:rsidR="00BA376C" w:rsidRPr="004D4646" w:rsidRDefault="00103DB9" w:rsidP="00AE19AB">
      <w:pPr>
        <w:pStyle w:val="Heading4"/>
      </w:pPr>
      <w:r w:rsidRPr="004D4646">
        <w:t>If the best practice principles project is in other procurement categories</w:t>
      </w:r>
    </w:p>
    <w:p w14:paraId="7681B624" w14:textId="77777777" w:rsidR="00BA376C" w:rsidRPr="004D4646" w:rsidRDefault="00103DB9" w:rsidP="00AE19AB">
      <w:pPr>
        <w:pStyle w:val="ListParagraph"/>
        <w:numPr>
          <w:ilvl w:val="0"/>
          <w:numId w:val="23"/>
        </w:numPr>
        <w:rPr>
          <w:iCs/>
        </w:rPr>
      </w:pPr>
      <w:r w:rsidRPr="004D4646">
        <w:rPr>
          <w:iCs/>
        </w:rPr>
        <w:t>Use any applicable prequalification system to engage contractors</w:t>
      </w:r>
      <w:r w:rsidR="00A03468" w:rsidRPr="004D4646">
        <w:rPr>
          <w:iCs/>
        </w:rPr>
        <w:t>.</w:t>
      </w:r>
    </w:p>
    <w:p w14:paraId="6935695A" w14:textId="77777777" w:rsidR="00BA376C" w:rsidRPr="00C206DA" w:rsidRDefault="00103DB9" w:rsidP="00AE19AB">
      <w:pPr>
        <w:pStyle w:val="Heading3"/>
      </w:pPr>
      <w:bookmarkStart w:id="96" w:name="_Toc69201393"/>
      <w:bookmarkStart w:id="97" w:name="_Toc182462586"/>
      <w:r w:rsidRPr="00C206DA">
        <w:t>Tender development</w:t>
      </w:r>
      <w:bookmarkEnd w:id="96"/>
      <w:bookmarkEnd w:id="97"/>
    </w:p>
    <w:p w14:paraId="41179FA6" w14:textId="6DB08688" w:rsidR="00BA376C" w:rsidRPr="00C206DA" w:rsidRDefault="00103DB9" w:rsidP="00AE19AB">
      <w:pPr>
        <w:pStyle w:val="ListParagraph"/>
        <w:numPr>
          <w:ilvl w:val="0"/>
          <w:numId w:val="23"/>
        </w:numPr>
        <w:rPr>
          <w:iCs/>
        </w:rPr>
      </w:pPr>
      <w:r w:rsidRPr="00C206DA">
        <w:rPr>
          <w:iCs/>
        </w:rPr>
        <w:t xml:space="preserve">Include the best practice </w:t>
      </w:r>
      <w:proofErr w:type="gramStart"/>
      <w:r w:rsidRPr="00134686">
        <w:rPr>
          <w:iCs/>
        </w:rPr>
        <w:t>principles  and</w:t>
      </w:r>
      <w:proofErr w:type="gramEnd"/>
      <w:r w:rsidRPr="00134686">
        <w:rPr>
          <w:iCs/>
        </w:rPr>
        <w:t xml:space="preserve"> other applicable QPP requirements in evaluation criteria</w:t>
      </w:r>
      <w:r w:rsidR="00A03468" w:rsidRPr="00134686">
        <w:rPr>
          <w:iCs/>
        </w:rPr>
        <w:t>.</w:t>
      </w:r>
      <w:r w:rsidR="00724787" w:rsidRPr="00134686">
        <w:rPr>
          <w:iCs/>
        </w:rPr>
        <w:t xml:space="preserve"> </w:t>
      </w:r>
    </w:p>
    <w:p w14:paraId="42548A1B" w14:textId="77777777" w:rsidR="00BA376C" w:rsidRPr="00BA376C" w:rsidRDefault="00103DB9" w:rsidP="00AE19AB">
      <w:pPr>
        <w:pStyle w:val="ListParagraph"/>
        <w:numPr>
          <w:ilvl w:val="0"/>
          <w:numId w:val="23"/>
        </w:numPr>
        <w:rPr>
          <w:iCs/>
        </w:rPr>
      </w:pPr>
      <w:r w:rsidRPr="00DA6D27">
        <w:rPr>
          <w:iCs/>
        </w:rPr>
        <w:t>Determine weightings (including seeking relevant Industry Reference Group advice) - best practice principles weighted up to 20%; where both the local benefits test and best practice principles are applied, a total combined weighting</w:t>
      </w:r>
      <w:r w:rsidRPr="00BA376C">
        <w:rPr>
          <w:iCs/>
        </w:rPr>
        <w:t xml:space="preserve"> of up to 40% may be applied</w:t>
      </w:r>
      <w:r w:rsidR="00A03468">
        <w:rPr>
          <w:iCs/>
        </w:rPr>
        <w:t>.</w:t>
      </w:r>
    </w:p>
    <w:p w14:paraId="40430FBD" w14:textId="77777777" w:rsidR="00BA376C" w:rsidRPr="00BA376C" w:rsidRDefault="00103DB9" w:rsidP="00AE19AB">
      <w:pPr>
        <w:pStyle w:val="ListParagraph"/>
        <w:numPr>
          <w:ilvl w:val="0"/>
          <w:numId w:val="23"/>
        </w:numPr>
        <w:rPr>
          <w:iCs/>
        </w:rPr>
      </w:pPr>
      <w:r w:rsidRPr="00BA376C">
        <w:rPr>
          <w:iCs/>
        </w:rPr>
        <w:t xml:space="preserve">Responsible Minister to approve, amongst others, weightings for the best practice principles and local benefits test, and strategy </w:t>
      </w:r>
      <w:r w:rsidRPr="00DA6D27">
        <w:rPr>
          <w:iCs/>
        </w:rPr>
        <w:t>for the best practice principles weightings to evaluate subcontract offers</w:t>
      </w:r>
      <w:r w:rsidR="00A03468" w:rsidRPr="00665C2B">
        <w:rPr>
          <w:iCs/>
        </w:rPr>
        <w:t>.</w:t>
      </w:r>
    </w:p>
    <w:p w14:paraId="67BFAF02" w14:textId="0BE8F737" w:rsidR="00BA376C" w:rsidRPr="00BA376C" w:rsidRDefault="00103DB9" w:rsidP="00AE19AB">
      <w:pPr>
        <w:pStyle w:val="ListParagraph"/>
        <w:numPr>
          <w:ilvl w:val="0"/>
          <w:numId w:val="23"/>
        </w:numPr>
        <w:rPr>
          <w:iCs/>
        </w:rPr>
      </w:pPr>
      <w:r w:rsidRPr="00BA376C">
        <w:rPr>
          <w:iCs/>
        </w:rPr>
        <w:t xml:space="preserve">On Ministerial approval of weightings for the best practice principles and local benefits test, Minister </w:t>
      </w:r>
      <w:bookmarkStart w:id="98" w:name="_Hlk182235386"/>
      <w:r w:rsidR="00CB3A35">
        <w:rPr>
          <w:iCs/>
        </w:rPr>
        <w:t xml:space="preserve">responsible for </w:t>
      </w:r>
      <w:r w:rsidR="007538AA">
        <w:rPr>
          <w:iCs/>
        </w:rPr>
        <w:t>g</w:t>
      </w:r>
      <w:r w:rsidR="00CB3A35">
        <w:rPr>
          <w:iCs/>
        </w:rPr>
        <w:t xml:space="preserve">overnment </w:t>
      </w:r>
      <w:r w:rsidR="007538AA">
        <w:rPr>
          <w:iCs/>
        </w:rPr>
        <w:t>p</w:t>
      </w:r>
      <w:r w:rsidR="00CB3A35">
        <w:rPr>
          <w:iCs/>
        </w:rPr>
        <w:t>rocurement</w:t>
      </w:r>
      <w:r w:rsidR="00435A0A">
        <w:rPr>
          <w:iCs/>
        </w:rPr>
        <w:t xml:space="preserve"> </w:t>
      </w:r>
      <w:bookmarkEnd w:id="98"/>
      <w:r w:rsidRPr="00BA376C">
        <w:rPr>
          <w:iCs/>
        </w:rPr>
        <w:t>to be advised of approved weightings</w:t>
      </w:r>
      <w:r w:rsidR="00A03468">
        <w:rPr>
          <w:iCs/>
        </w:rPr>
        <w:t>.</w:t>
      </w:r>
    </w:p>
    <w:p w14:paraId="3FA9C867" w14:textId="77777777" w:rsidR="00AE19AB" w:rsidRDefault="00103DB9" w:rsidP="00AE19AB">
      <w:pPr>
        <w:pStyle w:val="ListParagraph"/>
        <w:numPr>
          <w:ilvl w:val="0"/>
          <w:numId w:val="23"/>
        </w:numPr>
        <w:rPr>
          <w:iCs/>
        </w:rPr>
      </w:pPr>
      <w:r w:rsidRPr="00BA376C">
        <w:rPr>
          <w:iCs/>
        </w:rPr>
        <w:t>Include tender requirements and contract conditions to:</w:t>
      </w:r>
    </w:p>
    <w:p w14:paraId="6F79E7BD" w14:textId="2289E974" w:rsidR="00BA376C" w:rsidRPr="00134686" w:rsidRDefault="00103DB9" w:rsidP="00AE19AB">
      <w:pPr>
        <w:pStyle w:val="ListParagraph"/>
        <w:numPr>
          <w:ilvl w:val="1"/>
          <w:numId w:val="23"/>
        </w:numPr>
        <w:rPr>
          <w:iCs/>
        </w:rPr>
      </w:pPr>
      <w:r w:rsidRPr="00AE19AB">
        <w:rPr>
          <w:iCs/>
        </w:rPr>
        <w:t xml:space="preserve">apply any applicable QPP requirement (e.g. best practice </w:t>
      </w:r>
      <w:r w:rsidRPr="00134686">
        <w:rPr>
          <w:iCs/>
        </w:rPr>
        <w:t>principles)</w:t>
      </w:r>
    </w:p>
    <w:p w14:paraId="32BC3313" w14:textId="77777777" w:rsidR="00BA376C" w:rsidRPr="00BA376C" w:rsidRDefault="00103DB9" w:rsidP="00AE19AB">
      <w:pPr>
        <w:pStyle w:val="ListParagraph"/>
        <w:numPr>
          <w:ilvl w:val="1"/>
          <w:numId w:val="23"/>
        </w:numPr>
        <w:rPr>
          <w:iCs/>
        </w:rPr>
      </w:pPr>
      <w:r w:rsidRPr="00BA376C">
        <w:rPr>
          <w:iCs/>
        </w:rPr>
        <w:t>authorise the evaluation panel to obtain historical information as part of assessing tender responses</w:t>
      </w:r>
    </w:p>
    <w:p w14:paraId="79002BA7" w14:textId="77777777" w:rsidR="00BA376C" w:rsidRPr="00BA376C" w:rsidRDefault="00103DB9" w:rsidP="00AE19AB">
      <w:pPr>
        <w:pStyle w:val="ListParagraph"/>
        <w:numPr>
          <w:ilvl w:val="1"/>
          <w:numId w:val="23"/>
        </w:numPr>
        <w:rPr>
          <w:iCs/>
        </w:rPr>
      </w:pPr>
      <w:r w:rsidRPr="00BA376C">
        <w:rPr>
          <w:iCs/>
        </w:rPr>
        <w:t>note application of ESM (where applicable), and enable audit and compliance activities to occur (e.g. through deeds poll)</w:t>
      </w:r>
    </w:p>
    <w:p w14:paraId="16979803" w14:textId="77777777" w:rsidR="00BA376C" w:rsidRPr="00BA376C" w:rsidRDefault="00103DB9" w:rsidP="00AE19AB">
      <w:pPr>
        <w:pStyle w:val="ListParagraph"/>
        <w:numPr>
          <w:ilvl w:val="1"/>
          <w:numId w:val="23"/>
        </w:numPr>
        <w:rPr>
          <w:iCs/>
        </w:rPr>
      </w:pPr>
      <w:r w:rsidRPr="00BA376C">
        <w:rPr>
          <w:iCs/>
        </w:rPr>
        <w:t>incentivise compliance with tender commitments related to the best practice principles (e.g. liquidated damages)</w:t>
      </w:r>
      <w:r w:rsidR="00A03468">
        <w:rPr>
          <w:iCs/>
        </w:rPr>
        <w:t>.</w:t>
      </w:r>
      <w:r w:rsidRPr="00BA376C">
        <w:rPr>
          <w:iCs/>
        </w:rPr>
        <w:t xml:space="preserve"> </w:t>
      </w:r>
    </w:p>
    <w:p w14:paraId="50AF65C2" w14:textId="77777777" w:rsidR="00BA376C" w:rsidRPr="00BA376C" w:rsidRDefault="00103DB9" w:rsidP="00AE19AB">
      <w:pPr>
        <w:pStyle w:val="ListParagraph"/>
        <w:numPr>
          <w:ilvl w:val="0"/>
          <w:numId w:val="23"/>
        </w:numPr>
        <w:rPr>
          <w:iCs/>
        </w:rPr>
      </w:pPr>
      <w:r w:rsidRPr="00BA376C">
        <w:rPr>
          <w:iCs/>
        </w:rPr>
        <w:t>Determine evaluation methodology, key performance indicators and performance measurement approach</w:t>
      </w:r>
      <w:r w:rsidR="00A03468">
        <w:rPr>
          <w:iCs/>
        </w:rPr>
        <w:t>.</w:t>
      </w:r>
    </w:p>
    <w:p w14:paraId="73DFA5EE" w14:textId="77777777" w:rsidR="00BA376C" w:rsidRPr="00BA376C" w:rsidRDefault="00103DB9" w:rsidP="00AE19AB">
      <w:pPr>
        <w:pStyle w:val="ListParagraph"/>
        <w:numPr>
          <w:ilvl w:val="0"/>
          <w:numId w:val="23"/>
        </w:numPr>
        <w:rPr>
          <w:iCs/>
        </w:rPr>
      </w:pPr>
      <w:r w:rsidRPr="00BA376C">
        <w:rPr>
          <w:iCs/>
        </w:rPr>
        <w:t>Seek delegate approval of tender documents and associated plans</w:t>
      </w:r>
      <w:r w:rsidR="00A03468">
        <w:rPr>
          <w:iCs/>
        </w:rPr>
        <w:t>.</w:t>
      </w:r>
    </w:p>
    <w:p w14:paraId="65ED8F39" w14:textId="77777777" w:rsidR="00BA376C" w:rsidRPr="00BA376C" w:rsidRDefault="00103DB9" w:rsidP="00AE19AB">
      <w:pPr>
        <w:pStyle w:val="Heading3"/>
      </w:pPr>
      <w:bookmarkStart w:id="99" w:name="_Toc69201394"/>
      <w:bookmarkStart w:id="100" w:name="_Toc182462587"/>
      <w:r w:rsidRPr="00BA376C">
        <w:lastRenderedPageBreak/>
        <w:t>Go to market</w:t>
      </w:r>
      <w:bookmarkEnd w:id="99"/>
      <w:bookmarkEnd w:id="100"/>
    </w:p>
    <w:p w14:paraId="659C6FF9" w14:textId="77777777" w:rsidR="00BA376C" w:rsidRPr="00BA376C" w:rsidRDefault="00103DB9" w:rsidP="00AE19AB">
      <w:pPr>
        <w:pStyle w:val="ListParagraph"/>
        <w:numPr>
          <w:ilvl w:val="0"/>
          <w:numId w:val="23"/>
        </w:numPr>
        <w:rPr>
          <w:iCs/>
        </w:rPr>
      </w:pPr>
      <w:r w:rsidRPr="00BA376C">
        <w:rPr>
          <w:iCs/>
        </w:rPr>
        <w:t>Release tender and manage enquiries in accordance with approved evaluation and probity framework</w:t>
      </w:r>
      <w:r w:rsidR="00A03468">
        <w:rPr>
          <w:iCs/>
        </w:rPr>
        <w:t>.</w:t>
      </w:r>
    </w:p>
    <w:p w14:paraId="3D807D5F" w14:textId="77777777" w:rsidR="00BA376C" w:rsidRPr="00BA376C" w:rsidRDefault="00103DB9" w:rsidP="00AE19AB">
      <w:pPr>
        <w:pStyle w:val="Heading3"/>
      </w:pPr>
      <w:bookmarkStart w:id="101" w:name="_Toc69201395"/>
      <w:bookmarkStart w:id="102" w:name="_Toc182462588"/>
      <w:r w:rsidRPr="00BA376C">
        <w:t>Evaluation</w:t>
      </w:r>
      <w:bookmarkEnd w:id="101"/>
      <w:bookmarkEnd w:id="102"/>
    </w:p>
    <w:p w14:paraId="05567E28" w14:textId="77777777" w:rsidR="00BA376C" w:rsidRPr="00BA376C" w:rsidRDefault="00103DB9" w:rsidP="00AE19AB">
      <w:pPr>
        <w:pStyle w:val="ListParagraph"/>
        <w:numPr>
          <w:ilvl w:val="0"/>
          <w:numId w:val="23"/>
        </w:numPr>
        <w:rPr>
          <w:iCs/>
        </w:rPr>
      </w:pPr>
      <w:r w:rsidRPr="00BA376C">
        <w:rPr>
          <w:iCs/>
        </w:rPr>
        <w:t>Evaluate tender responses against determined weightings</w:t>
      </w:r>
      <w:r w:rsidR="00A03468">
        <w:rPr>
          <w:iCs/>
        </w:rPr>
        <w:t>.</w:t>
      </w:r>
    </w:p>
    <w:p w14:paraId="6232736F" w14:textId="77777777" w:rsidR="00BA376C" w:rsidRPr="00BA376C" w:rsidRDefault="00103DB9" w:rsidP="00AE19AB">
      <w:pPr>
        <w:pStyle w:val="Heading3"/>
      </w:pPr>
      <w:bookmarkStart w:id="103" w:name="_Toc69201396"/>
      <w:bookmarkStart w:id="104" w:name="_Toc182462589"/>
      <w:r w:rsidRPr="00BA376C">
        <w:t>Contract formation and award</w:t>
      </w:r>
      <w:bookmarkEnd w:id="103"/>
      <w:bookmarkEnd w:id="104"/>
      <w:r w:rsidRPr="00BA376C">
        <w:t xml:space="preserve"> </w:t>
      </w:r>
    </w:p>
    <w:p w14:paraId="44835E4A" w14:textId="34CD366E" w:rsidR="00BA376C" w:rsidRPr="00BA376C" w:rsidRDefault="00103DB9" w:rsidP="00AE19AB">
      <w:pPr>
        <w:pStyle w:val="ListParagraph"/>
        <w:numPr>
          <w:ilvl w:val="0"/>
          <w:numId w:val="23"/>
        </w:numPr>
        <w:rPr>
          <w:iCs/>
        </w:rPr>
      </w:pPr>
      <w:r w:rsidRPr="00BA376C">
        <w:rPr>
          <w:iCs/>
        </w:rPr>
        <w:t>Capture best practice principles commitments</w:t>
      </w:r>
      <w:r w:rsidR="004D4646">
        <w:rPr>
          <w:iCs/>
        </w:rPr>
        <w:t xml:space="preserve"> </w:t>
      </w:r>
      <w:r w:rsidRPr="00134686">
        <w:rPr>
          <w:iCs/>
        </w:rPr>
        <w:t>and other commitments made by</w:t>
      </w:r>
      <w:r w:rsidRPr="00BA376C">
        <w:rPr>
          <w:iCs/>
        </w:rPr>
        <w:t xml:space="preserve"> the preferred tenderer in the contract</w:t>
      </w:r>
      <w:r w:rsidR="00A03468">
        <w:rPr>
          <w:iCs/>
        </w:rPr>
        <w:t>.</w:t>
      </w:r>
    </w:p>
    <w:p w14:paraId="7EC5051C" w14:textId="77777777" w:rsidR="00BA376C" w:rsidRPr="00BA376C" w:rsidRDefault="00103DB9" w:rsidP="00AE19AB">
      <w:pPr>
        <w:pStyle w:val="ListParagraph"/>
        <w:numPr>
          <w:ilvl w:val="0"/>
          <w:numId w:val="23"/>
        </w:numPr>
        <w:rPr>
          <w:iCs/>
        </w:rPr>
      </w:pPr>
      <w:r w:rsidRPr="00BA376C">
        <w:rPr>
          <w:iCs/>
        </w:rPr>
        <w:t>Ensure contract contains provisions to enable audit, compliance, monitoring, reporting and measurement of commitments</w:t>
      </w:r>
      <w:r w:rsidR="00A03468">
        <w:rPr>
          <w:iCs/>
        </w:rPr>
        <w:t>.</w:t>
      </w:r>
    </w:p>
    <w:p w14:paraId="67620745" w14:textId="77777777" w:rsidR="00BA376C" w:rsidRPr="00BA376C" w:rsidRDefault="00103DB9" w:rsidP="00AE19AB">
      <w:pPr>
        <w:pStyle w:val="ListParagraph"/>
        <w:numPr>
          <w:ilvl w:val="0"/>
          <w:numId w:val="23"/>
        </w:numPr>
        <w:rPr>
          <w:iCs/>
        </w:rPr>
      </w:pPr>
      <w:r w:rsidRPr="00BA376C">
        <w:rPr>
          <w:iCs/>
        </w:rPr>
        <w:t>Consider the use of liquidated damages for non-compliance with best practice principles commitments</w:t>
      </w:r>
      <w:r w:rsidR="00A03468">
        <w:rPr>
          <w:iCs/>
        </w:rPr>
        <w:t>.</w:t>
      </w:r>
    </w:p>
    <w:p w14:paraId="36BDC4E6" w14:textId="77777777" w:rsidR="00BA376C" w:rsidRPr="00BA376C" w:rsidRDefault="00103DB9" w:rsidP="00AE19AB">
      <w:pPr>
        <w:pStyle w:val="Heading3"/>
      </w:pPr>
      <w:bookmarkStart w:id="105" w:name="_Toc69201397"/>
      <w:bookmarkStart w:id="106" w:name="_Toc182462590"/>
      <w:r w:rsidRPr="00BA376C">
        <w:t>Contract management</w:t>
      </w:r>
      <w:bookmarkEnd w:id="105"/>
      <w:bookmarkEnd w:id="106"/>
    </w:p>
    <w:p w14:paraId="29377570" w14:textId="77777777" w:rsidR="00BA376C" w:rsidRPr="00BA376C" w:rsidRDefault="00103DB9" w:rsidP="00AE19AB">
      <w:pPr>
        <w:pStyle w:val="ListParagraph"/>
        <w:numPr>
          <w:ilvl w:val="0"/>
          <w:numId w:val="23"/>
        </w:numPr>
        <w:rPr>
          <w:iCs/>
        </w:rPr>
      </w:pPr>
      <w:r w:rsidRPr="00BA376C">
        <w:rPr>
          <w:iCs/>
        </w:rPr>
        <w:t>Manage the contract to ensure fulfillment of contracted commitments</w:t>
      </w:r>
      <w:r w:rsidR="00A03468">
        <w:rPr>
          <w:iCs/>
        </w:rPr>
        <w:t>.</w:t>
      </w:r>
    </w:p>
    <w:p w14:paraId="4FA100E9" w14:textId="77777777" w:rsidR="00BA376C" w:rsidRPr="00BA376C" w:rsidRDefault="00103DB9" w:rsidP="00AE19AB">
      <w:pPr>
        <w:pStyle w:val="ListParagraph"/>
        <w:numPr>
          <w:ilvl w:val="0"/>
          <w:numId w:val="23"/>
        </w:numPr>
        <w:rPr>
          <w:iCs/>
        </w:rPr>
      </w:pPr>
      <w:r w:rsidRPr="00BA376C">
        <w:rPr>
          <w:iCs/>
        </w:rPr>
        <w:t xml:space="preserve">Document instances of non-compliance with contracted commitments and seek legal advice prior to </w:t>
      </w:r>
      <w:proofErr w:type="gramStart"/>
      <w:r w:rsidRPr="00BA376C">
        <w:rPr>
          <w:iCs/>
        </w:rPr>
        <w:t>taking action</w:t>
      </w:r>
      <w:proofErr w:type="gramEnd"/>
      <w:r w:rsidR="00A03468">
        <w:rPr>
          <w:iCs/>
        </w:rPr>
        <w:t>.</w:t>
      </w:r>
      <w:r w:rsidRPr="00BA376C">
        <w:rPr>
          <w:iCs/>
        </w:rPr>
        <w:t xml:space="preserve"> </w:t>
      </w:r>
    </w:p>
    <w:p w14:paraId="6EACBF76" w14:textId="3FADEE68" w:rsidR="00AE19AB" w:rsidRDefault="00103DB9" w:rsidP="00AE19AB">
      <w:pPr>
        <w:pStyle w:val="ListParagraph"/>
        <w:numPr>
          <w:ilvl w:val="0"/>
          <w:numId w:val="23"/>
        </w:numPr>
        <w:rPr>
          <w:iCs/>
        </w:rPr>
      </w:pPr>
      <w:r w:rsidRPr="00BA376C">
        <w:rPr>
          <w:iCs/>
        </w:rPr>
        <w:t>Ensure regular contact with the QGP Compliance Branch, D</w:t>
      </w:r>
      <w:r w:rsidR="00435A0A">
        <w:rPr>
          <w:iCs/>
        </w:rPr>
        <w:t>H</w:t>
      </w:r>
      <w:r w:rsidRPr="00BA376C">
        <w:rPr>
          <w:iCs/>
        </w:rPr>
        <w:t>PW</w:t>
      </w:r>
      <w:r w:rsidR="00A03468">
        <w:rPr>
          <w:iCs/>
        </w:rPr>
        <w:t>.</w:t>
      </w:r>
    </w:p>
    <w:p w14:paraId="743A0361" w14:textId="77777777" w:rsidR="00AE19AB" w:rsidRDefault="00103DB9">
      <w:pPr>
        <w:spacing w:line="259" w:lineRule="auto"/>
        <w:rPr>
          <w:iCs/>
        </w:rPr>
      </w:pPr>
      <w:r>
        <w:rPr>
          <w:iCs/>
        </w:rPr>
        <w:br w:type="page"/>
      </w:r>
    </w:p>
    <w:p w14:paraId="70A0A7A2" w14:textId="77777777" w:rsidR="00AE19AB" w:rsidRPr="00AE19AB" w:rsidRDefault="00103DB9" w:rsidP="00AE19AB">
      <w:pPr>
        <w:pStyle w:val="Heading1"/>
      </w:pPr>
      <w:bookmarkStart w:id="107" w:name="_Toc69201398"/>
      <w:bookmarkStart w:id="108" w:name="_Toc182462591"/>
      <w:r w:rsidRPr="00AE19AB">
        <w:lastRenderedPageBreak/>
        <w:t>Appendix 4 – Worked examples for proposing weightings</w:t>
      </w:r>
      <w:bookmarkEnd w:id="107"/>
      <w:bookmarkEnd w:id="108"/>
    </w:p>
    <w:p w14:paraId="5E4BD461" w14:textId="77777777" w:rsidR="00AE19AB" w:rsidRPr="00AE19AB" w:rsidRDefault="00103DB9" w:rsidP="00AE19AB">
      <w:pPr>
        <w:pStyle w:val="Heading2"/>
      </w:pPr>
      <w:bookmarkStart w:id="109" w:name="_Toc61528768"/>
      <w:bookmarkStart w:id="110" w:name="_Toc69201399"/>
      <w:bookmarkStart w:id="111" w:name="_Toc182462592"/>
      <w:r w:rsidRPr="00AE19AB">
        <w:t>In practice – hypothetical examples for determining approved weightings</w:t>
      </w:r>
      <w:bookmarkEnd w:id="109"/>
      <w:bookmarkEnd w:id="110"/>
      <w:bookmarkEnd w:id="111"/>
    </w:p>
    <w:p w14:paraId="1E1F880C" w14:textId="77777777" w:rsidR="00AE19AB" w:rsidRPr="00AE19AB" w:rsidRDefault="00103DB9" w:rsidP="00AE19AB">
      <w:pPr>
        <w:rPr>
          <w:iCs/>
        </w:rPr>
      </w:pPr>
      <w:r w:rsidRPr="00AE19AB">
        <w:rPr>
          <w:iCs/>
        </w:rPr>
        <w:t xml:space="preserve">Below are two hypothetical examples for determining the approved weightings for non-price criteria including the best practice principles and the local benefits test.  </w:t>
      </w:r>
    </w:p>
    <w:p w14:paraId="3AB30309" w14:textId="0E9FDA76" w:rsidR="00AE19AB" w:rsidRPr="00AE19AB" w:rsidRDefault="00103DB9" w:rsidP="00AE19AB">
      <w:pPr>
        <w:pStyle w:val="Heading3"/>
      </w:pPr>
      <w:bookmarkStart w:id="112" w:name="_Toc182462593"/>
      <w:bookmarkStart w:id="113" w:name="_Toc69201400"/>
      <w:r w:rsidRPr="00AE19AB">
        <w:t>Example 1 – Metropolitan Brisbane project</w:t>
      </w:r>
      <w:bookmarkEnd w:id="112"/>
      <w:r w:rsidRPr="00AE19AB">
        <w:t xml:space="preserve"> </w:t>
      </w:r>
      <w:bookmarkEnd w:id="113"/>
    </w:p>
    <w:p w14:paraId="00883F79" w14:textId="77777777" w:rsidR="00AE19AB" w:rsidRPr="00AE19AB" w:rsidRDefault="00103DB9" w:rsidP="00AE19AB">
      <w:pPr>
        <w:rPr>
          <w:iCs/>
        </w:rPr>
      </w:pPr>
      <w:r w:rsidRPr="00AE19AB">
        <w:rPr>
          <w:iCs/>
        </w:rPr>
        <w:t>Key features of hypothetical project:</w:t>
      </w:r>
    </w:p>
    <w:p w14:paraId="05F7B836" w14:textId="77777777" w:rsidR="00AE19AB" w:rsidRPr="00AE19AB" w:rsidRDefault="00103DB9" w:rsidP="00AE19AB">
      <w:pPr>
        <w:pStyle w:val="ListParagraph"/>
        <w:numPr>
          <w:ilvl w:val="0"/>
          <w:numId w:val="23"/>
        </w:numPr>
        <w:rPr>
          <w:iCs/>
        </w:rPr>
      </w:pPr>
      <w:r w:rsidRPr="00AE19AB">
        <w:rPr>
          <w:iCs/>
        </w:rPr>
        <w:t>major building construction project, in the BCM procurement category</w:t>
      </w:r>
    </w:p>
    <w:p w14:paraId="0B62AC64" w14:textId="77777777" w:rsidR="00AE19AB" w:rsidRPr="00AE19AB" w:rsidRDefault="00103DB9" w:rsidP="00AE19AB">
      <w:pPr>
        <w:pStyle w:val="ListParagraph"/>
        <w:numPr>
          <w:ilvl w:val="0"/>
          <w:numId w:val="23"/>
        </w:numPr>
        <w:rPr>
          <w:iCs/>
        </w:rPr>
      </w:pPr>
      <w:r w:rsidRPr="00AE19AB">
        <w:rPr>
          <w:iCs/>
        </w:rPr>
        <w:t>value of $150 million</w:t>
      </w:r>
    </w:p>
    <w:p w14:paraId="637C1CD9" w14:textId="77777777" w:rsidR="00AE19AB" w:rsidRPr="00AE19AB" w:rsidRDefault="00103DB9" w:rsidP="00AE19AB">
      <w:pPr>
        <w:pStyle w:val="ListParagraph"/>
        <w:numPr>
          <w:ilvl w:val="0"/>
          <w:numId w:val="23"/>
        </w:numPr>
        <w:rPr>
          <w:iCs/>
        </w:rPr>
      </w:pPr>
      <w:r w:rsidRPr="00AE19AB">
        <w:rPr>
          <w:iCs/>
        </w:rPr>
        <w:t>based in metropolitan Brisbane</w:t>
      </w:r>
    </w:p>
    <w:p w14:paraId="2B6BAB53" w14:textId="77777777" w:rsidR="00AE19AB" w:rsidRPr="00AE19AB" w:rsidRDefault="00103DB9" w:rsidP="00AE19AB">
      <w:pPr>
        <w:pStyle w:val="ListParagraph"/>
        <w:numPr>
          <w:ilvl w:val="0"/>
          <w:numId w:val="23"/>
        </w:numPr>
        <w:rPr>
          <w:iCs/>
        </w:rPr>
      </w:pPr>
      <w:r w:rsidRPr="00AE19AB">
        <w:rPr>
          <w:iCs/>
        </w:rPr>
        <w:t>led by a Queensland Government agency.</w:t>
      </w:r>
    </w:p>
    <w:p w14:paraId="5C9849D2" w14:textId="77777777" w:rsidR="00AE19AB" w:rsidRPr="00AE19AB" w:rsidRDefault="00103DB9" w:rsidP="00AE19AB">
      <w:pPr>
        <w:rPr>
          <w:iCs/>
        </w:rPr>
      </w:pPr>
      <w:r w:rsidRPr="00AE19AB">
        <w:rPr>
          <w:iCs/>
        </w:rPr>
        <w:t xml:space="preserve">As the project is in the BCM procurement category and is valued above $100 million, the best practice principles will apply to the project by default. </w:t>
      </w:r>
    </w:p>
    <w:p w14:paraId="5954DFBE" w14:textId="77777777" w:rsidR="00AE19AB" w:rsidRPr="00AE19AB" w:rsidRDefault="00103DB9" w:rsidP="00AE19AB">
      <w:pPr>
        <w:rPr>
          <w:iCs/>
        </w:rPr>
      </w:pPr>
      <w:r w:rsidRPr="004D4646">
        <w:rPr>
          <w:iCs/>
        </w:rPr>
        <w:t xml:space="preserve">The agency must include this project in the Queensland Government Forward Procurement Pipeline and is required to apply the best practice principles to any contract that meets </w:t>
      </w:r>
      <w:proofErr w:type="gramStart"/>
      <w:r w:rsidRPr="004D4646">
        <w:rPr>
          <w:iCs/>
        </w:rPr>
        <w:t>all of</w:t>
      </w:r>
      <w:proofErr w:type="gramEnd"/>
      <w:r w:rsidRPr="004D4646">
        <w:rPr>
          <w:iCs/>
        </w:rPr>
        <w:t xml:space="preserve"> the following three requirements outlined in the </w:t>
      </w:r>
      <w:r w:rsidR="000C3D2E" w:rsidRPr="004D4646">
        <w:rPr>
          <w:iCs/>
        </w:rPr>
        <w:t>‘</w:t>
      </w:r>
      <w:r w:rsidRPr="004D4646">
        <w:rPr>
          <w:iCs/>
        </w:rPr>
        <w:t>Applying the best practice principles to contracts</w:t>
      </w:r>
      <w:r w:rsidR="000C3D2E" w:rsidRPr="004D4646">
        <w:rPr>
          <w:iCs/>
        </w:rPr>
        <w:t>’</w:t>
      </w:r>
      <w:r w:rsidRPr="004D4646">
        <w:rPr>
          <w:iCs/>
        </w:rPr>
        <w:t xml:space="preserve"> section of this guide.</w:t>
      </w:r>
    </w:p>
    <w:p w14:paraId="3806F713" w14:textId="2B8711E2" w:rsidR="00AE19AB" w:rsidRPr="004D4646" w:rsidRDefault="00103DB9" w:rsidP="00134686">
      <w:pPr>
        <w:rPr>
          <w:iCs/>
        </w:rPr>
      </w:pPr>
      <w:r w:rsidRPr="004D4646">
        <w:rPr>
          <w:iCs/>
        </w:rPr>
        <w:t>As part of project and procurement planning, the agency must</w:t>
      </w:r>
      <w:r w:rsidR="004D4646">
        <w:rPr>
          <w:iCs/>
        </w:rPr>
        <w:t xml:space="preserve"> </w:t>
      </w:r>
      <w:r w:rsidRPr="004D4646">
        <w:rPr>
          <w:iCs/>
        </w:rPr>
        <w:t xml:space="preserve">use the Queensland Government PQC system to engage contractors. </w:t>
      </w:r>
    </w:p>
    <w:p w14:paraId="7E4168CB" w14:textId="7DECC338" w:rsidR="00AE19AB" w:rsidRPr="00AE19AB" w:rsidRDefault="00103DB9" w:rsidP="00AE19AB">
      <w:pPr>
        <w:rPr>
          <w:iCs/>
        </w:rPr>
      </w:pPr>
      <w:r w:rsidRPr="00DA6D27">
        <w:rPr>
          <w:iCs/>
        </w:rPr>
        <w:t xml:space="preserve">In determining weightings for the best practice principles and </w:t>
      </w:r>
      <w:r w:rsidRPr="00FC46F9">
        <w:rPr>
          <w:iCs/>
        </w:rPr>
        <w:t>local benefits test, advice is sought from the BCM category council and the related Industry Reference Group. In terms of the best practice principles, it is determined that work health and safety</w:t>
      </w:r>
      <w:r w:rsidR="00FC46F9" w:rsidRPr="00134686">
        <w:rPr>
          <w:iCs/>
        </w:rPr>
        <w:t xml:space="preserve"> is the </w:t>
      </w:r>
      <w:r w:rsidRPr="00FC46F9">
        <w:rPr>
          <w:iCs/>
        </w:rPr>
        <w:t>key area of focus.</w:t>
      </w:r>
    </w:p>
    <w:p w14:paraId="2E5E2C3B" w14:textId="77777777" w:rsidR="00AE19AB" w:rsidRPr="00AE19AB" w:rsidRDefault="00103DB9" w:rsidP="00AE19AB">
      <w:pPr>
        <w:rPr>
          <w:iCs/>
        </w:rPr>
      </w:pPr>
      <w:r w:rsidRPr="00AE19AB">
        <w:rPr>
          <w:iCs/>
        </w:rPr>
        <w:t xml:space="preserve">This example has a combined weighting of local benefits and best practice principles of 30 per cent.  It is noted that the maximum weighting for local benefits and best practice principles is 40 per cent. </w:t>
      </w:r>
    </w:p>
    <w:p w14:paraId="6DD3B044" w14:textId="77777777" w:rsidR="00AE19AB" w:rsidRPr="00FC46F9" w:rsidRDefault="00103DB9" w:rsidP="00AE19AB">
      <w:pPr>
        <w:rPr>
          <w:iCs/>
        </w:rPr>
      </w:pPr>
      <w:r w:rsidRPr="00FC46F9">
        <w:rPr>
          <w:iCs/>
        </w:rPr>
        <w:t>Assumptions:</w:t>
      </w:r>
    </w:p>
    <w:p w14:paraId="6D1E22ED" w14:textId="468FBC20" w:rsidR="00AE19AB" w:rsidRPr="00FC46F9" w:rsidRDefault="00103DB9" w:rsidP="00AE19AB">
      <w:pPr>
        <w:pStyle w:val="ListParagraph"/>
        <w:numPr>
          <w:ilvl w:val="0"/>
          <w:numId w:val="23"/>
        </w:numPr>
        <w:rPr>
          <w:iCs/>
        </w:rPr>
      </w:pPr>
      <w:r w:rsidRPr="00FC46F9">
        <w:rPr>
          <w:iCs/>
        </w:rPr>
        <w:t>local benefits weighted at 10 per cent to focus on use of local suppliers, and to avoid duplication as workplace health</w:t>
      </w:r>
      <w:r w:rsidR="00FC46F9" w:rsidRPr="00FC46F9">
        <w:rPr>
          <w:iCs/>
        </w:rPr>
        <w:t xml:space="preserve"> and safety</w:t>
      </w:r>
      <w:r w:rsidRPr="00FC46F9">
        <w:rPr>
          <w:iCs/>
        </w:rPr>
        <w:t xml:space="preserve"> element</w:t>
      </w:r>
      <w:r w:rsidR="00FC46F9" w:rsidRPr="00134686">
        <w:rPr>
          <w:iCs/>
        </w:rPr>
        <w:t xml:space="preserve"> is</w:t>
      </w:r>
      <w:r w:rsidRPr="00FC46F9">
        <w:rPr>
          <w:iCs/>
        </w:rPr>
        <w:t xml:space="preserve"> covered by the application of the best practice principles </w:t>
      </w:r>
    </w:p>
    <w:p w14:paraId="382ED29D" w14:textId="77777777" w:rsidR="00AE19AB" w:rsidRPr="00FC46F9" w:rsidRDefault="00103DB9" w:rsidP="00AE19AB">
      <w:pPr>
        <w:pStyle w:val="ListParagraph"/>
        <w:numPr>
          <w:ilvl w:val="0"/>
          <w:numId w:val="23"/>
        </w:numPr>
        <w:rPr>
          <w:iCs/>
        </w:rPr>
      </w:pPr>
      <w:r w:rsidRPr="00FC46F9">
        <w:rPr>
          <w:iCs/>
        </w:rPr>
        <w:t>following on from the above, the best practice principles receive a 20 per cent weighting</w:t>
      </w:r>
    </w:p>
    <w:p w14:paraId="775295E4" w14:textId="6B0C018F" w:rsidR="00AE19AB" w:rsidRPr="00FC46F9" w:rsidRDefault="00103DB9" w:rsidP="00AE19AB">
      <w:pPr>
        <w:pStyle w:val="ListParagraph"/>
        <w:numPr>
          <w:ilvl w:val="0"/>
          <w:numId w:val="23"/>
        </w:numPr>
        <w:rPr>
          <w:iCs/>
        </w:rPr>
      </w:pPr>
      <w:r w:rsidRPr="00FC46F9">
        <w:rPr>
          <w:iCs/>
        </w:rPr>
        <w:t>sub-criteria for the best practice principles gives a higher recognition to work health and safety as th</w:t>
      </w:r>
      <w:r w:rsidR="00FC46F9" w:rsidRPr="00134686">
        <w:rPr>
          <w:iCs/>
        </w:rPr>
        <w:t>is</w:t>
      </w:r>
      <w:r w:rsidRPr="00FC46F9">
        <w:rPr>
          <w:iCs/>
        </w:rPr>
        <w:t xml:space="preserve"> </w:t>
      </w:r>
      <w:r w:rsidR="00FC46F9" w:rsidRPr="00134686">
        <w:rPr>
          <w:iCs/>
        </w:rPr>
        <w:t>is a</w:t>
      </w:r>
      <w:r w:rsidRPr="00FC46F9">
        <w:rPr>
          <w:iCs/>
        </w:rPr>
        <w:t xml:space="preserve"> key consideration for this hypothetical project</w:t>
      </w:r>
    </w:p>
    <w:p w14:paraId="364D4942" w14:textId="77777777" w:rsidR="00AE19AB" w:rsidRPr="00AE19AB" w:rsidRDefault="00103DB9" w:rsidP="00AE19AB">
      <w:pPr>
        <w:pStyle w:val="ListParagraph"/>
        <w:numPr>
          <w:ilvl w:val="0"/>
          <w:numId w:val="23"/>
        </w:numPr>
        <w:rPr>
          <w:iCs/>
        </w:rPr>
      </w:pPr>
      <w:r w:rsidRPr="00AE19AB">
        <w:rPr>
          <w:iCs/>
        </w:rPr>
        <w:t xml:space="preserve">the weightings assigned for the local benefits test and best practice principles, and strategy to apply best practice principles weightings </w:t>
      </w:r>
      <w:r w:rsidRPr="00665C2B">
        <w:rPr>
          <w:iCs/>
        </w:rPr>
        <w:t xml:space="preserve">to </w:t>
      </w:r>
      <w:r w:rsidRPr="00DA6D27">
        <w:rPr>
          <w:iCs/>
        </w:rPr>
        <w:t>selection of</w:t>
      </w:r>
      <w:r w:rsidRPr="00665C2B">
        <w:rPr>
          <w:iCs/>
        </w:rPr>
        <w:t xml:space="preserve"> subcontracts</w:t>
      </w:r>
      <w:r w:rsidRPr="00AE19AB">
        <w:rPr>
          <w:iCs/>
        </w:rPr>
        <w:t xml:space="preserve"> are approved by the responsible Minister</w:t>
      </w:r>
    </w:p>
    <w:p w14:paraId="4E004583" w14:textId="77777777" w:rsidR="00AE19AB" w:rsidRPr="00AE19AB" w:rsidRDefault="00103DB9" w:rsidP="00AE19AB">
      <w:pPr>
        <w:pStyle w:val="ListParagraph"/>
        <w:numPr>
          <w:ilvl w:val="0"/>
          <w:numId w:val="23"/>
        </w:numPr>
        <w:rPr>
          <w:iCs/>
        </w:rPr>
      </w:pPr>
      <w:r w:rsidRPr="00AE19AB">
        <w:rPr>
          <w:b/>
          <w:bCs/>
          <w:iCs/>
        </w:rPr>
        <w:t>Table 7</w:t>
      </w:r>
      <w:r w:rsidRPr="00AE19AB">
        <w:rPr>
          <w:iCs/>
        </w:rPr>
        <w:t xml:space="preserve"> below shows the weightings used noting that the percentage weighting for the evaluation criteria was non-price criteria 70 per cent; price 30 per cent</w:t>
      </w:r>
      <w:r>
        <w:rPr>
          <w:iCs/>
          <w:vertAlign w:val="superscript"/>
        </w:rPr>
        <w:footnoteReference w:id="11"/>
      </w:r>
      <w:r w:rsidRPr="00AE19AB">
        <w:rPr>
          <w:iCs/>
        </w:rPr>
        <w:t xml:space="preserve">. Alternatively, a points process could be used for weighting the evaluation criteria. </w:t>
      </w:r>
    </w:p>
    <w:p w14:paraId="7B7798F0" w14:textId="77777777" w:rsidR="00A8039A" w:rsidRDefault="00103DB9" w:rsidP="00555ECC">
      <w:pPr>
        <w:keepNext/>
        <w:keepLines/>
        <w:rPr>
          <w:iCs/>
        </w:rPr>
      </w:pPr>
      <w:r w:rsidRPr="00AE19AB">
        <w:rPr>
          <w:b/>
          <w:iCs/>
        </w:rPr>
        <w:lastRenderedPageBreak/>
        <w:t>Table 7:</w:t>
      </w:r>
      <w:r w:rsidRPr="00AE19AB">
        <w:rPr>
          <w:iCs/>
        </w:rPr>
        <w:t xml:space="preserve"> Example 1 - </w:t>
      </w:r>
      <w:proofErr w:type="gramStart"/>
      <w:r w:rsidRPr="00AE19AB">
        <w:rPr>
          <w:iCs/>
        </w:rPr>
        <w:t>Non-price</w:t>
      </w:r>
      <w:proofErr w:type="gramEnd"/>
      <w:r w:rsidRPr="00AE19AB">
        <w:rPr>
          <w:iCs/>
        </w:rPr>
        <w:t xml:space="preserve"> evaluation criteria weightings and sub-criteria weightings</w:t>
      </w: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blBorders>
        <w:tblLook w:val="04A0" w:firstRow="1" w:lastRow="0" w:firstColumn="1" w:lastColumn="0" w:noHBand="0" w:noVBand="1"/>
      </w:tblPr>
      <w:tblGrid>
        <w:gridCol w:w="1461"/>
        <w:gridCol w:w="1150"/>
        <w:gridCol w:w="5578"/>
        <w:gridCol w:w="1157"/>
      </w:tblGrid>
      <w:tr w:rsidR="00044A45" w14:paraId="14EFB46C" w14:textId="77777777" w:rsidTr="0066544A">
        <w:trPr>
          <w:tblHeader/>
        </w:trPr>
        <w:tc>
          <w:tcPr>
            <w:tcW w:w="78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36333409" w14:textId="77777777" w:rsidR="00D811DE" w:rsidRPr="00BA376C" w:rsidRDefault="00103DB9" w:rsidP="00555ECC">
            <w:pPr>
              <w:keepNext/>
              <w:keepLines/>
              <w:rPr>
                <w:b/>
                <w:iCs/>
                <w:color w:val="FFFFFF" w:themeColor="background1"/>
              </w:rPr>
            </w:pPr>
            <w:r>
              <w:rPr>
                <w:b/>
                <w:iCs/>
                <w:color w:val="FFFFFF" w:themeColor="background1"/>
              </w:rPr>
              <w:t>Non-price evaluation criteria</w:t>
            </w:r>
          </w:p>
        </w:tc>
        <w:tc>
          <w:tcPr>
            <w:tcW w:w="61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6560190E" w14:textId="77777777" w:rsidR="00D811DE" w:rsidRPr="00BA376C" w:rsidRDefault="00103DB9" w:rsidP="00555ECC">
            <w:pPr>
              <w:keepNext/>
              <w:keepLines/>
              <w:rPr>
                <w:b/>
                <w:iCs/>
                <w:color w:val="FFFFFF" w:themeColor="background1"/>
              </w:rPr>
            </w:pPr>
            <w:r>
              <w:rPr>
                <w:b/>
                <w:iCs/>
                <w:color w:val="FFFFFF" w:themeColor="background1"/>
              </w:rPr>
              <w:t>Example weighting</w:t>
            </w:r>
          </w:p>
        </w:tc>
        <w:tc>
          <w:tcPr>
            <w:tcW w:w="298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32AE1B7B" w14:textId="77777777" w:rsidR="00D811DE" w:rsidRPr="00BA376C" w:rsidRDefault="00103DB9" w:rsidP="00555ECC">
            <w:pPr>
              <w:keepNext/>
              <w:keepLines/>
              <w:rPr>
                <w:b/>
                <w:iCs/>
                <w:color w:val="FFFFFF" w:themeColor="background1"/>
              </w:rPr>
            </w:pPr>
            <w:r>
              <w:rPr>
                <w:b/>
                <w:iCs/>
                <w:color w:val="FFFFFF" w:themeColor="background1"/>
              </w:rPr>
              <w:t>Example sub-criteria and focus areas for response</w:t>
            </w:r>
          </w:p>
        </w:tc>
        <w:tc>
          <w:tcPr>
            <w:tcW w:w="61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08080" w:themeFill="background1" w:themeFillShade="80"/>
            <w:vAlign w:val="center"/>
          </w:tcPr>
          <w:p w14:paraId="5C611F04" w14:textId="77777777" w:rsidR="00D811DE" w:rsidRPr="00BA376C" w:rsidRDefault="00103DB9" w:rsidP="00555ECC">
            <w:pPr>
              <w:keepNext/>
              <w:keepLines/>
              <w:rPr>
                <w:b/>
                <w:iCs/>
                <w:color w:val="FFFFFF" w:themeColor="background1"/>
              </w:rPr>
            </w:pPr>
            <w:r>
              <w:rPr>
                <w:b/>
                <w:iCs/>
                <w:color w:val="FFFFFF" w:themeColor="background1"/>
              </w:rPr>
              <w:t>Example sub-criteria weighting</w:t>
            </w:r>
          </w:p>
        </w:tc>
      </w:tr>
      <w:tr w:rsidR="00044A45" w14:paraId="5D924B8B" w14:textId="77777777" w:rsidTr="0066544A">
        <w:trPr>
          <w:trHeight w:val="894"/>
        </w:trPr>
        <w:tc>
          <w:tcPr>
            <w:tcW w:w="782" w:type="pct"/>
            <w:vMerge w:val="restart"/>
            <w:tcBorders>
              <w:top w:val="single" w:sz="4" w:space="0" w:color="FFFFFF" w:themeColor="background1"/>
              <w:left w:val="single" w:sz="4" w:space="0" w:color="F2F2F2" w:themeColor="background1" w:themeShade="F2"/>
              <w:right w:val="single" w:sz="4" w:space="0" w:color="BFBFBF" w:themeColor="background1" w:themeShade="BF"/>
            </w:tcBorders>
            <w:shd w:val="clear" w:color="auto" w:fill="BFBFBF" w:themeFill="background1" w:themeFillShade="BF"/>
            <w:vAlign w:val="center"/>
          </w:tcPr>
          <w:p w14:paraId="4AE95027" w14:textId="77777777" w:rsidR="0020309C" w:rsidRPr="0066544A" w:rsidRDefault="00103DB9" w:rsidP="001248C8">
            <w:pPr>
              <w:rPr>
                <w:b/>
                <w:iCs/>
              </w:rPr>
            </w:pPr>
            <w:r>
              <w:rPr>
                <w:b/>
                <w:iCs/>
              </w:rPr>
              <w:t>Best practice principles</w:t>
            </w:r>
          </w:p>
        </w:tc>
        <w:tc>
          <w:tcPr>
            <w:tcW w:w="615" w:type="pct"/>
            <w:vMerge w:val="restart"/>
            <w:tcBorders>
              <w:top w:val="single" w:sz="4" w:space="0" w:color="FFFFFF" w:themeColor="background1"/>
              <w:left w:val="single" w:sz="4" w:space="0" w:color="BFBFBF" w:themeColor="background1" w:themeShade="BF"/>
            </w:tcBorders>
            <w:shd w:val="clear" w:color="auto" w:fill="F2F2F2" w:themeFill="background1" w:themeFillShade="F2"/>
            <w:vAlign w:val="center"/>
          </w:tcPr>
          <w:p w14:paraId="73B4B57E" w14:textId="77777777" w:rsidR="0020309C" w:rsidRPr="0066544A" w:rsidRDefault="00103DB9" w:rsidP="0066544A">
            <w:pPr>
              <w:rPr>
                <w:iCs/>
              </w:rPr>
            </w:pPr>
            <w:r>
              <w:rPr>
                <w:iCs/>
              </w:rPr>
              <w:t>20%</w:t>
            </w:r>
          </w:p>
        </w:tc>
        <w:tc>
          <w:tcPr>
            <w:tcW w:w="2984"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76A38DFE" w14:textId="77777777" w:rsidR="0020309C" w:rsidRPr="00AE19AB" w:rsidRDefault="00103DB9" w:rsidP="00D811DE">
            <w:pPr>
              <w:rPr>
                <w:b/>
                <w:bCs/>
                <w:iCs/>
              </w:rPr>
            </w:pPr>
            <w:r w:rsidRPr="00AE19AB">
              <w:rPr>
                <w:b/>
                <w:bCs/>
                <w:iCs/>
              </w:rPr>
              <w:t>Workplace Health and Safety</w:t>
            </w:r>
          </w:p>
          <w:p w14:paraId="7B8B46C6" w14:textId="77777777" w:rsidR="0020309C" w:rsidRPr="00BA376C" w:rsidRDefault="00103DB9" w:rsidP="00D811DE">
            <w:pPr>
              <w:rPr>
                <w:iCs/>
              </w:rPr>
            </w:pPr>
            <w:r w:rsidRPr="00AE19AB">
              <w:rPr>
                <w:iCs/>
              </w:rPr>
              <w:t>Provide a detailed Work Health and Safety Management Plan outlining your approach to managing health and safety throughout all phases of this project.</w:t>
            </w:r>
          </w:p>
        </w:tc>
        <w:tc>
          <w:tcPr>
            <w:tcW w:w="619"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292723B9" w14:textId="46A4B293" w:rsidR="0020309C" w:rsidRPr="00BA376C" w:rsidRDefault="00FC46F9" w:rsidP="001248C8">
            <w:pPr>
              <w:rPr>
                <w:iCs/>
              </w:rPr>
            </w:pPr>
            <w:r>
              <w:rPr>
                <w:iCs/>
              </w:rPr>
              <w:t>40</w:t>
            </w:r>
            <w:r w:rsidR="00103DB9" w:rsidRPr="00AE19AB">
              <w:rPr>
                <w:iCs/>
              </w:rPr>
              <w:t>%</w:t>
            </w:r>
          </w:p>
        </w:tc>
      </w:tr>
      <w:tr w:rsidR="00044A45" w14:paraId="51210682" w14:textId="77777777" w:rsidTr="0066544A">
        <w:trPr>
          <w:trHeight w:val="1395"/>
        </w:trPr>
        <w:tc>
          <w:tcPr>
            <w:tcW w:w="782" w:type="pct"/>
            <w:vMerge/>
            <w:tcBorders>
              <w:left w:val="single" w:sz="4" w:space="0" w:color="F2F2F2" w:themeColor="background1" w:themeShade="F2"/>
              <w:right w:val="single" w:sz="4" w:space="0" w:color="BFBFBF" w:themeColor="background1" w:themeShade="BF"/>
            </w:tcBorders>
            <w:shd w:val="clear" w:color="auto" w:fill="BFBFBF" w:themeFill="background1" w:themeFillShade="BF"/>
          </w:tcPr>
          <w:p w14:paraId="5068FD72" w14:textId="77777777" w:rsidR="0020309C" w:rsidRDefault="0020309C" w:rsidP="001248C8">
            <w:pPr>
              <w:rPr>
                <w:b/>
                <w:iCs/>
              </w:rPr>
            </w:pPr>
          </w:p>
        </w:tc>
        <w:tc>
          <w:tcPr>
            <w:tcW w:w="615" w:type="pct"/>
            <w:vMerge/>
            <w:tcBorders>
              <w:left w:val="single" w:sz="4" w:space="0" w:color="BFBFBF" w:themeColor="background1" w:themeShade="BF"/>
            </w:tcBorders>
            <w:shd w:val="clear" w:color="auto" w:fill="F2F2F2" w:themeFill="background1" w:themeFillShade="F2"/>
          </w:tcPr>
          <w:p w14:paraId="66CFD21B" w14:textId="77777777" w:rsidR="0020309C" w:rsidRDefault="0020309C" w:rsidP="00D811DE">
            <w:pPr>
              <w:rPr>
                <w:iCs/>
              </w:rPr>
            </w:pPr>
          </w:p>
        </w:tc>
        <w:tc>
          <w:tcPr>
            <w:tcW w:w="2984"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4DBC51E4" w14:textId="77777777" w:rsidR="0020309C" w:rsidRPr="00AE19AB" w:rsidRDefault="00103DB9" w:rsidP="00D811DE">
            <w:pPr>
              <w:rPr>
                <w:b/>
                <w:bCs/>
                <w:iCs/>
              </w:rPr>
            </w:pPr>
            <w:r w:rsidRPr="00AE19AB">
              <w:rPr>
                <w:b/>
                <w:bCs/>
                <w:iCs/>
              </w:rPr>
              <w:t>Workplace Health and Safety</w:t>
            </w:r>
          </w:p>
          <w:p w14:paraId="4C9E69E0" w14:textId="77777777" w:rsidR="0020309C" w:rsidRPr="00BA376C" w:rsidRDefault="00103DB9" w:rsidP="00D811DE">
            <w:pPr>
              <w:rPr>
                <w:iCs/>
              </w:rPr>
            </w:pPr>
            <w:r w:rsidRPr="00AE19AB">
              <w:rPr>
                <w:iCs/>
              </w:rPr>
              <w:t xml:space="preserve">Detail if your company has been subject to any adverse findings or penalties pursuant to the </w:t>
            </w:r>
            <w:r w:rsidRPr="00AE19AB">
              <w:rPr>
                <w:i/>
                <w:iCs/>
              </w:rPr>
              <w:t>Work Health and Safety Act 2011.</w:t>
            </w:r>
          </w:p>
        </w:tc>
        <w:tc>
          <w:tcPr>
            <w:tcW w:w="619"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74508C3D" w14:textId="37639356" w:rsidR="0020309C" w:rsidRPr="00BA376C" w:rsidRDefault="00FC46F9" w:rsidP="001248C8">
            <w:pPr>
              <w:rPr>
                <w:iCs/>
              </w:rPr>
            </w:pPr>
            <w:r>
              <w:rPr>
                <w:iCs/>
              </w:rPr>
              <w:t>40</w:t>
            </w:r>
            <w:r w:rsidR="00103DB9" w:rsidRPr="00AE19AB">
              <w:rPr>
                <w:iCs/>
              </w:rPr>
              <w:t>%</w:t>
            </w:r>
          </w:p>
        </w:tc>
      </w:tr>
      <w:tr w:rsidR="00044A45" w14:paraId="69B470E6" w14:textId="77777777" w:rsidTr="0066544A">
        <w:trPr>
          <w:trHeight w:val="1395"/>
        </w:trPr>
        <w:tc>
          <w:tcPr>
            <w:tcW w:w="782" w:type="pct"/>
            <w:vMerge/>
            <w:tcBorders>
              <w:left w:val="single" w:sz="4" w:space="0" w:color="F2F2F2" w:themeColor="background1" w:themeShade="F2"/>
              <w:right w:val="single" w:sz="4" w:space="0" w:color="BFBFBF" w:themeColor="background1" w:themeShade="BF"/>
            </w:tcBorders>
            <w:shd w:val="clear" w:color="auto" w:fill="BFBFBF" w:themeFill="background1" w:themeFillShade="BF"/>
          </w:tcPr>
          <w:p w14:paraId="7B0376ED" w14:textId="77777777" w:rsidR="0020309C" w:rsidRDefault="0020309C" w:rsidP="001248C8">
            <w:pPr>
              <w:rPr>
                <w:b/>
                <w:iCs/>
              </w:rPr>
            </w:pPr>
          </w:p>
        </w:tc>
        <w:tc>
          <w:tcPr>
            <w:tcW w:w="615" w:type="pct"/>
            <w:vMerge/>
            <w:tcBorders>
              <w:left w:val="single" w:sz="4" w:space="0" w:color="BFBFBF" w:themeColor="background1" w:themeShade="BF"/>
            </w:tcBorders>
            <w:shd w:val="clear" w:color="auto" w:fill="F2F2F2" w:themeFill="background1" w:themeFillShade="F2"/>
          </w:tcPr>
          <w:p w14:paraId="4EF649CC" w14:textId="77777777" w:rsidR="0020309C" w:rsidRDefault="0020309C" w:rsidP="00D811DE">
            <w:pPr>
              <w:rPr>
                <w:iCs/>
              </w:rPr>
            </w:pPr>
          </w:p>
        </w:tc>
        <w:tc>
          <w:tcPr>
            <w:tcW w:w="2984"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5979FFEF" w14:textId="77777777" w:rsidR="0020309C" w:rsidRPr="00AE19AB" w:rsidRDefault="00103DB9" w:rsidP="00D811DE">
            <w:pPr>
              <w:rPr>
                <w:b/>
                <w:bCs/>
                <w:iCs/>
              </w:rPr>
            </w:pPr>
            <w:r w:rsidRPr="00AE19AB">
              <w:rPr>
                <w:b/>
                <w:bCs/>
                <w:iCs/>
              </w:rPr>
              <w:t>Commitment to apprentices and trainees</w:t>
            </w:r>
          </w:p>
          <w:p w14:paraId="385C5216" w14:textId="77777777" w:rsidR="0020309C" w:rsidRPr="00BA376C" w:rsidRDefault="00103DB9" w:rsidP="00D811DE">
            <w:pPr>
              <w:rPr>
                <w:iCs/>
              </w:rPr>
            </w:pPr>
            <w:r w:rsidRPr="00AE19AB">
              <w:rPr>
                <w:iCs/>
              </w:rPr>
              <w:t>Detail the number of current employees (apprentices &amp; trainees) anticipated to be working on this contract. For any new employees include, proposed start dates, anticipated length of employment, how they will be engaged.</w:t>
            </w:r>
          </w:p>
        </w:tc>
        <w:tc>
          <w:tcPr>
            <w:tcW w:w="619"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48C5DCCD" w14:textId="02180D3B" w:rsidR="0020309C" w:rsidRPr="00BA376C" w:rsidRDefault="00FC46F9" w:rsidP="001248C8">
            <w:pPr>
              <w:rPr>
                <w:iCs/>
              </w:rPr>
            </w:pPr>
            <w:r>
              <w:rPr>
                <w:iCs/>
              </w:rPr>
              <w:t>20</w:t>
            </w:r>
            <w:r w:rsidR="00103DB9" w:rsidRPr="00AE19AB">
              <w:rPr>
                <w:iCs/>
              </w:rPr>
              <w:t>%</w:t>
            </w:r>
          </w:p>
        </w:tc>
      </w:tr>
      <w:tr w:rsidR="00044A45" w14:paraId="75220268" w14:textId="77777777" w:rsidTr="0066544A">
        <w:trPr>
          <w:trHeight w:val="1395"/>
        </w:trPr>
        <w:tc>
          <w:tcPr>
            <w:tcW w:w="782" w:type="pct"/>
            <w:vMerge/>
            <w:tcBorders>
              <w:left w:val="single" w:sz="4" w:space="0" w:color="F2F2F2" w:themeColor="background1" w:themeShade="F2"/>
              <w:right w:val="single" w:sz="4" w:space="0" w:color="BFBFBF" w:themeColor="background1" w:themeShade="BF"/>
            </w:tcBorders>
            <w:shd w:val="clear" w:color="auto" w:fill="BFBFBF" w:themeFill="background1" w:themeFillShade="BF"/>
          </w:tcPr>
          <w:p w14:paraId="4A5C0BE2" w14:textId="77777777" w:rsidR="0020309C" w:rsidRDefault="0020309C" w:rsidP="001248C8">
            <w:pPr>
              <w:rPr>
                <w:b/>
                <w:iCs/>
              </w:rPr>
            </w:pPr>
          </w:p>
        </w:tc>
        <w:tc>
          <w:tcPr>
            <w:tcW w:w="615" w:type="pct"/>
            <w:vMerge/>
            <w:tcBorders>
              <w:left w:val="single" w:sz="4" w:space="0" w:color="BFBFBF" w:themeColor="background1" w:themeShade="BF"/>
            </w:tcBorders>
            <w:shd w:val="clear" w:color="auto" w:fill="F2F2F2" w:themeFill="background1" w:themeFillShade="F2"/>
          </w:tcPr>
          <w:p w14:paraId="4840BF42" w14:textId="77777777" w:rsidR="0020309C" w:rsidRDefault="0020309C" w:rsidP="00D811DE">
            <w:pPr>
              <w:rPr>
                <w:iCs/>
              </w:rPr>
            </w:pPr>
          </w:p>
        </w:tc>
        <w:tc>
          <w:tcPr>
            <w:tcW w:w="2984"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5B0B06F5" w14:textId="4C802DA3" w:rsidR="0020309C" w:rsidRPr="00134686" w:rsidRDefault="00103DB9" w:rsidP="00D811DE">
            <w:pPr>
              <w:rPr>
                <w:iCs/>
              </w:rPr>
            </w:pPr>
            <w:r w:rsidRPr="00134686">
              <w:rPr>
                <w:iCs/>
              </w:rPr>
              <w:t xml:space="preserve"> </w:t>
            </w:r>
          </w:p>
        </w:tc>
        <w:tc>
          <w:tcPr>
            <w:tcW w:w="619"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5116DCD0" w14:textId="6C63B63B" w:rsidR="0020309C" w:rsidRPr="00134686" w:rsidRDefault="0020309C" w:rsidP="001248C8">
            <w:pPr>
              <w:rPr>
                <w:iCs/>
              </w:rPr>
            </w:pPr>
          </w:p>
        </w:tc>
      </w:tr>
      <w:tr w:rsidR="00044A45" w14:paraId="37560277" w14:textId="77777777" w:rsidTr="0066544A">
        <w:trPr>
          <w:trHeight w:val="732"/>
        </w:trPr>
        <w:tc>
          <w:tcPr>
            <w:tcW w:w="782" w:type="pct"/>
            <w:vMerge/>
            <w:tcBorders>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BFBFBF" w:themeFill="background1" w:themeFillShade="BF"/>
          </w:tcPr>
          <w:p w14:paraId="34C350BC" w14:textId="77777777" w:rsidR="0020309C" w:rsidRDefault="0020309C" w:rsidP="001248C8">
            <w:pPr>
              <w:rPr>
                <w:b/>
                <w:iCs/>
              </w:rPr>
            </w:pPr>
          </w:p>
        </w:tc>
        <w:tc>
          <w:tcPr>
            <w:tcW w:w="615" w:type="pct"/>
            <w:vMerge/>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43FD0700" w14:textId="77777777" w:rsidR="0020309C" w:rsidRDefault="0020309C" w:rsidP="00D811DE">
            <w:pPr>
              <w:rPr>
                <w:iCs/>
              </w:rPr>
            </w:pPr>
          </w:p>
        </w:tc>
        <w:tc>
          <w:tcPr>
            <w:tcW w:w="2984"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58D185BC" w14:textId="74224031" w:rsidR="0020309C" w:rsidRPr="00134686" w:rsidRDefault="0020309C" w:rsidP="00134686"/>
        </w:tc>
        <w:tc>
          <w:tcPr>
            <w:tcW w:w="619" w:type="pct"/>
            <w:tcBorders>
              <w:top w:val="single" w:sz="4" w:space="0" w:color="FFFFFF" w:themeColor="background1"/>
              <w:left w:val="single" w:sz="4" w:space="0" w:color="BFBFBF" w:themeColor="background1" w:themeShade="BF"/>
              <w:bottom w:val="single" w:sz="4" w:space="0" w:color="BFBFBF" w:themeColor="background1" w:themeShade="BF"/>
            </w:tcBorders>
            <w:shd w:val="clear" w:color="auto" w:fill="F2F2F2" w:themeFill="background1" w:themeFillShade="F2"/>
          </w:tcPr>
          <w:p w14:paraId="79045C4E" w14:textId="6105959B" w:rsidR="0020309C" w:rsidRPr="00134686" w:rsidRDefault="0020309C" w:rsidP="001248C8">
            <w:pPr>
              <w:rPr>
                <w:iCs/>
              </w:rPr>
            </w:pPr>
          </w:p>
        </w:tc>
      </w:tr>
      <w:tr w:rsidR="00044A45" w14:paraId="3D035058" w14:textId="77777777" w:rsidTr="0066544A">
        <w:trPr>
          <w:trHeight w:val="632"/>
        </w:trPr>
        <w:tc>
          <w:tcPr>
            <w:tcW w:w="782" w:type="pct"/>
            <w:vMerge w:val="restart"/>
            <w:tcBorders>
              <w:top w:val="single" w:sz="4" w:space="0" w:color="F2F2F2" w:themeColor="background1" w:themeShade="F2"/>
              <w:left w:val="single" w:sz="4" w:space="0" w:color="F2F2F2" w:themeColor="background1" w:themeShade="F2"/>
              <w:right w:val="single" w:sz="4" w:space="0" w:color="BFBFBF" w:themeColor="background1" w:themeShade="BF"/>
            </w:tcBorders>
            <w:shd w:val="clear" w:color="auto" w:fill="BFBFBF" w:themeFill="background1" w:themeFillShade="BF"/>
            <w:vAlign w:val="center"/>
          </w:tcPr>
          <w:p w14:paraId="79A958E2" w14:textId="77777777" w:rsidR="001248C8" w:rsidRPr="00BA376C" w:rsidRDefault="00103DB9" w:rsidP="001248C8">
            <w:pPr>
              <w:rPr>
                <w:b/>
                <w:iCs/>
              </w:rPr>
            </w:pPr>
            <w:r>
              <w:rPr>
                <w:b/>
                <w:iCs/>
              </w:rPr>
              <w:t>Local benefits</w:t>
            </w:r>
          </w:p>
        </w:tc>
        <w:tc>
          <w:tcPr>
            <w:tcW w:w="615" w:type="pct"/>
            <w:vMerge w:val="restart"/>
            <w:tcBorders>
              <w:top w:val="single" w:sz="4" w:space="0" w:color="BFBFBF" w:themeColor="background1" w:themeShade="BF"/>
              <w:left w:val="single" w:sz="4" w:space="0" w:color="BFBFBF" w:themeColor="background1" w:themeShade="BF"/>
            </w:tcBorders>
            <w:shd w:val="clear" w:color="auto" w:fill="F2F2F2" w:themeFill="background1" w:themeFillShade="F2"/>
            <w:vAlign w:val="center"/>
          </w:tcPr>
          <w:p w14:paraId="70C3C525" w14:textId="77777777" w:rsidR="001248C8" w:rsidRPr="0066544A" w:rsidRDefault="00103DB9" w:rsidP="0066544A">
            <w:pPr>
              <w:rPr>
                <w:iCs/>
              </w:rPr>
            </w:pPr>
            <w:r>
              <w:rPr>
                <w:iCs/>
              </w:rPr>
              <w:t>10%</w:t>
            </w:r>
          </w:p>
        </w:tc>
        <w:tc>
          <w:tcPr>
            <w:tcW w:w="2984"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216EFDC7" w14:textId="77777777" w:rsidR="001248C8" w:rsidRPr="0066544A" w:rsidRDefault="00103DB9" w:rsidP="0066544A">
            <w:pPr>
              <w:rPr>
                <w:iCs/>
              </w:rPr>
            </w:pPr>
            <w:r w:rsidRPr="00AE19AB">
              <w:rPr>
                <w:iCs/>
              </w:rPr>
              <w:t>Provide evidence of your company’s commitment to and relevant experience in local industry participation strategies.</w:t>
            </w:r>
          </w:p>
        </w:tc>
        <w:tc>
          <w:tcPr>
            <w:tcW w:w="619"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3A0A6CF9" w14:textId="77777777" w:rsidR="001248C8" w:rsidRPr="0066544A" w:rsidRDefault="00103DB9" w:rsidP="0066544A">
            <w:pPr>
              <w:rPr>
                <w:iCs/>
              </w:rPr>
            </w:pPr>
            <w:r w:rsidRPr="00AE19AB">
              <w:rPr>
                <w:iCs/>
              </w:rPr>
              <w:t>40%</w:t>
            </w:r>
          </w:p>
        </w:tc>
      </w:tr>
      <w:tr w:rsidR="00044A45" w14:paraId="3B01D86A" w14:textId="77777777" w:rsidTr="001248C8">
        <w:trPr>
          <w:trHeight w:val="1666"/>
        </w:trPr>
        <w:tc>
          <w:tcPr>
            <w:tcW w:w="782" w:type="pct"/>
            <w:vMerge/>
            <w:tcBorders>
              <w:left w:val="single" w:sz="4" w:space="0" w:color="F2F2F2" w:themeColor="background1" w:themeShade="F2"/>
              <w:right w:val="single" w:sz="4" w:space="0" w:color="BFBFBF" w:themeColor="background1" w:themeShade="BF"/>
            </w:tcBorders>
            <w:shd w:val="clear" w:color="auto" w:fill="BFBFBF" w:themeFill="background1" w:themeFillShade="BF"/>
          </w:tcPr>
          <w:p w14:paraId="432E092C" w14:textId="77777777" w:rsidR="001248C8" w:rsidRDefault="001248C8" w:rsidP="001248C8">
            <w:pPr>
              <w:rPr>
                <w:b/>
                <w:iCs/>
              </w:rPr>
            </w:pPr>
          </w:p>
        </w:tc>
        <w:tc>
          <w:tcPr>
            <w:tcW w:w="615" w:type="pct"/>
            <w:vMerge/>
            <w:tcBorders>
              <w:left w:val="single" w:sz="4" w:space="0" w:color="BFBFBF" w:themeColor="background1" w:themeShade="BF"/>
            </w:tcBorders>
            <w:shd w:val="clear" w:color="auto" w:fill="F2F2F2" w:themeFill="background1" w:themeFillShade="F2"/>
          </w:tcPr>
          <w:p w14:paraId="5822C895" w14:textId="77777777" w:rsidR="001248C8" w:rsidRDefault="001248C8" w:rsidP="00D811DE">
            <w:pPr>
              <w:rPr>
                <w:iCs/>
              </w:rPr>
            </w:pPr>
          </w:p>
        </w:tc>
        <w:tc>
          <w:tcPr>
            <w:tcW w:w="2984"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4975CFAC" w14:textId="77777777" w:rsidR="001248C8" w:rsidRPr="00AE19AB" w:rsidRDefault="00103DB9" w:rsidP="00D811DE">
            <w:pPr>
              <w:rPr>
                <w:iCs/>
              </w:rPr>
            </w:pPr>
            <w:r w:rsidRPr="00AE19AB">
              <w:rPr>
                <w:iCs/>
              </w:rPr>
              <w:t xml:space="preserve">Provide a completed </w:t>
            </w:r>
            <w:r w:rsidRPr="00AE19AB">
              <w:rPr>
                <w:i/>
                <w:iCs/>
              </w:rPr>
              <w:t xml:space="preserve">Statement of Intent* </w:t>
            </w:r>
            <w:r w:rsidRPr="00AE19AB">
              <w:rPr>
                <w:iCs/>
              </w:rPr>
              <w:t xml:space="preserve">with your submission outlining your likely strategies as Managing Contractor to maximise the use of local businesses, create local employment opportunities and form local alliances </w:t>
            </w:r>
            <w:proofErr w:type="gramStart"/>
            <w:r w:rsidRPr="00AE19AB">
              <w:rPr>
                <w:iCs/>
              </w:rPr>
              <w:t>in an effort to</w:t>
            </w:r>
            <w:proofErr w:type="gramEnd"/>
            <w:r w:rsidRPr="00AE19AB">
              <w:rPr>
                <w:iCs/>
              </w:rPr>
              <w:t xml:space="preserve"> encourage more effective and adaptive approaches to maximising local benefits.</w:t>
            </w:r>
          </w:p>
          <w:p w14:paraId="47ACE7A1" w14:textId="77777777" w:rsidR="001248C8" w:rsidRPr="0066544A" w:rsidRDefault="00103DB9" w:rsidP="0066544A">
            <w:pPr>
              <w:rPr>
                <w:iCs/>
              </w:rPr>
            </w:pPr>
            <w:r w:rsidRPr="00AE19AB">
              <w:rPr>
                <w:iCs/>
              </w:rPr>
              <w:t xml:space="preserve">*For further information on the </w:t>
            </w:r>
            <w:r w:rsidRPr="00AE19AB">
              <w:rPr>
                <w:i/>
                <w:iCs/>
              </w:rPr>
              <w:t>Statement of Intent</w:t>
            </w:r>
            <w:r w:rsidRPr="00AE19AB">
              <w:rPr>
                <w:iCs/>
              </w:rPr>
              <w:t xml:space="preserve">, please refer to the </w:t>
            </w:r>
            <w:hyperlink r:id="rId38" w:history="1">
              <w:r w:rsidRPr="00AE19AB">
                <w:rPr>
                  <w:rStyle w:val="Hyperlink"/>
                  <w:iCs/>
                </w:rPr>
                <w:t>guidelines and templates</w:t>
              </w:r>
            </w:hyperlink>
            <w:r w:rsidRPr="00AE19AB">
              <w:rPr>
                <w:iCs/>
              </w:rPr>
              <w:t xml:space="preserve"> published by the Department of State Development, </w:t>
            </w:r>
            <w:r>
              <w:rPr>
                <w:iCs/>
              </w:rPr>
              <w:t>Infrastructure, Local Government and Planning.</w:t>
            </w:r>
          </w:p>
        </w:tc>
        <w:tc>
          <w:tcPr>
            <w:tcW w:w="619"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4F3EE5C7" w14:textId="77777777" w:rsidR="001248C8" w:rsidRPr="0066544A" w:rsidRDefault="00103DB9" w:rsidP="0066544A">
            <w:pPr>
              <w:rPr>
                <w:iCs/>
              </w:rPr>
            </w:pPr>
            <w:r w:rsidRPr="00AE19AB">
              <w:rPr>
                <w:iCs/>
              </w:rPr>
              <w:t>30%</w:t>
            </w:r>
          </w:p>
        </w:tc>
      </w:tr>
      <w:tr w:rsidR="00044A45" w14:paraId="7A6C2E5F" w14:textId="77777777" w:rsidTr="001248C8">
        <w:trPr>
          <w:trHeight w:val="496"/>
        </w:trPr>
        <w:tc>
          <w:tcPr>
            <w:tcW w:w="782" w:type="pct"/>
            <w:vMerge/>
            <w:tcBorders>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BFBFBF" w:themeFill="background1" w:themeFillShade="BF"/>
          </w:tcPr>
          <w:p w14:paraId="50D81B2C" w14:textId="77777777" w:rsidR="001248C8" w:rsidRDefault="001248C8" w:rsidP="001248C8">
            <w:pPr>
              <w:rPr>
                <w:b/>
                <w:iCs/>
              </w:rPr>
            </w:pPr>
          </w:p>
        </w:tc>
        <w:tc>
          <w:tcPr>
            <w:tcW w:w="615" w:type="pct"/>
            <w:vMerge/>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0D973776" w14:textId="77777777" w:rsidR="001248C8" w:rsidRDefault="001248C8" w:rsidP="00D811DE">
            <w:pPr>
              <w:rPr>
                <w:iCs/>
              </w:rPr>
            </w:pPr>
          </w:p>
        </w:tc>
        <w:tc>
          <w:tcPr>
            <w:tcW w:w="2984"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7D37607D" w14:textId="77777777" w:rsidR="001248C8" w:rsidRPr="00AE19AB" w:rsidRDefault="00103DB9" w:rsidP="00D811DE">
            <w:pPr>
              <w:rPr>
                <w:iCs/>
              </w:rPr>
            </w:pPr>
            <w:r w:rsidRPr="00AE19AB">
              <w:rPr>
                <w:iCs/>
              </w:rPr>
              <w:t>Provide a preliminary trade package analysis on likely opportunities for the businesses in the region.</w:t>
            </w:r>
          </w:p>
        </w:tc>
        <w:tc>
          <w:tcPr>
            <w:tcW w:w="619"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07D8535" w14:textId="77777777" w:rsidR="001248C8" w:rsidRPr="00AE19AB" w:rsidRDefault="00103DB9" w:rsidP="00D811DE">
            <w:pPr>
              <w:rPr>
                <w:iCs/>
              </w:rPr>
            </w:pPr>
            <w:r w:rsidRPr="00AE19AB">
              <w:rPr>
                <w:iCs/>
              </w:rPr>
              <w:t>30%</w:t>
            </w:r>
          </w:p>
        </w:tc>
      </w:tr>
      <w:tr w:rsidR="00044A45" w14:paraId="0CB61B05" w14:textId="77777777" w:rsidTr="0066544A">
        <w:trPr>
          <w:trHeight w:val="518"/>
        </w:trPr>
        <w:tc>
          <w:tcPr>
            <w:tcW w:w="782" w:type="pct"/>
            <w:vMerge w:val="restart"/>
            <w:tcBorders>
              <w:top w:val="single" w:sz="4" w:space="0" w:color="F2F2F2" w:themeColor="background1" w:themeShade="F2"/>
              <w:left w:val="single" w:sz="4" w:space="0" w:color="F2F2F2" w:themeColor="background1" w:themeShade="F2"/>
              <w:right w:val="single" w:sz="4" w:space="0" w:color="BFBFBF" w:themeColor="background1" w:themeShade="BF"/>
            </w:tcBorders>
            <w:shd w:val="clear" w:color="auto" w:fill="BFBFBF" w:themeFill="background1" w:themeFillShade="BF"/>
            <w:vAlign w:val="center"/>
          </w:tcPr>
          <w:p w14:paraId="233BF6D6" w14:textId="77777777" w:rsidR="001248C8" w:rsidRPr="00BA376C" w:rsidRDefault="00103DB9" w:rsidP="001248C8">
            <w:pPr>
              <w:rPr>
                <w:b/>
                <w:iCs/>
              </w:rPr>
            </w:pPr>
            <w:r>
              <w:rPr>
                <w:b/>
                <w:iCs/>
              </w:rPr>
              <w:t>Experience and capability</w:t>
            </w:r>
          </w:p>
          <w:p w14:paraId="4E794130" w14:textId="77777777" w:rsidR="001248C8" w:rsidRPr="00BA376C" w:rsidRDefault="001248C8" w:rsidP="001248C8">
            <w:pPr>
              <w:rPr>
                <w:b/>
                <w:iCs/>
              </w:rPr>
            </w:pPr>
          </w:p>
        </w:tc>
        <w:tc>
          <w:tcPr>
            <w:tcW w:w="615" w:type="pct"/>
            <w:vMerge w:val="restart"/>
            <w:tcBorders>
              <w:top w:val="single" w:sz="4" w:space="0" w:color="BFBFBF" w:themeColor="background1" w:themeShade="BF"/>
              <w:left w:val="single" w:sz="4" w:space="0" w:color="BFBFBF" w:themeColor="background1" w:themeShade="BF"/>
            </w:tcBorders>
            <w:shd w:val="clear" w:color="auto" w:fill="F2F2F2" w:themeFill="background1" w:themeFillShade="F2"/>
            <w:vAlign w:val="center"/>
          </w:tcPr>
          <w:p w14:paraId="1CC6B94A" w14:textId="77777777" w:rsidR="001248C8" w:rsidRPr="00BA376C" w:rsidRDefault="00103DB9" w:rsidP="0066544A">
            <w:pPr>
              <w:rPr>
                <w:iCs/>
              </w:rPr>
            </w:pPr>
            <w:r>
              <w:rPr>
                <w:iCs/>
              </w:rPr>
              <w:t>25%</w:t>
            </w:r>
          </w:p>
        </w:tc>
        <w:tc>
          <w:tcPr>
            <w:tcW w:w="2984"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EBF001C" w14:textId="77777777" w:rsidR="001248C8" w:rsidRPr="0066544A" w:rsidRDefault="00103DB9" w:rsidP="0066544A">
            <w:pPr>
              <w:rPr>
                <w:iCs/>
              </w:rPr>
            </w:pPr>
            <w:r w:rsidRPr="00AE19AB">
              <w:rPr>
                <w:iCs/>
              </w:rPr>
              <w:t xml:space="preserve">Outline the key team members and their experience in the delivery of similar projects.  Include a 1-page curriculum vitae for each person.  Please also include details of the </w:t>
            </w:r>
            <w:r w:rsidRPr="00AE19AB">
              <w:rPr>
                <w:iCs/>
              </w:rPr>
              <w:lastRenderedPageBreak/>
              <w:t>Principal Consultancy team and provide details as outlined above.</w:t>
            </w:r>
          </w:p>
        </w:tc>
        <w:tc>
          <w:tcPr>
            <w:tcW w:w="619"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073FCCD" w14:textId="77777777" w:rsidR="001248C8" w:rsidRPr="0066544A" w:rsidRDefault="00103DB9" w:rsidP="0066544A">
            <w:pPr>
              <w:rPr>
                <w:iCs/>
              </w:rPr>
            </w:pPr>
            <w:r w:rsidRPr="00AE19AB">
              <w:rPr>
                <w:iCs/>
              </w:rPr>
              <w:lastRenderedPageBreak/>
              <w:t>20%</w:t>
            </w:r>
          </w:p>
        </w:tc>
      </w:tr>
      <w:tr w:rsidR="00044A45" w14:paraId="5905452F" w14:textId="77777777" w:rsidTr="001248C8">
        <w:trPr>
          <w:trHeight w:val="518"/>
        </w:trPr>
        <w:tc>
          <w:tcPr>
            <w:tcW w:w="782" w:type="pct"/>
            <w:vMerge/>
            <w:tcBorders>
              <w:left w:val="single" w:sz="4" w:space="0" w:color="F2F2F2" w:themeColor="background1" w:themeShade="F2"/>
              <w:right w:val="single" w:sz="4" w:space="0" w:color="BFBFBF" w:themeColor="background1" w:themeShade="BF"/>
            </w:tcBorders>
            <w:shd w:val="clear" w:color="auto" w:fill="BFBFBF" w:themeFill="background1" w:themeFillShade="BF"/>
          </w:tcPr>
          <w:p w14:paraId="41373A6D" w14:textId="77777777" w:rsidR="001248C8" w:rsidRDefault="001248C8" w:rsidP="001248C8">
            <w:pPr>
              <w:rPr>
                <w:b/>
                <w:iCs/>
              </w:rPr>
            </w:pPr>
          </w:p>
        </w:tc>
        <w:tc>
          <w:tcPr>
            <w:tcW w:w="615" w:type="pct"/>
            <w:vMerge/>
            <w:tcBorders>
              <w:left w:val="single" w:sz="4" w:space="0" w:color="BFBFBF" w:themeColor="background1" w:themeShade="BF"/>
            </w:tcBorders>
            <w:shd w:val="clear" w:color="auto" w:fill="F2F2F2" w:themeFill="background1" w:themeFillShade="F2"/>
          </w:tcPr>
          <w:p w14:paraId="7EC9367E" w14:textId="77777777" w:rsidR="001248C8" w:rsidRDefault="001248C8" w:rsidP="00D811DE">
            <w:pPr>
              <w:rPr>
                <w:iCs/>
              </w:rPr>
            </w:pPr>
          </w:p>
        </w:tc>
        <w:tc>
          <w:tcPr>
            <w:tcW w:w="2984"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083C8A3F" w14:textId="77777777" w:rsidR="001248C8" w:rsidRPr="0066544A" w:rsidRDefault="00103DB9" w:rsidP="0066544A">
            <w:pPr>
              <w:rPr>
                <w:iCs/>
              </w:rPr>
            </w:pPr>
            <w:r w:rsidRPr="00AE19AB">
              <w:rPr>
                <w:iCs/>
              </w:rPr>
              <w:t>Provide an outline of projects of a similar value and complexity completed by your company in the last 10 years including a brief outline of each project, its location, length of engagement, staff responsible for the project and referees.</w:t>
            </w:r>
          </w:p>
        </w:tc>
        <w:tc>
          <w:tcPr>
            <w:tcW w:w="619"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159039C7" w14:textId="77777777" w:rsidR="001248C8" w:rsidRPr="0066544A" w:rsidRDefault="00103DB9" w:rsidP="0066544A">
            <w:pPr>
              <w:rPr>
                <w:iCs/>
              </w:rPr>
            </w:pPr>
            <w:r w:rsidRPr="00AE19AB">
              <w:rPr>
                <w:iCs/>
              </w:rPr>
              <w:t>60%</w:t>
            </w:r>
          </w:p>
        </w:tc>
      </w:tr>
      <w:tr w:rsidR="00044A45" w14:paraId="64C85D60" w14:textId="77777777" w:rsidTr="001248C8">
        <w:trPr>
          <w:trHeight w:val="518"/>
        </w:trPr>
        <w:tc>
          <w:tcPr>
            <w:tcW w:w="782" w:type="pct"/>
            <w:vMerge/>
            <w:tcBorders>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BFBFBF" w:themeFill="background1" w:themeFillShade="BF"/>
          </w:tcPr>
          <w:p w14:paraId="3A3BF743" w14:textId="77777777" w:rsidR="001248C8" w:rsidRDefault="001248C8" w:rsidP="001248C8">
            <w:pPr>
              <w:rPr>
                <w:b/>
                <w:iCs/>
              </w:rPr>
            </w:pPr>
          </w:p>
        </w:tc>
        <w:tc>
          <w:tcPr>
            <w:tcW w:w="615" w:type="pct"/>
            <w:vMerge/>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2989A15A" w14:textId="77777777" w:rsidR="001248C8" w:rsidRDefault="001248C8" w:rsidP="00D811DE">
            <w:pPr>
              <w:rPr>
                <w:iCs/>
              </w:rPr>
            </w:pPr>
          </w:p>
        </w:tc>
        <w:tc>
          <w:tcPr>
            <w:tcW w:w="2984"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1FFFD5A2" w14:textId="77777777" w:rsidR="001248C8" w:rsidRPr="0066544A" w:rsidRDefault="00103DB9" w:rsidP="0066544A">
            <w:pPr>
              <w:rPr>
                <w:iCs/>
              </w:rPr>
            </w:pPr>
            <w:r w:rsidRPr="00AE19AB">
              <w:rPr>
                <w:iCs/>
              </w:rPr>
              <w:t>Detail any significant challenges and how they were managed in the projects outlined above.  Also outline any value additions made by your company.</w:t>
            </w:r>
          </w:p>
        </w:tc>
        <w:tc>
          <w:tcPr>
            <w:tcW w:w="619"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34B37CD2" w14:textId="77777777" w:rsidR="001248C8" w:rsidRPr="0066544A" w:rsidRDefault="00103DB9" w:rsidP="0066544A">
            <w:pPr>
              <w:rPr>
                <w:iCs/>
              </w:rPr>
            </w:pPr>
            <w:r w:rsidRPr="00AE19AB">
              <w:rPr>
                <w:iCs/>
              </w:rPr>
              <w:t>20%</w:t>
            </w:r>
          </w:p>
        </w:tc>
      </w:tr>
      <w:tr w:rsidR="00044A45" w14:paraId="45B40241" w14:textId="77777777" w:rsidTr="0066544A">
        <w:trPr>
          <w:trHeight w:val="518"/>
        </w:trPr>
        <w:tc>
          <w:tcPr>
            <w:tcW w:w="782" w:type="pct"/>
            <w:vMerge w:val="restart"/>
            <w:tcBorders>
              <w:top w:val="single" w:sz="4" w:space="0" w:color="F2F2F2" w:themeColor="background1" w:themeShade="F2"/>
              <w:left w:val="single" w:sz="4" w:space="0" w:color="F2F2F2" w:themeColor="background1" w:themeShade="F2"/>
              <w:right w:val="single" w:sz="4" w:space="0" w:color="BFBFBF" w:themeColor="background1" w:themeShade="BF"/>
            </w:tcBorders>
            <w:shd w:val="clear" w:color="auto" w:fill="BFBFBF" w:themeFill="background1" w:themeFillShade="BF"/>
            <w:vAlign w:val="center"/>
          </w:tcPr>
          <w:p w14:paraId="75B32AF3" w14:textId="77777777" w:rsidR="001248C8" w:rsidRDefault="00103DB9" w:rsidP="001248C8">
            <w:pPr>
              <w:rPr>
                <w:b/>
                <w:iCs/>
              </w:rPr>
            </w:pPr>
            <w:r>
              <w:rPr>
                <w:b/>
                <w:iCs/>
              </w:rPr>
              <w:t>Methodology</w:t>
            </w:r>
          </w:p>
        </w:tc>
        <w:tc>
          <w:tcPr>
            <w:tcW w:w="615" w:type="pct"/>
            <w:vMerge w:val="restart"/>
            <w:tcBorders>
              <w:top w:val="single" w:sz="4" w:space="0" w:color="BFBFBF" w:themeColor="background1" w:themeShade="BF"/>
              <w:left w:val="single" w:sz="4" w:space="0" w:color="BFBFBF" w:themeColor="background1" w:themeShade="BF"/>
            </w:tcBorders>
            <w:shd w:val="clear" w:color="auto" w:fill="F2F2F2" w:themeFill="background1" w:themeFillShade="F2"/>
            <w:vAlign w:val="center"/>
          </w:tcPr>
          <w:p w14:paraId="7583AEE0" w14:textId="77777777" w:rsidR="001248C8" w:rsidRDefault="00103DB9" w:rsidP="00D811DE">
            <w:pPr>
              <w:rPr>
                <w:iCs/>
              </w:rPr>
            </w:pPr>
            <w:r>
              <w:rPr>
                <w:iCs/>
              </w:rPr>
              <w:t>15%</w:t>
            </w:r>
          </w:p>
        </w:tc>
        <w:tc>
          <w:tcPr>
            <w:tcW w:w="2984"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57D8B84A" w14:textId="77777777" w:rsidR="001248C8" w:rsidRPr="0066544A" w:rsidRDefault="00103DB9" w:rsidP="0066544A">
            <w:pPr>
              <w:rPr>
                <w:iCs/>
              </w:rPr>
            </w:pPr>
            <w:r w:rsidRPr="00AE19AB">
              <w:rPr>
                <w:iCs/>
              </w:rPr>
              <w:t>Provide a Master Program and commentary which incorporates strategies to manage program risks and achieve completion within budget and by the target date.</w:t>
            </w:r>
          </w:p>
        </w:tc>
        <w:tc>
          <w:tcPr>
            <w:tcW w:w="619"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3022E4E5" w14:textId="77777777" w:rsidR="001248C8" w:rsidRPr="0066544A" w:rsidRDefault="00103DB9" w:rsidP="0066544A">
            <w:pPr>
              <w:rPr>
                <w:iCs/>
              </w:rPr>
            </w:pPr>
            <w:r w:rsidRPr="00AE19AB">
              <w:rPr>
                <w:iCs/>
              </w:rPr>
              <w:t>60%</w:t>
            </w:r>
          </w:p>
        </w:tc>
      </w:tr>
      <w:tr w:rsidR="00044A45" w14:paraId="2CF3A2C4" w14:textId="77777777" w:rsidTr="001248C8">
        <w:trPr>
          <w:trHeight w:val="518"/>
        </w:trPr>
        <w:tc>
          <w:tcPr>
            <w:tcW w:w="782" w:type="pct"/>
            <w:vMerge/>
            <w:tcBorders>
              <w:left w:val="single" w:sz="4" w:space="0" w:color="F2F2F2" w:themeColor="background1" w:themeShade="F2"/>
              <w:bottom w:val="single" w:sz="4" w:space="0" w:color="F2F2F2" w:themeColor="background1" w:themeShade="F2"/>
              <w:right w:val="single" w:sz="4" w:space="0" w:color="BFBFBF" w:themeColor="background1" w:themeShade="BF"/>
            </w:tcBorders>
            <w:shd w:val="clear" w:color="auto" w:fill="BFBFBF" w:themeFill="background1" w:themeFillShade="BF"/>
          </w:tcPr>
          <w:p w14:paraId="25C74205" w14:textId="77777777" w:rsidR="001248C8" w:rsidRDefault="001248C8" w:rsidP="001248C8">
            <w:pPr>
              <w:rPr>
                <w:b/>
                <w:iCs/>
              </w:rPr>
            </w:pPr>
          </w:p>
        </w:tc>
        <w:tc>
          <w:tcPr>
            <w:tcW w:w="615" w:type="pct"/>
            <w:vMerge/>
            <w:tcBorders>
              <w:left w:val="single" w:sz="4" w:space="0" w:color="BFBFBF" w:themeColor="background1" w:themeShade="BF"/>
              <w:bottom w:val="single" w:sz="4" w:space="0" w:color="BFBFBF" w:themeColor="background1" w:themeShade="BF"/>
            </w:tcBorders>
            <w:shd w:val="clear" w:color="auto" w:fill="F2F2F2" w:themeFill="background1" w:themeFillShade="F2"/>
          </w:tcPr>
          <w:p w14:paraId="683C7B74" w14:textId="77777777" w:rsidR="001248C8" w:rsidRDefault="001248C8" w:rsidP="00D811DE">
            <w:pPr>
              <w:rPr>
                <w:iCs/>
              </w:rPr>
            </w:pPr>
          </w:p>
        </w:tc>
        <w:tc>
          <w:tcPr>
            <w:tcW w:w="2984"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7358EF79" w14:textId="77777777" w:rsidR="001248C8" w:rsidRPr="00AE19AB" w:rsidRDefault="00103DB9" w:rsidP="00D811DE">
            <w:pPr>
              <w:rPr>
                <w:iCs/>
              </w:rPr>
            </w:pPr>
            <w:r w:rsidRPr="00AE19AB">
              <w:rPr>
                <w:iCs/>
              </w:rPr>
              <w:t>Provide a Project Management Plan that includes:</w:t>
            </w:r>
          </w:p>
          <w:p w14:paraId="35E7E919" w14:textId="77777777" w:rsidR="001248C8" w:rsidRPr="00AE19AB" w:rsidRDefault="00103DB9" w:rsidP="00D811DE">
            <w:pPr>
              <w:pStyle w:val="ListParagraph"/>
              <w:numPr>
                <w:ilvl w:val="0"/>
                <w:numId w:val="24"/>
              </w:numPr>
              <w:rPr>
                <w:iCs/>
              </w:rPr>
            </w:pPr>
            <w:r w:rsidRPr="00AE19AB">
              <w:rPr>
                <w:iCs/>
              </w:rPr>
              <w:t>A preliminary risk management plan addressing all stages of work</w:t>
            </w:r>
          </w:p>
          <w:p w14:paraId="1CE62C8A" w14:textId="77777777" w:rsidR="001248C8" w:rsidRPr="00AE19AB" w:rsidRDefault="00103DB9" w:rsidP="00D811DE">
            <w:pPr>
              <w:pStyle w:val="ListParagraph"/>
              <w:numPr>
                <w:ilvl w:val="0"/>
                <w:numId w:val="24"/>
              </w:numPr>
              <w:rPr>
                <w:iCs/>
              </w:rPr>
            </w:pPr>
            <w:r w:rsidRPr="00AE19AB">
              <w:rPr>
                <w:iCs/>
              </w:rPr>
              <w:t>A preliminary design management plan detailing the process for the management of the design including building services, trade package documentation bundling and value management process</w:t>
            </w:r>
          </w:p>
          <w:p w14:paraId="45477669" w14:textId="77777777" w:rsidR="001248C8" w:rsidRDefault="00103DB9" w:rsidP="00D811DE">
            <w:pPr>
              <w:pStyle w:val="ListParagraph"/>
              <w:numPr>
                <w:ilvl w:val="0"/>
                <w:numId w:val="24"/>
              </w:numPr>
              <w:rPr>
                <w:iCs/>
              </w:rPr>
            </w:pPr>
            <w:r w:rsidRPr="00AE19AB">
              <w:rPr>
                <w:iCs/>
              </w:rPr>
              <w:t>A preliminary traffic management plan that will ensure the minimisation of disruption to local road networks</w:t>
            </w:r>
          </w:p>
          <w:p w14:paraId="61967089" w14:textId="77777777" w:rsidR="001248C8" w:rsidRPr="0066544A" w:rsidRDefault="00103DB9" w:rsidP="0066544A">
            <w:pPr>
              <w:pStyle w:val="ListParagraph"/>
              <w:numPr>
                <w:ilvl w:val="0"/>
                <w:numId w:val="24"/>
              </w:numPr>
              <w:rPr>
                <w:iCs/>
              </w:rPr>
            </w:pPr>
            <w:r w:rsidRPr="0066544A">
              <w:rPr>
                <w:iCs/>
              </w:rPr>
              <w:t>A preliminary building handover plan detailing all deliverables required for practical completion and detailing the plan for managing defects.</w:t>
            </w:r>
          </w:p>
        </w:tc>
        <w:tc>
          <w:tcPr>
            <w:tcW w:w="619" w:type="pct"/>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tcPr>
          <w:p w14:paraId="6368222A" w14:textId="77777777" w:rsidR="001248C8" w:rsidRPr="00D811DE" w:rsidRDefault="00103DB9" w:rsidP="00D811DE">
            <w:pPr>
              <w:rPr>
                <w:iCs/>
              </w:rPr>
            </w:pPr>
            <w:r w:rsidRPr="00AE19AB">
              <w:rPr>
                <w:iCs/>
              </w:rPr>
              <w:t>40%</w:t>
            </w:r>
          </w:p>
        </w:tc>
      </w:tr>
    </w:tbl>
    <w:p w14:paraId="19B7F633" w14:textId="77777777" w:rsidR="00AE19AB" w:rsidRPr="00AE19AB" w:rsidRDefault="00103DB9" w:rsidP="00AE19AB">
      <w:pPr>
        <w:rPr>
          <w:b/>
          <w:i/>
          <w:iCs/>
        </w:rPr>
      </w:pPr>
      <w:r w:rsidRPr="00AE19AB">
        <w:rPr>
          <w:b/>
          <w:i/>
          <w:iCs/>
        </w:rPr>
        <w:br w:type="page"/>
      </w:r>
    </w:p>
    <w:p w14:paraId="416CB075" w14:textId="2E493440" w:rsidR="00AE19AB" w:rsidRPr="00AE19AB" w:rsidRDefault="00103DB9" w:rsidP="004D41CD">
      <w:pPr>
        <w:pStyle w:val="Heading3"/>
      </w:pPr>
      <w:bookmarkStart w:id="114" w:name="_Toc182462594"/>
      <w:bookmarkStart w:id="115" w:name="_Toc69201401"/>
      <w:r w:rsidRPr="00AE19AB">
        <w:lastRenderedPageBreak/>
        <w:t>Example 2 – Regional Queensland project</w:t>
      </w:r>
      <w:bookmarkEnd w:id="114"/>
      <w:r w:rsidRPr="00AE19AB">
        <w:t xml:space="preserve"> </w:t>
      </w:r>
      <w:bookmarkEnd w:id="115"/>
    </w:p>
    <w:p w14:paraId="01BA5F9C" w14:textId="77777777" w:rsidR="004D41CD" w:rsidRPr="004D41CD" w:rsidRDefault="00103DB9" w:rsidP="004D41CD">
      <w:pPr>
        <w:rPr>
          <w:iCs/>
        </w:rPr>
      </w:pPr>
      <w:r w:rsidRPr="004D41CD">
        <w:rPr>
          <w:iCs/>
        </w:rPr>
        <w:t>Key features of hypothetical project:</w:t>
      </w:r>
    </w:p>
    <w:p w14:paraId="65F294BF" w14:textId="77777777" w:rsidR="004D41CD" w:rsidRPr="004D41CD" w:rsidRDefault="00103DB9" w:rsidP="004D41CD">
      <w:pPr>
        <w:pStyle w:val="ListParagraph"/>
        <w:numPr>
          <w:ilvl w:val="0"/>
          <w:numId w:val="23"/>
        </w:numPr>
        <w:rPr>
          <w:iCs/>
        </w:rPr>
      </w:pPr>
      <w:r w:rsidRPr="004D41CD">
        <w:rPr>
          <w:iCs/>
        </w:rPr>
        <w:t>major building construction project, in the BCM procurement category</w:t>
      </w:r>
    </w:p>
    <w:p w14:paraId="2641629F" w14:textId="77777777" w:rsidR="004D41CD" w:rsidRPr="004D41CD" w:rsidRDefault="00103DB9" w:rsidP="004D41CD">
      <w:pPr>
        <w:pStyle w:val="ListParagraph"/>
        <w:numPr>
          <w:ilvl w:val="0"/>
          <w:numId w:val="23"/>
        </w:numPr>
        <w:rPr>
          <w:iCs/>
        </w:rPr>
      </w:pPr>
      <w:r w:rsidRPr="004D41CD">
        <w:rPr>
          <w:iCs/>
        </w:rPr>
        <w:t>value of $80 million</w:t>
      </w:r>
    </w:p>
    <w:p w14:paraId="35712236" w14:textId="77777777" w:rsidR="004D41CD" w:rsidRPr="004D41CD" w:rsidRDefault="00103DB9" w:rsidP="004D41CD">
      <w:pPr>
        <w:pStyle w:val="ListParagraph"/>
        <w:numPr>
          <w:ilvl w:val="0"/>
          <w:numId w:val="23"/>
        </w:numPr>
        <w:rPr>
          <w:iCs/>
        </w:rPr>
      </w:pPr>
      <w:r w:rsidRPr="004D41CD">
        <w:rPr>
          <w:iCs/>
        </w:rPr>
        <w:t>based in regional Queensland</w:t>
      </w:r>
    </w:p>
    <w:p w14:paraId="503A5126" w14:textId="77777777" w:rsidR="004D41CD" w:rsidRPr="004D41CD" w:rsidRDefault="00103DB9" w:rsidP="004D41CD">
      <w:pPr>
        <w:pStyle w:val="ListParagraph"/>
        <w:numPr>
          <w:ilvl w:val="0"/>
          <w:numId w:val="23"/>
        </w:numPr>
        <w:rPr>
          <w:iCs/>
        </w:rPr>
      </w:pPr>
      <w:r w:rsidRPr="004D41CD">
        <w:rPr>
          <w:iCs/>
        </w:rPr>
        <w:t>led by Queensland Government agency.</w:t>
      </w:r>
    </w:p>
    <w:p w14:paraId="68480F58" w14:textId="77777777" w:rsidR="004D41CD" w:rsidRPr="004D41CD" w:rsidRDefault="00103DB9" w:rsidP="004D41CD">
      <w:pPr>
        <w:rPr>
          <w:iCs/>
        </w:rPr>
      </w:pPr>
      <w:r w:rsidRPr="004D41CD">
        <w:rPr>
          <w:iCs/>
        </w:rPr>
        <w:t xml:space="preserve">As the project is valued at less than $100 million, the best practice principles do not apply by default. However, the project is declared as being subject to the best practice principles through a declaration process. </w:t>
      </w:r>
    </w:p>
    <w:p w14:paraId="2F819C6E" w14:textId="77777777" w:rsidR="004D41CD" w:rsidRPr="004D41CD" w:rsidRDefault="00103DB9" w:rsidP="004D41CD">
      <w:pPr>
        <w:rPr>
          <w:iCs/>
        </w:rPr>
      </w:pPr>
      <w:r w:rsidRPr="00FC46F9">
        <w:rPr>
          <w:iCs/>
        </w:rPr>
        <w:t xml:space="preserve">The agency must include this project in the Queensland Government Forward Procurement Pipeline and is required to apply the best practice principles to any contract that meets </w:t>
      </w:r>
      <w:proofErr w:type="gramStart"/>
      <w:r w:rsidRPr="00FC46F9">
        <w:rPr>
          <w:iCs/>
        </w:rPr>
        <w:t>all of</w:t>
      </w:r>
      <w:proofErr w:type="gramEnd"/>
      <w:r w:rsidRPr="00FC46F9">
        <w:rPr>
          <w:iCs/>
        </w:rPr>
        <w:t xml:space="preserve"> the following three requirements outlined in the </w:t>
      </w:r>
      <w:r w:rsidR="000C3D2E" w:rsidRPr="00FC46F9">
        <w:rPr>
          <w:iCs/>
        </w:rPr>
        <w:t>‘</w:t>
      </w:r>
      <w:r w:rsidRPr="00FC46F9">
        <w:rPr>
          <w:iCs/>
        </w:rPr>
        <w:t>Applying the best practice principles to contracts</w:t>
      </w:r>
      <w:r w:rsidR="000C3D2E" w:rsidRPr="00FC46F9">
        <w:rPr>
          <w:iCs/>
        </w:rPr>
        <w:t>’</w:t>
      </w:r>
      <w:r w:rsidRPr="00FC46F9">
        <w:rPr>
          <w:iCs/>
        </w:rPr>
        <w:t xml:space="preserve"> section of this guide.</w:t>
      </w:r>
    </w:p>
    <w:p w14:paraId="58C58269" w14:textId="33694995" w:rsidR="004D41CD" w:rsidRPr="00FC46F9" w:rsidRDefault="00103DB9" w:rsidP="00134686">
      <w:r w:rsidRPr="00FC46F9">
        <w:rPr>
          <w:iCs/>
        </w:rPr>
        <w:t>As part of project and procurement planning, the agency must</w:t>
      </w:r>
      <w:r w:rsidR="00FC46F9">
        <w:rPr>
          <w:iCs/>
        </w:rPr>
        <w:t xml:space="preserve"> </w:t>
      </w:r>
      <w:r w:rsidRPr="00FC46F9">
        <w:t xml:space="preserve">use the Queensland Government PQC system to engage contractors. </w:t>
      </w:r>
    </w:p>
    <w:p w14:paraId="2C28CF3C" w14:textId="77777777" w:rsidR="004D41CD" w:rsidRPr="004D41CD" w:rsidRDefault="00103DB9" w:rsidP="004D41CD">
      <w:pPr>
        <w:rPr>
          <w:iCs/>
        </w:rPr>
      </w:pPr>
      <w:r w:rsidRPr="00DA6D27">
        <w:rPr>
          <w:iCs/>
        </w:rPr>
        <w:t>In determining weightings for the best practice principles and local benefits test, advice is sought from the BCM category council and the related Industry Reference Group. In terms of the best practice principles, a commitment to apprentices and trainees has been identified as an area of focus to help support the regional economy for this project.</w:t>
      </w:r>
    </w:p>
    <w:p w14:paraId="34A30983" w14:textId="77777777" w:rsidR="004D41CD" w:rsidRPr="004D41CD" w:rsidRDefault="00103DB9" w:rsidP="004D41CD">
      <w:pPr>
        <w:rPr>
          <w:iCs/>
        </w:rPr>
      </w:pPr>
      <w:r w:rsidRPr="004D41CD">
        <w:rPr>
          <w:iCs/>
        </w:rPr>
        <w:t xml:space="preserve">This example has a combined, maximum weighting of local benefits and best practice principles of 40 per cent.  </w:t>
      </w:r>
    </w:p>
    <w:p w14:paraId="6DB0C2D3" w14:textId="77777777" w:rsidR="004D41CD" w:rsidRPr="004D41CD" w:rsidRDefault="00103DB9" w:rsidP="004D41CD">
      <w:pPr>
        <w:rPr>
          <w:iCs/>
        </w:rPr>
      </w:pPr>
      <w:r w:rsidRPr="004D41CD">
        <w:rPr>
          <w:iCs/>
        </w:rPr>
        <w:t>Assumptions:</w:t>
      </w:r>
    </w:p>
    <w:p w14:paraId="312F097F" w14:textId="77777777" w:rsidR="004D41CD" w:rsidRPr="004D41CD" w:rsidRDefault="00103DB9" w:rsidP="004D41CD">
      <w:pPr>
        <w:pStyle w:val="ListParagraph"/>
        <w:numPr>
          <w:ilvl w:val="0"/>
          <w:numId w:val="23"/>
        </w:numPr>
        <w:rPr>
          <w:iCs/>
        </w:rPr>
      </w:pPr>
      <w:r w:rsidRPr="004D41CD">
        <w:rPr>
          <w:iCs/>
        </w:rPr>
        <w:t xml:space="preserve">local benefits are weighted at 20 per cent given the government’s objective to support the use of local suppliers in this regional area. To avoid duplication with the best practice principles the application of the local benefits test does not include apprenticeship and traineeship elements </w:t>
      </w:r>
    </w:p>
    <w:p w14:paraId="748C15E4" w14:textId="77777777" w:rsidR="004D41CD" w:rsidRPr="004D41CD" w:rsidRDefault="00103DB9" w:rsidP="004D41CD">
      <w:pPr>
        <w:pStyle w:val="ListParagraph"/>
        <w:numPr>
          <w:ilvl w:val="0"/>
          <w:numId w:val="23"/>
        </w:numPr>
        <w:rPr>
          <w:iCs/>
        </w:rPr>
      </w:pPr>
      <w:r w:rsidRPr="004D41CD">
        <w:rPr>
          <w:iCs/>
        </w:rPr>
        <w:t>following on from the above, the best practice principles receive a 20 per cent weighting to ensure that these are given adequate consideration in the tender process</w:t>
      </w:r>
    </w:p>
    <w:p w14:paraId="3D30B3FB" w14:textId="77777777" w:rsidR="004D41CD" w:rsidRPr="004D41CD" w:rsidRDefault="00103DB9" w:rsidP="004D41CD">
      <w:pPr>
        <w:pStyle w:val="ListParagraph"/>
        <w:numPr>
          <w:ilvl w:val="0"/>
          <w:numId w:val="23"/>
        </w:numPr>
        <w:rPr>
          <w:iCs/>
        </w:rPr>
      </w:pPr>
      <w:r w:rsidRPr="004D41CD">
        <w:rPr>
          <w:iCs/>
        </w:rPr>
        <w:t>sub-criteria for the best practice principles gives a higher recognition to the commitment to apprentices and trainees given it was identified as a key consideration for this hypothetical project</w:t>
      </w:r>
    </w:p>
    <w:p w14:paraId="10756A3F" w14:textId="77777777" w:rsidR="004D41CD" w:rsidRPr="004D41CD" w:rsidRDefault="00103DB9" w:rsidP="004D41CD">
      <w:pPr>
        <w:pStyle w:val="ListParagraph"/>
        <w:numPr>
          <w:ilvl w:val="0"/>
          <w:numId w:val="23"/>
        </w:numPr>
        <w:rPr>
          <w:iCs/>
        </w:rPr>
      </w:pPr>
      <w:r w:rsidRPr="004D41CD">
        <w:rPr>
          <w:iCs/>
        </w:rPr>
        <w:t>the weightings assigned for the local benefits test and best practice principles, and strategy to apply best practice principles weightings to subcontracts are approved by the responsible Minister</w:t>
      </w:r>
    </w:p>
    <w:p w14:paraId="03799FFF" w14:textId="77777777" w:rsidR="004D41CD" w:rsidRPr="004D41CD" w:rsidRDefault="00103DB9" w:rsidP="004D41CD">
      <w:pPr>
        <w:pStyle w:val="ListParagraph"/>
        <w:numPr>
          <w:ilvl w:val="0"/>
          <w:numId w:val="23"/>
        </w:numPr>
        <w:rPr>
          <w:iCs/>
        </w:rPr>
      </w:pPr>
      <w:r w:rsidRPr="004D41CD">
        <w:rPr>
          <w:iCs/>
        </w:rPr>
        <w:t>the overall percentage weighting for the criteria, like Example 1, was non-price criteria 70 per cent; price 30 per cent</w:t>
      </w:r>
      <w:r>
        <w:rPr>
          <w:iCs/>
          <w:vertAlign w:val="superscript"/>
        </w:rPr>
        <w:footnoteReference w:id="12"/>
      </w:r>
    </w:p>
    <w:p w14:paraId="6BFBBA73" w14:textId="77777777" w:rsidR="004D41CD" w:rsidRPr="004D41CD" w:rsidRDefault="00103DB9" w:rsidP="004D41CD">
      <w:pPr>
        <w:pStyle w:val="ListParagraph"/>
        <w:numPr>
          <w:ilvl w:val="0"/>
          <w:numId w:val="23"/>
        </w:numPr>
        <w:rPr>
          <w:iCs/>
        </w:rPr>
      </w:pPr>
      <w:r w:rsidRPr="004D41CD">
        <w:rPr>
          <w:b/>
          <w:bCs/>
          <w:iCs/>
        </w:rPr>
        <w:t>Table 8</w:t>
      </w:r>
      <w:r w:rsidRPr="004D41CD">
        <w:rPr>
          <w:iCs/>
        </w:rPr>
        <w:t xml:space="preserve"> below shows the weightings used and is a simplified version of </w:t>
      </w:r>
      <w:r w:rsidRPr="004D41CD">
        <w:rPr>
          <w:b/>
          <w:bCs/>
          <w:iCs/>
        </w:rPr>
        <w:t>Table 7</w:t>
      </w:r>
      <w:r w:rsidRPr="004D41CD">
        <w:rPr>
          <w:iCs/>
        </w:rPr>
        <w:t xml:space="preserve"> provided for Example 1. Like Example 1, non-price criteria also included experience and capability along with methodology.  </w:t>
      </w:r>
    </w:p>
    <w:p w14:paraId="332CAC30" w14:textId="77777777" w:rsidR="000C3D2E" w:rsidRDefault="00103DB9">
      <w:pPr>
        <w:spacing w:line="259" w:lineRule="auto"/>
        <w:rPr>
          <w:b/>
          <w:iCs/>
        </w:rPr>
      </w:pPr>
      <w:r>
        <w:rPr>
          <w:b/>
          <w:iCs/>
        </w:rPr>
        <w:br w:type="page"/>
      </w:r>
    </w:p>
    <w:p w14:paraId="53D6822E" w14:textId="77777777" w:rsidR="004D41CD" w:rsidRPr="004D41CD" w:rsidRDefault="00103DB9" w:rsidP="004D41CD">
      <w:pPr>
        <w:rPr>
          <w:iCs/>
        </w:rPr>
      </w:pPr>
      <w:r w:rsidRPr="004D41CD">
        <w:rPr>
          <w:b/>
          <w:iCs/>
        </w:rPr>
        <w:lastRenderedPageBreak/>
        <w:t>Table 8:</w:t>
      </w:r>
      <w:r w:rsidRPr="004D41CD">
        <w:rPr>
          <w:iCs/>
        </w:rPr>
        <w:t xml:space="preserve"> Example 2 - </w:t>
      </w:r>
      <w:proofErr w:type="gramStart"/>
      <w:r w:rsidRPr="004D41CD">
        <w:rPr>
          <w:iCs/>
        </w:rPr>
        <w:t>Non-price</w:t>
      </w:r>
      <w:proofErr w:type="gramEnd"/>
      <w:r w:rsidRPr="004D41CD">
        <w:rPr>
          <w:iCs/>
        </w:rPr>
        <w:t xml:space="preserve"> evaluation criteria weightings and sub-criteria weightings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150"/>
        <w:gridCol w:w="5561"/>
        <w:gridCol w:w="1174"/>
      </w:tblGrid>
      <w:tr w:rsidR="00044A45" w14:paraId="44679019" w14:textId="77777777" w:rsidTr="00FC46F9">
        <w:trPr>
          <w:trHeight w:val="425"/>
          <w:tblHeader/>
        </w:trPr>
        <w:tc>
          <w:tcPr>
            <w:tcW w:w="78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808080" w:themeFill="background1" w:themeFillShade="80"/>
            <w:vAlign w:val="center"/>
          </w:tcPr>
          <w:p w14:paraId="674D0942" w14:textId="77777777" w:rsidR="004D41CD" w:rsidRPr="004D41CD" w:rsidRDefault="00103DB9" w:rsidP="004D41CD">
            <w:pPr>
              <w:rPr>
                <w:b/>
                <w:iCs/>
                <w:color w:val="FFFFFF" w:themeColor="background1"/>
              </w:rPr>
            </w:pPr>
            <w:r w:rsidRPr="004D41CD">
              <w:rPr>
                <w:b/>
                <w:iCs/>
                <w:color w:val="FFFFFF" w:themeColor="background1"/>
              </w:rPr>
              <w:t xml:space="preserve">Non-price evaluation criteria </w:t>
            </w:r>
          </w:p>
        </w:tc>
        <w:tc>
          <w:tcPr>
            <w:tcW w:w="615"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808080" w:themeFill="background1" w:themeFillShade="80"/>
            <w:vAlign w:val="center"/>
          </w:tcPr>
          <w:p w14:paraId="11690E0F" w14:textId="77777777" w:rsidR="004D41CD" w:rsidRPr="004D41CD" w:rsidRDefault="00103DB9" w:rsidP="004D41CD">
            <w:pPr>
              <w:rPr>
                <w:b/>
                <w:iCs/>
                <w:color w:val="FFFFFF" w:themeColor="background1"/>
              </w:rPr>
            </w:pPr>
            <w:r w:rsidRPr="004D41CD">
              <w:rPr>
                <w:b/>
                <w:iCs/>
                <w:color w:val="FFFFFF" w:themeColor="background1"/>
              </w:rPr>
              <w:t>Example weighting</w:t>
            </w:r>
          </w:p>
        </w:tc>
        <w:tc>
          <w:tcPr>
            <w:tcW w:w="2975"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808080" w:themeFill="background1" w:themeFillShade="80"/>
            <w:vAlign w:val="center"/>
          </w:tcPr>
          <w:p w14:paraId="064D0A34" w14:textId="77777777" w:rsidR="004D41CD" w:rsidRPr="004D41CD" w:rsidRDefault="00103DB9" w:rsidP="004D41CD">
            <w:pPr>
              <w:rPr>
                <w:b/>
                <w:iCs/>
                <w:color w:val="FFFFFF" w:themeColor="background1"/>
              </w:rPr>
            </w:pPr>
            <w:r w:rsidRPr="004D41CD">
              <w:rPr>
                <w:b/>
                <w:iCs/>
                <w:color w:val="FFFFFF" w:themeColor="background1"/>
              </w:rPr>
              <w:t>Example su</w:t>
            </w:r>
            <w:r w:rsidR="00D811DE">
              <w:rPr>
                <w:b/>
                <w:iCs/>
                <w:color w:val="FFFFFF" w:themeColor="background1"/>
              </w:rPr>
              <w:t>b-</w:t>
            </w:r>
            <w:r w:rsidRPr="004D41CD">
              <w:rPr>
                <w:b/>
                <w:iCs/>
                <w:color w:val="FFFFFF" w:themeColor="background1"/>
              </w:rPr>
              <w:t>criteria and focus areas for response</w:t>
            </w:r>
          </w:p>
        </w:tc>
        <w:tc>
          <w:tcPr>
            <w:tcW w:w="628"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808080" w:themeFill="background1" w:themeFillShade="80"/>
          </w:tcPr>
          <w:p w14:paraId="548D1B92" w14:textId="77777777" w:rsidR="004D41CD" w:rsidRPr="004D41CD" w:rsidRDefault="00103DB9" w:rsidP="004D41CD">
            <w:pPr>
              <w:rPr>
                <w:b/>
                <w:iCs/>
                <w:color w:val="FFFFFF" w:themeColor="background1"/>
              </w:rPr>
            </w:pPr>
            <w:r w:rsidRPr="004D41CD">
              <w:rPr>
                <w:b/>
                <w:iCs/>
                <w:color w:val="FFFFFF" w:themeColor="background1"/>
              </w:rPr>
              <w:t>Example sub- criteria weighting</w:t>
            </w:r>
          </w:p>
        </w:tc>
      </w:tr>
      <w:tr w:rsidR="00044A45" w14:paraId="514D6840" w14:textId="77777777" w:rsidTr="00FC46F9">
        <w:tc>
          <w:tcPr>
            <w:tcW w:w="782" w:type="pct"/>
            <w:vMerge w:val="restar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tcPr>
          <w:p w14:paraId="540FE3AD" w14:textId="77777777" w:rsidR="004D41CD" w:rsidRPr="004D41CD" w:rsidRDefault="00103DB9" w:rsidP="004D41CD">
            <w:pPr>
              <w:rPr>
                <w:b/>
                <w:iCs/>
              </w:rPr>
            </w:pPr>
            <w:r w:rsidRPr="004D41CD">
              <w:rPr>
                <w:b/>
                <w:iCs/>
              </w:rPr>
              <w:t>Best practice principles</w:t>
            </w:r>
          </w:p>
        </w:tc>
        <w:tc>
          <w:tcPr>
            <w:tcW w:w="615" w:type="pct"/>
            <w:vMerge w:val="restart"/>
            <w:tcBorders>
              <w:top w:val="single" w:sz="4" w:space="0" w:color="F2F2F2" w:themeColor="background1" w:themeShade="F2"/>
              <w:left w:val="single" w:sz="4" w:space="0" w:color="F2F2F2" w:themeColor="background1" w:themeShade="F2"/>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9E4077" w14:textId="77777777" w:rsidR="004D41CD" w:rsidRPr="004D41CD" w:rsidRDefault="004D41CD" w:rsidP="004D41CD">
            <w:pPr>
              <w:rPr>
                <w:iCs/>
              </w:rPr>
            </w:pPr>
          </w:p>
          <w:p w14:paraId="521BB5D3" w14:textId="77777777" w:rsidR="004D41CD" w:rsidRPr="004D41CD" w:rsidRDefault="00103DB9" w:rsidP="004D41CD">
            <w:pPr>
              <w:rPr>
                <w:iCs/>
              </w:rPr>
            </w:pPr>
            <w:r w:rsidRPr="004D41CD">
              <w:rPr>
                <w:iCs/>
              </w:rPr>
              <w:t>20%</w:t>
            </w:r>
          </w:p>
        </w:tc>
        <w:tc>
          <w:tcPr>
            <w:tcW w:w="2975" w:type="pct"/>
            <w:tcBorders>
              <w:top w:val="single" w:sz="4" w:space="0" w:color="F2F2F2" w:themeColor="background1" w:themeShade="F2"/>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C1B3A05" w14:textId="77777777" w:rsidR="004D41CD" w:rsidRPr="004D41CD" w:rsidRDefault="00103DB9" w:rsidP="004D41CD">
            <w:pPr>
              <w:rPr>
                <w:iCs/>
              </w:rPr>
            </w:pPr>
            <w:r w:rsidRPr="004D41CD">
              <w:rPr>
                <w:i/>
                <w:iCs/>
              </w:rPr>
              <w:t>Workplace Health and Safety</w:t>
            </w:r>
          </w:p>
        </w:tc>
        <w:tc>
          <w:tcPr>
            <w:tcW w:w="628" w:type="pct"/>
            <w:tcBorders>
              <w:top w:val="single" w:sz="4" w:space="0" w:color="F2F2F2" w:themeColor="background1" w:themeShade="F2"/>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0B8D9302" w14:textId="6938B164" w:rsidR="004D41CD" w:rsidRPr="004D41CD" w:rsidRDefault="00FC46F9" w:rsidP="004D41CD">
            <w:pPr>
              <w:rPr>
                <w:iCs/>
              </w:rPr>
            </w:pPr>
            <w:r>
              <w:rPr>
                <w:iCs/>
              </w:rPr>
              <w:t>40</w:t>
            </w:r>
            <w:r w:rsidR="00103DB9" w:rsidRPr="004D41CD">
              <w:rPr>
                <w:iCs/>
              </w:rPr>
              <w:t>%</w:t>
            </w:r>
          </w:p>
        </w:tc>
      </w:tr>
      <w:tr w:rsidR="00044A45" w14:paraId="48BE58D6" w14:textId="77777777" w:rsidTr="00FC46F9">
        <w:tc>
          <w:tcPr>
            <w:tcW w:w="782" w:type="pct"/>
            <w:vMerge/>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tcPr>
          <w:p w14:paraId="21A545C1" w14:textId="77777777" w:rsidR="004D41CD" w:rsidRPr="004D41CD" w:rsidRDefault="004D41CD" w:rsidP="004D41CD">
            <w:pPr>
              <w:rPr>
                <w:b/>
                <w:iCs/>
              </w:rPr>
            </w:pPr>
          </w:p>
        </w:tc>
        <w:tc>
          <w:tcPr>
            <w:tcW w:w="615" w:type="pct"/>
            <w:vMerge/>
            <w:tcBorders>
              <w:top w:val="single" w:sz="4" w:space="0" w:color="BFBFBF" w:themeColor="background1" w:themeShade="BF"/>
              <w:left w:val="single" w:sz="4" w:space="0" w:color="F2F2F2" w:themeColor="background1" w:themeShade="F2"/>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71C32B" w14:textId="77777777" w:rsidR="004D41CD" w:rsidRPr="004D41CD" w:rsidRDefault="004D41CD" w:rsidP="004D41CD">
            <w:pPr>
              <w:rPr>
                <w:iCs/>
              </w:rPr>
            </w:pPr>
          </w:p>
        </w:tc>
        <w:tc>
          <w:tcPr>
            <w:tcW w:w="297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594275" w14:textId="77777777" w:rsidR="004D41CD" w:rsidRPr="004D41CD" w:rsidRDefault="00103DB9" w:rsidP="004D41CD">
            <w:pPr>
              <w:rPr>
                <w:iCs/>
              </w:rPr>
            </w:pPr>
            <w:r w:rsidRPr="004D41CD">
              <w:rPr>
                <w:i/>
                <w:iCs/>
              </w:rPr>
              <w:t>Commitment to apprentices and trainees</w:t>
            </w:r>
          </w:p>
        </w:tc>
        <w:tc>
          <w:tcPr>
            <w:tcW w:w="62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62574351" w14:textId="3EFA487B" w:rsidR="004D41CD" w:rsidRPr="004D41CD" w:rsidRDefault="00FC46F9" w:rsidP="004D41CD">
            <w:pPr>
              <w:rPr>
                <w:iCs/>
              </w:rPr>
            </w:pPr>
            <w:r>
              <w:rPr>
                <w:iCs/>
              </w:rPr>
              <w:t>60</w:t>
            </w:r>
            <w:r w:rsidR="00103DB9" w:rsidRPr="004D41CD">
              <w:rPr>
                <w:iCs/>
              </w:rPr>
              <w:t>%</w:t>
            </w:r>
          </w:p>
        </w:tc>
      </w:tr>
      <w:tr w:rsidR="00044A45" w14:paraId="7EC7D5DB" w14:textId="77777777" w:rsidTr="00FC46F9">
        <w:trPr>
          <w:trHeight w:val="70"/>
        </w:trPr>
        <w:tc>
          <w:tcPr>
            <w:tcW w:w="78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tcPr>
          <w:p w14:paraId="246CB633" w14:textId="77777777" w:rsidR="004D41CD" w:rsidRPr="004D41CD" w:rsidRDefault="00103DB9" w:rsidP="004D41CD">
            <w:pPr>
              <w:rPr>
                <w:b/>
                <w:iCs/>
              </w:rPr>
            </w:pPr>
            <w:r w:rsidRPr="004D41CD">
              <w:rPr>
                <w:b/>
                <w:iCs/>
              </w:rPr>
              <w:t>Local Benefits</w:t>
            </w:r>
          </w:p>
        </w:tc>
        <w:tc>
          <w:tcPr>
            <w:tcW w:w="615" w:type="pct"/>
            <w:tcBorders>
              <w:top w:val="single" w:sz="4" w:space="0" w:color="BFBFBF" w:themeColor="background1" w:themeShade="BF"/>
              <w:left w:val="single" w:sz="4" w:space="0" w:color="F2F2F2" w:themeColor="background1" w:themeShade="F2"/>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6977E" w14:textId="77777777" w:rsidR="004D41CD" w:rsidRPr="004D41CD" w:rsidRDefault="00103DB9" w:rsidP="004D41CD">
            <w:pPr>
              <w:rPr>
                <w:iCs/>
              </w:rPr>
            </w:pPr>
            <w:r w:rsidRPr="004D41CD">
              <w:rPr>
                <w:iCs/>
              </w:rPr>
              <w:t>20%</w:t>
            </w:r>
          </w:p>
        </w:tc>
        <w:tc>
          <w:tcPr>
            <w:tcW w:w="3603" w:type="pct"/>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3EBC3B" w14:textId="77777777" w:rsidR="004D41CD" w:rsidRPr="004D41CD" w:rsidRDefault="00103DB9" w:rsidP="004D41CD">
            <w:pPr>
              <w:rPr>
                <w:i/>
                <w:iCs/>
              </w:rPr>
            </w:pPr>
            <w:r w:rsidRPr="004D41CD">
              <w:rPr>
                <w:i/>
                <w:iCs/>
              </w:rPr>
              <w:t>Various sub criteria for each non-price evaluation criterion can be used as relevant (refer to Example 1, above)</w:t>
            </w:r>
          </w:p>
        </w:tc>
      </w:tr>
      <w:tr w:rsidR="00044A45" w14:paraId="55C6BAC1" w14:textId="77777777" w:rsidTr="00FC46F9">
        <w:trPr>
          <w:trHeight w:val="70"/>
        </w:trPr>
        <w:tc>
          <w:tcPr>
            <w:tcW w:w="78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tcPr>
          <w:p w14:paraId="53643C20" w14:textId="77777777" w:rsidR="004D41CD" w:rsidRPr="004D41CD" w:rsidRDefault="00103DB9" w:rsidP="004D41CD">
            <w:pPr>
              <w:rPr>
                <w:b/>
                <w:iCs/>
              </w:rPr>
            </w:pPr>
            <w:r w:rsidRPr="004D41CD">
              <w:rPr>
                <w:b/>
                <w:iCs/>
              </w:rPr>
              <w:t xml:space="preserve">Experience and capability </w:t>
            </w:r>
          </w:p>
        </w:tc>
        <w:tc>
          <w:tcPr>
            <w:tcW w:w="615" w:type="pct"/>
            <w:tcBorders>
              <w:top w:val="single" w:sz="4" w:space="0" w:color="BFBFBF" w:themeColor="background1" w:themeShade="BF"/>
              <w:left w:val="single" w:sz="4" w:space="0" w:color="F2F2F2" w:themeColor="background1" w:themeShade="F2"/>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638459" w14:textId="77777777" w:rsidR="004D41CD" w:rsidRPr="004D41CD" w:rsidRDefault="00103DB9" w:rsidP="004D41CD">
            <w:pPr>
              <w:rPr>
                <w:iCs/>
              </w:rPr>
            </w:pPr>
            <w:r w:rsidRPr="004D41CD">
              <w:rPr>
                <w:iCs/>
              </w:rPr>
              <w:t>20%</w:t>
            </w:r>
          </w:p>
        </w:tc>
        <w:tc>
          <w:tcPr>
            <w:tcW w:w="3603" w:type="pct"/>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4FD91350" w14:textId="77777777" w:rsidR="004D41CD" w:rsidRPr="004D41CD" w:rsidRDefault="004D41CD" w:rsidP="004D41CD">
            <w:pPr>
              <w:rPr>
                <w:iCs/>
              </w:rPr>
            </w:pPr>
          </w:p>
        </w:tc>
      </w:tr>
      <w:tr w:rsidR="00044A45" w14:paraId="5FF9F3CA" w14:textId="77777777" w:rsidTr="00FC46F9">
        <w:trPr>
          <w:trHeight w:val="70"/>
        </w:trPr>
        <w:tc>
          <w:tcPr>
            <w:tcW w:w="782" w:type="pct"/>
            <w:tc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tcBorders>
            <w:shd w:val="clear" w:color="auto" w:fill="BFBFBF" w:themeFill="background1" w:themeFillShade="BF"/>
            <w:vAlign w:val="center"/>
          </w:tcPr>
          <w:p w14:paraId="43F75E06" w14:textId="77777777" w:rsidR="004D41CD" w:rsidRPr="004D41CD" w:rsidRDefault="00103DB9" w:rsidP="004D41CD">
            <w:pPr>
              <w:rPr>
                <w:b/>
                <w:iCs/>
              </w:rPr>
            </w:pPr>
            <w:r w:rsidRPr="004D41CD">
              <w:rPr>
                <w:b/>
                <w:iCs/>
              </w:rPr>
              <w:t xml:space="preserve">Methodology </w:t>
            </w:r>
          </w:p>
        </w:tc>
        <w:tc>
          <w:tcPr>
            <w:tcW w:w="615" w:type="pct"/>
            <w:tcBorders>
              <w:top w:val="single" w:sz="4" w:space="0" w:color="BFBFBF" w:themeColor="background1" w:themeShade="BF"/>
              <w:left w:val="single" w:sz="4" w:space="0" w:color="F2F2F2" w:themeColor="background1" w:themeShade="F2"/>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DED2D7" w14:textId="77777777" w:rsidR="004D41CD" w:rsidRPr="004D41CD" w:rsidRDefault="00103DB9" w:rsidP="004D41CD">
            <w:pPr>
              <w:rPr>
                <w:iCs/>
              </w:rPr>
            </w:pPr>
            <w:r w:rsidRPr="004D41CD">
              <w:rPr>
                <w:iCs/>
              </w:rPr>
              <w:t>10%</w:t>
            </w:r>
          </w:p>
        </w:tc>
        <w:tc>
          <w:tcPr>
            <w:tcW w:w="3603" w:type="pct"/>
            <w:gridSpan w:val="2"/>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64B4099" w14:textId="77777777" w:rsidR="004D41CD" w:rsidRPr="004D41CD" w:rsidRDefault="004D41CD" w:rsidP="004D41CD">
            <w:pPr>
              <w:rPr>
                <w:iCs/>
              </w:rPr>
            </w:pPr>
          </w:p>
        </w:tc>
      </w:tr>
    </w:tbl>
    <w:p w14:paraId="130A6DCB" w14:textId="77777777" w:rsidR="004D41CD" w:rsidRPr="004D41CD" w:rsidRDefault="004D41CD" w:rsidP="004D41CD">
      <w:pPr>
        <w:rPr>
          <w:iCs/>
        </w:rPr>
      </w:pPr>
    </w:p>
    <w:p w14:paraId="1222BD52" w14:textId="77777777" w:rsidR="004D41CD" w:rsidRDefault="00103DB9">
      <w:pPr>
        <w:spacing w:line="259" w:lineRule="auto"/>
        <w:rPr>
          <w:iCs/>
        </w:rPr>
      </w:pPr>
      <w:r>
        <w:rPr>
          <w:iCs/>
        </w:rPr>
        <w:br w:type="page"/>
      </w:r>
    </w:p>
    <w:p w14:paraId="59C5AB95" w14:textId="77777777" w:rsidR="004D41CD" w:rsidRPr="004D41CD" w:rsidRDefault="00103DB9" w:rsidP="004D41CD">
      <w:pPr>
        <w:pStyle w:val="Heading1"/>
      </w:pPr>
      <w:bookmarkStart w:id="116" w:name="_Toc69201402"/>
      <w:bookmarkStart w:id="117" w:name="_Toc182462595"/>
      <w:r w:rsidRPr="004D41CD">
        <w:lastRenderedPageBreak/>
        <w:t>Appendix 5 – Example clauses</w:t>
      </w:r>
      <w:bookmarkEnd w:id="116"/>
      <w:bookmarkEnd w:id="117"/>
    </w:p>
    <w:p w14:paraId="0F546732" w14:textId="77777777" w:rsidR="004D41CD" w:rsidRPr="004D41CD" w:rsidRDefault="00103DB9" w:rsidP="004D41CD">
      <w:pPr>
        <w:pStyle w:val="Heading2"/>
      </w:pPr>
      <w:bookmarkStart w:id="118" w:name="_Toc182462596"/>
      <w:r w:rsidRPr="004D41CD">
        <w:t>Example clauses</w:t>
      </w:r>
      <w:bookmarkEnd w:id="118"/>
    </w:p>
    <w:p w14:paraId="3407AA81" w14:textId="77777777" w:rsidR="004D41CD" w:rsidRPr="00DA6D27" w:rsidRDefault="00103DB9" w:rsidP="004D41CD">
      <w:pPr>
        <w:rPr>
          <w:iCs/>
        </w:rPr>
      </w:pPr>
      <w:r w:rsidRPr="00DA6D27">
        <w:rPr>
          <w:iCs/>
        </w:rPr>
        <w:t>An example clause incorporating best practice principles commitments into the contract may be:</w:t>
      </w:r>
    </w:p>
    <w:p w14:paraId="2524D954" w14:textId="77777777" w:rsidR="004D41CD" w:rsidRPr="00DA6D27" w:rsidRDefault="00103DB9" w:rsidP="004D41CD">
      <w:pPr>
        <w:ind w:left="720"/>
        <w:rPr>
          <w:i/>
          <w:iCs/>
        </w:rPr>
      </w:pPr>
      <w:r w:rsidRPr="00DA6D27">
        <w:rPr>
          <w:i/>
          <w:iCs/>
        </w:rPr>
        <w:t>The contractor:</w:t>
      </w:r>
    </w:p>
    <w:p w14:paraId="11B2236A" w14:textId="77777777" w:rsidR="004D41CD" w:rsidRPr="00DA6D27" w:rsidRDefault="00103DB9" w:rsidP="004D41CD">
      <w:pPr>
        <w:ind w:left="720"/>
        <w:rPr>
          <w:i/>
          <w:iCs/>
        </w:rPr>
      </w:pPr>
      <w:r w:rsidRPr="00DA6D27">
        <w:rPr>
          <w:i/>
          <w:iCs/>
        </w:rPr>
        <w:t>(a) acknowledges that the State values a commitment to the best practice principles</w:t>
      </w:r>
    </w:p>
    <w:p w14:paraId="7A056050" w14:textId="77777777" w:rsidR="004D41CD" w:rsidRPr="00DA6D27" w:rsidRDefault="00103DB9" w:rsidP="004D41CD">
      <w:pPr>
        <w:ind w:left="720"/>
        <w:rPr>
          <w:i/>
          <w:iCs/>
        </w:rPr>
      </w:pPr>
      <w:r w:rsidRPr="00DA6D27">
        <w:rPr>
          <w:i/>
          <w:iCs/>
        </w:rPr>
        <w:t>(b) undertakes to fulfil the commitments made in its offer/tender in respect of the best practice principles</w:t>
      </w:r>
    </w:p>
    <w:p w14:paraId="3B4CCFDA" w14:textId="77777777" w:rsidR="004D41CD" w:rsidRPr="00DA6D27" w:rsidRDefault="00103DB9" w:rsidP="004D41CD">
      <w:pPr>
        <w:ind w:left="720"/>
        <w:rPr>
          <w:i/>
          <w:iCs/>
        </w:rPr>
      </w:pPr>
      <w:r w:rsidRPr="00DA6D27">
        <w:rPr>
          <w:i/>
          <w:iCs/>
        </w:rPr>
        <w:t>(c) undertakes to require and actively ensure compliance with the commitments made in its offer in respect of the best practice principles by any subcontractor.</w:t>
      </w:r>
    </w:p>
    <w:p w14:paraId="0CCEC287" w14:textId="77777777" w:rsidR="004D41CD" w:rsidRPr="00DA6D27" w:rsidRDefault="00103DB9" w:rsidP="004D41CD">
      <w:pPr>
        <w:rPr>
          <w:iCs/>
        </w:rPr>
      </w:pPr>
      <w:r w:rsidRPr="00DA6D27">
        <w:rPr>
          <w:iCs/>
        </w:rPr>
        <w:t>An example clause about sanctions could include:</w:t>
      </w:r>
    </w:p>
    <w:p w14:paraId="730970D5" w14:textId="77777777" w:rsidR="004D41CD" w:rsidRPr="00DA6D27" w:rsidRDefault="00103DB9" w:rsidP="004D41CD">
      <w:pPr>
        <w:ind w:left="720"/>
        <w:rPr>
          <w:i/>
          <w:iCs/>
        </w:rPr>
      </w:pPr>
      <w:r w:rsidRPr="00DA6D27">
        <w:rPr>
          <w:i/>
          <w:iCs/>
        </w:rPr>
        <w:t xml:space="preserve">Without limiting any of the </w:t>
      </w:r>
      <w:proofErr w:type="gramStart"/>
      <w:r w:rsidRPr="00DA6D27">
        <w:rPr>
          <w:i/>
          <w:iCs/>
        </w:rPr>
        <w:t>Principal’s</w:t>
      </w:r>
      <w:proofErr w:type="gramEnd"/>
      <w:r w:rsidRPr="00DA6D27">
        <w:rPr>
          <w:i/>
          <w:iCs/>
        </w:rPr>
        <w:t xml:space="preserve"> rights under this contract or at law, the contractor acknowledges that where it, or a subcontractor, fails to comply with the commitments in respect of the best practice principles, a sanction may be imposed on it by the QGP Compliance branch (etc).   The sanctions that can be imposed include, but are not limited to, one or more of the following:</w:t>
      </w:r>
    </w:p>
    <w:p w14:paraId="4C3A99A2" w14:textId="77777777" w:rsidR="004D41CD" w:rsidRPr="00DA6D27" w:rsidRDefault="00103DB9" w:rsidP="004D41CD">
      <w:pPr>
        <w:ind w:left="720"/>
        <w:rPr>
          <w:i/>
          <w:iCs/>
        </w:rPr>
      </w:pPr>
      <w:r w:rsidRPr="00DA6D27">
        <w:rPr>
          <w:i/>
          <w:iCs/>
        </w:rPr>
        <w:t>(a) a formal warning</w:t>
      </w:r>
    </w:p>
    <w:p w14:paraId="7F24B83C" w14:textId="77777777" w:rsidR="004D41CD" w:rsidRPr="00DA6D27" w:rsidRDefault="00103DB9" w:rsidP="004D41CD">
      <w:pPr>
        <w:ind w:left="720"/>
        <w:rPr>
          <w:i/>
          <w:iCs/>
        </w:rPr>
      </w:pPr>
      <w:r w:rsidRPr="00DA6D27">
        <w:rPr>
          <w:i/>
          <w:iCs/>
        </w:rPr>
        <w:t>(b) referral of a complaint to the relevant industry organisation for assessment against its own professional code of conduct and appropriate action</w:t>
      </w:r>
    </w:p>
    <w:p w14:paraId="3EBCD493" w14:textId="77777777" w:rsidR="004D41CD" w:rsidRPr="00DA6D27" w:rsidRDefault="00103DB9" w:rsidP="004D41CD">
      <w:pPr>
        <w:ind w:left="720"/>
        <w:rPr>
          <w:i/>
          <w:iCs/>
        </w:rPr>
      </w:pPr>
      <w:r w:rsidRPr="00DA6D27">
        <w:rPr>
          <w:i/>
          <w:iCs/>
        </w:rPr>
        <w:t>(c) reporting the breach to an appropriate statutory body</w:t>
      </w:r>
    </w:p>
    <w:p w14:paraId="6D33F220" w14:textId="77777777" w:rsidR="004D41CD" w:rsidRPr="00DA6D27" w:rsidRDefault="00103DB9" w:rsidP="004D41CD">
      <w:pPr>
        <w:ind w:left="720"/>
        <w:rPr>
          <w:i/>
          <w:iCs/>
        </w:rPr>
      </w:pPr>
      <w:r w:rsidRPr="00DA6D27">
        <w:rPr>
          <w:i/>
          <w:iCs/>
        </w:rPr>
        <w:t>(d) partial exclusion from tendering opportunities that is a reduction in the number and/or nature of tendering opportunities</w:t>
      </w:r>
    </w:p>
    <w:p w14:paraId="7CDCB6F3" w14:textId="77777777" w:rsidR="004D41CD" w:rsidRPr="00DA6D27" w:rsidRDefault="00103DB9" w:rsidP="004D41CD">
      <w:pPr>
        <w:ind w:left="720"/>
        <w:rPr>
          <w:iCs/>
        </w:rPr>
      </w:pPr>
      <w:r w:rsidRPr="00DA6D27">
        <w:rPr>
          <w:i/>
          <w:iCs/>
        </w:rPr>
        <w:t>(e) preclusion from tendering for any work for a specified period</w:t>
      </w:r>
      <w:r w:rsidRPr="00DA6D27">
        <w:rPr>
          <w:iCs/>
        </w:rPr>
        <w:t>.</w:t>
      </w:r>
    </w:p>
    <w:p w14:paraId="6A28993C" w14:textId="77777777" w:rsidR="004D41CD" w:rsidRPr="004D41CD" w:rsidRDefault="004D41CD" w:rsidP="004D41CD">
      <w:pPr>
        <w:rPr>
          <w:iCs/>
        </w:rPr>
      </w:pPr>
    </w:p>
    <w:p w14:paraId="328B9074" w14:textId="77777777" w:rsidR="00BA376C" w:rsidRPr="00AE19AB" w:rsidRDefault="00BA376C" w:rsidP="00AE19AB">
      <w:pPr>
        <w:rPr>
          <w:iCs/>
        </w:rPr>
      </w:pPr>
    </w:p>
    <w:p w14:paraId="2F317D12" w14:textId="77777777" w:rsidR="00362B96" w:rsidRPr="00362B96" w:rsidRDefault="00362B96" w:rsidP="00362B96">
      <w:pPr>
        <w:rPr>
          <w:iCs/>
        </w:rPr>
      </w:pPr>
    </w:p>
    <w:p w14:paraId="1897E798" w14:textId="77777777" w:rsidR="002A5361" w:rsidRPr="002204D1" w:rsidRDefault="002A5361" w:rsidP="002204D1">
      <w:pPr>
        <w:rPr>
          <w:rFonts w:eastAsiaTheme="majorEastAsia" w:cstheme="majorBidi"/>
          <w:b/>
          <w:color w:val="A91D37"/>
          <w:sz w:val="32"/>
          <w:szCs w:val="32"/>
        </w:rPr>
      </w:pPr>
    </w:p>
    <w:sectPr w:rsidR="002A5361" w:rsidRPr="002204D1" w:rsidSect="006330D6">
      <w:headerReference w:type="default" r:id="rId39"/>
      <w:footerReference w:type="default" r:id="rId40"/>
      <w:footerReference w:type="first" r:id="rId41"/>
      <w:pgSz w:w="11906" w:h="16838"/>
      <w:pgMar w:top="993" w:right="1274" w:bottom="851" w:left="1276"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D9E35" w14:textId="77777777" w:rsidR="00AD5BB2" w:rsidRDefault="00AD5BB2">
      <w:pPr>
        <w:spacing w:after="0" w:line="240" w:lineRule="auto"/>
      </w:pPr>
      <w:r>
        <w:separator/>
      </w:r>
    </w:p>
  </w:endnote>
  <w:endnote w:type="continuationSeparator" w:id="0">
    <w:p w14:paraId="4334D3E6" w14:textId="77777777" w:rsidR="00AD5BB2" w:rsidRDefault="00AD5BB2">
      <w:pPr>
        <w:spacing w:after="0" w:line="240" w:lineRule="auto"/>
      </w:pPr>
      <w:r>
        <w:continuationSeparator/>
      </w:r>
    </w:p>
  </w:endnote>
  <w:endnote w:type="continuationNotice" w:id="1">
    <w:p w14:paraId="3314668B" w14:textId="77777777" w:rsidR="00AD5BB2" w:rsidRDefault="00AD5B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AED5B" w14:textId="4E63126D" w:rsidR="00B47723" w:rsidRDefault="00103DB9" w:rsidP="008F6F3D">
    <w:pPr>
      <w:pStyle w:val="Footer"/>
      <w:pBdr>
        <w:top w:val="single" w:sz="4" w:space="8" w:color="A70240"/>
      </w:pBdr>
      <w:tabs>
        <w:tab w:val="clear" w:pos="9026"/>
        <w:tab w:val="right" w:pos="9356"/>
      </w:tabs>
      <w:spacing w:before="360"/>
      <w:contextualSpacing/>
      <w:rPr>
        <w:noProof/>
        <w:color w:val="404040" w:themeColor="text1" w:themeTint="BF"/>
      </w:rPr>
    </w:pPr>
    <w:r>
      <w:rPr>
        <w:noProof/>
        <w:color w:val="404040" w:themeColor="text1" w:themeTint="BF"/>
      </w:rPr>
      <w:t>Queensland Government Procurement</w:t>
    </w:r>
    <w:r w:rsidR="00DE2DED">
      <w:rPr>
        <w:noProof/>
        <w:color w:val="404040" w:themeColor="text1" w:themeTint="BF"/>
      </w:rPr>
      <w:t xml:space="preserve">  </w:t>
    </w:r>
    <w:r w:rsidR="00DE2DED">
      <w:rPr>
        <w:noProof/>
        <w:color w:val="404040" w:themeColor="text1" w:themeTint="BF"/>
      </w:rPr>
      <w:tab/>
    </w:r>
  </w:p>
  <w:p w14:paraId="55209419" w14:textId="77777777" w:rsidR="00B47723" w:rsidRPr="00381F07" w:rsidRDefault="00103DB9" w:rsidP="008F6F3D">
    <w:pPr>
      <w:pStyle w:val="Footer"/>
      <w:pBdr>
        <w:top w:val="single" w:sz="4" w:space="8" w:color="A70240"/>
      </w:pBdr>
      <w:tabs>
        <w:tab w:val="clear" w:pos="9026"/>
        <w:tab w:val="right" w:pos="9356"/>
      </w:tabs>
      <w:spacing w:before="360"/>
      <w:contextualSpacing/>
      <w:rPr>
        <w:noProof/>
        <w:color w:val="404040" w:themeColor="text1" w:themeTint="BF"/>
      </w:rPr>
    </w:pPr>
    <w:r>
      <w:rPr>
        <w:noProof/>
        <w:color w:val="404040" w:themeColor="text1" w:themeTint="BF"/>
      </w:rPr>
      <w:t>Office of Industrial Relations</w:t>
    </w: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38</w:t>
    </w:r>
    <w:r>
      <w:rPr>
        <w:noProof/>
        <w:color w:val="404040" w:themeColor="text1" w:themeTint="BF"/>
      </w:rPr>
      <w:fldChar w:fldCharType="end"/>
    </w:r>
  </w:p>
  <w:p w14:paraId="5DDE6D54" w14:textId="77777777" w:rsidR="00B47723" w:rsidRDefault="00B47723"/>
  <w:p w14:paraId="39151F16" w14:textId="77777777" w:rsidR="00B47723" w:rsidRDefault="00B477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B67E0" w14:textId="77777777" w:rsidR="00B47723" w:rsidRDefault="00B47723" w:rsidP="000140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BAE95B" w14:textId="77777777" w:rsidR="00AD5BB2" w:rsidRDefault="00AD5BB2" w:rsidP="00F752DB">
      <w:pPr>
        <w:spacing w:after="0" w:line="240" w:lineRule="auto"/>
      </w:pPr>
      <w:r>
        <w:separator/>
      </w:r>
    </w:p>
  </w:footnote>
  <w:footnote w:type="continuationSeparator" w:id="0">
    <w:p w14:paraId="60E1B980" w14:textId="77777777" w:rsidR="00AD5BB2" w:rsidRDefault="00AD5BB2" w:rsidP="00F752DB">
      <w:pPr>
        <w:spacing w:after="0" w:line="240" w:lineRule="auto"/>
      </w:pPr>
      <w:r>
        <w:continuationSeparator/>
      </w:r>
    </w:p>
  </w:footnote>
  <w:footnote w:type="continuationNotice" w:id="1">
    <w:p w14:paraId="752C1F3B" w14:textId="77777777" w:rsidR="00AD5BB2" w:rsidRDefault="00AD5BB2">
      <w:pPr>
        <w:spacing w:after="0" w:line="240" w:lineRule="auto"/>
      </w:pPr>
    </w:p>
  </w:footnote>
  <w:footnote w:id="2">
    <w:p w14:paraId="0C6802DE" w14:textId="77777777" w:rsidR="00B47723" w:rsidRDefault="00103DB9" w:rsidP="00307382">
      <w:pPr>
        <w:pStyle w:val="FootnoteText"/>
      </w:pPr>
      <w:r>
        <w:rPr>
          <w:rStyle w:val="FootnoteReference"/>
        </w:rPr>
        <w:footnoteRef/>
      </w:r>
      <w:r>
        <w:t xml:space="preserve"> All budget sector agencies, government-owned corporations, statutory bodies and special purpose vehicles as defined in the QPP.</w:t>
      </w:r>
    </w:p>
  </w:footnote>
  <w:footnote w:id="3">
    <w:p w14:paraId="0D42C250" w14:textId="77777777" w:rsidR="00B47723" w:rsidRDefault="00103DB9" w:rsidP="00AA20DE">
      <w:pPr>
        <w:pStyle w:val="FootnoteText"/>
      </w:pPr>
      <w:r>
        <w:rPr>
          <w:rStyle w:val="FootnoteReference"/>
        </w:rPr>
        <w:footnoteRef/>
      </w:r>
      <w:r>
        <w:t xml:space="preserve"> Unless an ICT project is declared as having to apply the best practice principles. For further information, please refer to the ‘Declaration process’ section of this guide.</w:t>
      </w:r>
    </w:p>
  </w:footnote>
  <w:footnote w:id="4">
    <w:p w14:paraId="55252B5D" w14:textId="77777777" w:rsidR="00B47723" w:rsidRDefault="00103DB9">
      <w:pPr>
        <w:pStyle w:val="FootnoteText"/>
      </w:pPr>
      <w:r>
        <w:rPr>
          <w:rStyle w:val="FootnoteReference"/>
        </w:rPr>
        <w:footnoteRef/>
      </w:r>
      <w:r>
        <w:t xml:space="preserve"> Note this list is not exhaustive.</w:t>
      </w:r>
    </w:p>
  </w:footnote>
  <w:footnote w:id="5">
    <w:p w14:paraId="0DFD6063" w14:textId="77777777" w:rsidR="00B47723" w:rsidRDefault="00103DB9">
      <w:pPr>
        <w:pStyle w:val="FootnoteText"/>
      </w:pPr>
      <w:r>
        <w:rPr>
          <w:rStyle w:val="FootnoteReference"/>
        </w:rPr>
        <w:footnoteRef/>
      </w:r>
      <w:r>
        <w:t xml:space="preserve"> These are examples only and not a definitive nor exhaustive list.</w:t>
      </w:r>
    </w:p>
  </w:footnote>
  <w:footnote w:id="6">
    <w:p w14:paraId="4C676206" w14:textId="77777777" w:rsidR="00B47723" w:rsidRDefault="00103DB9" w:rsidP="00DA16C0">
      <w:pPr>
        <w:pStyle w:val="FootnoteText"/>
      </w:pPr>
      <w:r>
        <w:rPr>
          <w:rStyle w:val="FootnoteReference"/>
        </w:rPr>
        <w:footnoteRef/>
      </w:r>
      <w:r>
        <w:t xml:space="preserve"> Note this does not apply to sub-weightings for the local benefits test and the best practice principles. That is, sub-weightings for the local benefits test and the best practice principles may total to 100 per cent respectively.</w:t>
      </w:r>
    </w:p>
  </w:footnote>
  <w:footnote w:id="7">
    <w:p w14:paraId="35285287" w14:textId="77777777" w:rsidR="00B47723" w:rsidRDefault="00103DB9" w:rsidP="0024650B">
      <w:pPr>
        <w:pStyle w:val="FootnoteText"/>
      </w:pPr>
      <w:r>
        <w:rPr>
          <w:rStyle w:val="FootnoteReference"/>
        </w:rPr>
        <w:footnoteRef/>
      </w:r>
      <w:r>
        <w:t xml:space="preserve"> These are examples only and not a definitive nor exhaustive list.</w:t>
      </w:r>
    </w:p>
  </w:footnote>
  <w:footnote w:id="8">
    <w:p w14:paraId="66F2D06B" w14:textId="77777777" w:rsidR="00B47723" w:rsidRDefault="00103DB9" w:rsidP="00362B96">
      <w:pPr>
        <w:pStyle w:val="FootnoteText"/>
      </w:pPr>
      <w:r>
        <w:rPr>
          <w:rStyle w:val="FootnoteReference"/>
        </w:rPr>
        <w:footnoteRef/>
      </w:r>
      <w:r>
        <w:t xml:space="preserve"> This table of options is not definitive nor exhaustive.</w:t>
      </w:r>
    </w:p>
  </w:footnote>
  <w:footnote w:id="9">
    <w:p w14:paraId="0C328EBD" w14:textId="77777777" w:rsidR="00B47723" w:rsidRDefault="00103DB9" w:rsidP="00931A22">
      <w:pPr>
        <w:pStyle w:val="FootnoteText"/>
      </w:pPr>
      <w:r>
        <w:rPr>
          <w:rStyle w:val="FootnoteReference"/>
        </w:rPr>
        <w:footnoteRef/>
      </w:r>
      <w:r>
        <w:t xml:space="preserve"> These are examples only and not a definitive nor exhaustive list. </w:t>
      </w:r>
    </w:p>
  </w:footnote>
  <w:footnote w:id="10">
    <w:p w14:paraId="0A9A916D" w14:textId="77777777" w:rsidR="00B47723" w:rsidRDefault="00103DB9" w:rsidP="00BA376C">
      <w:pPr>
        <w:pStyle w:val="FootnoteText"/>
      </w:pPr>
      <w:r>
        <w:rPr>
          <w:rStyle w:val="FootnoteReference"/>
        </w:rPr>
        <w:footnoteRef/>
      </w:r>
      <w:r>
        <w:t xml:space="preserve"> These are examples only and not a definitive nor exhaustive list. </w:t>
      </w:r>
    </w:p>
  </w:footnote>
  <w:footnote w:id="11">
    <w:p w14:paraId="66C9AEE1" w14:textId="77777777" w:rsidR="00B47723" w:rsidRDefault="00103DB9" w:rsidP="00AE19AB">
      <w:pPr>
        <w:pStyle w:val="FootnoteText"/>
      </w:pPr>
      <w:r>
        <w:rPr>
          <w:rStyle w:val="FootnoteReference"/>
        </w:rPr>
        <w:footnoteRef/>
      </w:r>
      <w:r>
        <w:t xml:space="preserve"> </w:t>
      </w:r>
      <w:r>
        <w:rPr>
          <w:rFonts w:cs="Arial"/>
          <w:lang w:eastAsia="en-AU"/>
        </w:rPr>
        <w:t>Note that for a two-stage process where non-price criteria are evaluated separately, non-price criteria may total to 100%.</w:t>
      </w:r>
    </w:p>
  </w:footnote>
  <w:footnote w:id="12">
    <w:p w14:paraId="6246D4FD" w14:textId="77777777" w:rsidR="00B47723" w:rsidRDefault="00103DB9" w:rsidP="004D41CD">
      <w:pPr>
        <w:pStyle w:val="FootnoteText"/>
      </w:pPr>
      <w:r>
        <w:rPr>
          <w:rStyle w:val="FootnoteReference"/>
        </w:rPr>
        <w:footnoteRef/>
      </w:r>
      <w:r>
        <w:t xml:space="preserve"> </w:t>
      </w:r>
      <w:r>
        <w:rPr>
          <w:rFonts w:cs="Arial"/>
          <w:lang w:eastAsia="en-AU"/>
        </w:rPr>
        <w:t xml:space="preserve">Note that for a two-stage process where non-price criteria </w:t>
      </w:r>
      <w:proofErr w:type="gramStart"/>
      <w:r>
        <w:rPr>
          <w:rFonts w:cs="Arial"/>
          <w:lang w:eastAsia="en-AU"/>
        </w:rPr>
        <w:t>is</w:t>
      </w:r>
      <w:proofErr w:type="gramEnd"/>
      <w:r>
        <w:rPr>
          <w:rFonts w:cs="Arial"/>
          <w:lang w:eastAsia="en-AU"/>
        </w:rPr>
        <w:t xml:space="preserve"> evaluated separately, non-price criteria may total to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D14C1" w14:textId="2B7D0ECA" w:rsidR="00B47723" w:rsidRPr="00036011" w:rsidRDefault="00D2597E" w:rsidP="00036011">
    <w:pPr>
      <w:pStyle w:val="Header"/>
      <w:pBdr>
        <w:bottom w:val="single" w:sz="4" w:space="8" w:color="A70240"/>
      </w:pBdr>
      <w:spacing w:after="360"/>
      <w:contextualSpacing/>
      <w:jc w:val="right"/>
      <w:rPr>
        <w:color w:val="404040" w:themeColor="text1" w:themeTint="BF"/>
        <w:sz w:val="16"/>
        <w:szCs w:val="16"/>
      </w:rPr>
    </w:pPr>
    <w:sdt>
      <w:sdtPr>
        <w:rPr>
          <w:color w:val="404040" w:themeColor="text1" w:themeTint="BF"/>
          <w:sz w:val="16"/>
          <w:szCs w:val="16"/>
        </w:rPr>
        <w:alias w:val="Title"/>
        <w:id w:val="1568223084"/>
        <w:placeholder>
          <w:docPart w:val="4D0BA81E14B948E4869F40BDA51A39BE"/>
        </w:placeholder>
        <w:dataBinding w:prefixMappings="xmlns:ns0='http://purl.org/dc/elements/1.1/' xmlns:ns1='http://schemas.openxmlformats.org/package/2006/metadata/core-properties' " w:xpath="/ns1:coreProperties[1]/ns0:title[1]" w:storeItemID="{6C3C8BC8-F283-45AE-878A-BAB7291924A1}"/>
        <w:text/>
      </w:sdtPr>
      <w:sdtEndPr/>
      <w:sdtContent>
        <w:r w:rsidR="00103DB9">
          <w:rPr>
            <w:color w:val="404040" w:themeColor="text1" w:themeTint="BF"/>
            <w:sz w:val="16"/>
            <w:szCs w:val="16"/>
          </w:rPr>
          <w:t>Best practice principles: Quality, safe workplaces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C5E2D"/>
    <w:multiLevelType w:val="hybridMultilevel"/>
    <w:tmpl w:val="78C48BDE"/>
    <w:lvl w:ilvl="0" w:tplc="ABE03DAA">
      <w:start w:val="1"/>
      <w:numFmt w:val="bullet"/>
      <w:lvlText w:val=""/>
      <w:lvlJc w:val="left"/>
      <w:pPr>
        <w:ind w:left="720" w:hanging="360"/>
      </w:pPr>
      <w:rPr>
        <w:rFonts w:ascii="Symbol" w:hAnsi="Symbol" w:hint="default"/>
      </w:rPr>
    </w:lvl>
    <w:lvl w:ilvl="1" w:tplc="03DC47EC" w:tentative="1">
      <w:start w:val="1"/>
      <w:numFmt w:val="bullet"/>
      <w:lvlText w:val="o"/>
      <w:lvlJc w:val="left"/>
      <w:pPr>
        <w:ind w:left="1440" w:hanging="360"/>
      </w:pPr>
      <w:rPr>
        <w:rFonts w:ascii="Courier New" w:hAnsi="Courier New" w:cs="Courier New" w:hint="default"/>
      </w:rPr>
    </w:lvl>
    <w:lvl w:ilvl="2" w:tplc="9BC68914" w:tentative="1">
      <w:start w:val="1"/>
      <w:numFmt w:val="bullet"/>
      <w:lvlText w:val=""/>
      <w:lvlJc w:val="left"/>
      <w:pPr>
        <w:ind w:left="2160" w:hanging="360"/>
      </w:pPr>
      <w:rPr>
        <w:rFonts w:ascii="Wingdings" w:hAnsi="Wingdings" w:hint="default"/>
      </w:rPr>
    </w:lvl>
    <w:lvl w:ilvl="3" w:tplc="3A508500" w:tentative="1">
      <w:start w:val="1"/>
      <w:numFmt w:val="bullet"/>
      <w:lvlText w:val=""/>
      <w:lvlJc w:val="left"/>
      <w:pPr>
        <w:ind w:left="2880" w:hanging="360"/>
      </w:pPr>
      <w:rPr>
        <w:rFonts w:ascii="Symbol" w:hAnsi="Symbol" w:hint="default"/>
      </w:rPr>
    </w:lvl>
    <w:lvl w:ilvl="4" w:tplc="B95C6E06" w:tentative="1">
      <w:start w:val="1"/>
      <w:numFmt w:val="bullet"/>
      <w:lvlText w:val="o"/>
      <w:lvlJc w:val="left"/>
      <w:pPr>
        <w:ind w:left="3600" w:hanging="360"/>
      </w:pPr>
      <w:rPr>
        <w:rFonts w:ascii="Courier New" w:hAnsi="Courier New" w:cs="Courier New" w:hint="default"/>
      </w:rPr>
    </w:lvl>
    <w:lvl w:ilvl="5" w:tplc="37FC1FEE" w:tentative="1">
      <w:start w:val="1"/>
      <w:numFmt w:val="bullet"/>
      <w:lvlText w:val=""/>
      <w:lvlJc w:val="left"/>
      <w:pPr>
        <w:ind w:left="4320" w:hanging="360"/>
      </w:pPr>
      <w:rPr>
        <w:rFonts w:ascii="Wingdings" w:hAnsi="Wingdings" w:hint="default"/>
      </w:rPr>
    </w:lvl>
    <w:lvl w:ilvl="6" w:tplc="35A6A940" w:tentative="1">
      <w:start w:val="1"/>
      <w:numFmt w:val="bullet"/>
      <w:lvlText w:val=""/>
      <w:lvlJc w:val="left"/>
      <w:pPr>
        <w:ind w:left="5040" w:hanging="360"/>
      </w:pPr>
      <w:rPr>
        <w:rFonts w:ascii="Symbol" w:hAnsi="Symbol" w:hint="default"/>
      </w:rPr>
    </w:lvl>
    <w:lvl w:ilvl="7" w:tplc="862A6EB0" w:tentative="1">
      <w:start w:val="1"/>
      <w:numFmt w:val="bullet"/>
      <w:lvlText w:val="o"/>
      <w:lvlJc w:val="left"/>
      <w:pPr>
        <w:ind w:left="5760" w:hanging="360"/>
      </w:pPr>
      <w:rPr>
        <w:rFonts w:ascii="Courier New" w:hAnsi="Courier New" w:cs="Courier New" w:hint="default"/>
      </w:rPr>
    </w:lvl>
    <w:lvl w:ilvl="8" w:tplc="AF5CF458" w:tentative="1">
      <w:start w:val="1"/>
      <w:numFmt w:val="bullet"/>
      <w:lvlText w:val=""/>
      <w:lvlJc w:val="left"/>
      <w:pPr>
        <w:ind w:left="6480" w:hanging="360"/>
      </w:pPr>
      <w:rPr>
        <w:rFonts w:ascii="Wingdings" w:hAnsi="Wingdings" w:hint="default"/>
      </w:rPr>
    </w:lvl>
  </w:abstractNum>
  <w:abstractNum w:abstractNumId="1" w15:restartNumberingAfterBreak="0">
    <w:nsid w:val="05E14A07"/>
    <w:multiLevelType w:val="hybridMultilevel"/>
    <w:tmpl w:val="142085F4"/>
    <w:lvl w:ilvl="0" w:tplc="9296FA0E">
      <w:start w:val="1"/>
      <w:numFmt w:val="bullet"/>
      <w:lvlText w:val=""/>
      <w:lvlJc w:val="left"/>
      <w:pPr>
        <w:ind w:left="360" w:hanging="360"/>
      </w:pPr>
      <w:rPr>
        <w:rFonts w:ascii="Symbol" w:hAnsi="Symbol" w:hint="default"/>
      </w:rPr>
    </w:lvl>
    <w:lvl w:ilvl="1" w:tplc="9F9CCD86">
      <w:start w:val="1"/>
      <w:numFmt w:val="bullet"/>
      <w:lvlText w:val="o"/>
      <w:lvlJc w:val="left"/>
      <w:pPr>
        <w:ind w:left="1440" w:hanging="360"/>
      </w:pPr>
      <w:rPr>
        <w:rFonts w:ascii="Courier New" w:hAnsi="Courier New" w:cs="Courier New" w:hint="default"/>
      </w:rPr>
    </w:lvl>
    <w:lvl w:ilvl="2" w:tplc="3CDC4A00" w:tentative="1">
      <w:start w:val="1"/>
      <w:numFmt w:val="bullet"/>
      <w:lvlText w:val=""/>
      <w:lvlJc w:val="left"/>
      <w:pPr>
        <w:ind w:left="2160" w:hanging="360"/>
      </w:pPr>
      <w:rPr>
        <w:rFonts w:ascii="Wingdings" w:hAnsi="Wingdings" w:hint="default"/>
      </w:rPr>
    </w:lvl>
    <w:lvl w:ilvl="3" w:tplc="3BA4892C" w:tentative="1">
      <w:start w:val="1"/>
      <w:numFmt w:val="bullet"/>
      <w:lvlText w:val=""/>
      <w:lvlJc w:val="left"/>
      <w:pPr>
        <w:ind w:left="2880" w:hanging="360"/>
      </w:pPr>
      <w:rPr>
        <w:rFonts w:ascii="Symbol" w:hAnsi="Symbol" w:hint="default"/>
      </w:rPr>
    </w:lvl>
    <w:lvl w:ilvl="4" w:tplc="E956440A" w:tentative="1">
      <w:start w:val="1"/>
      <w:numFmt w:val="bullet"/>
      <w:lvlText w:val="o"/>
      <w:lvlJc w:val="left"/>
      <w:pPr>
        <w:ind w:left="3600" w:hanging="360"/>
      </w:pPr>
      <w:rPr>
        <w:rFonts w:ascii="Courier New" w:hAnsi="Courier New" w:cs="Courier New" w:hint="default"/>
      </w:rPr>
    </w:lvl>
    <w:lvl w:ilvl="5" w:tplc="C902E8A4" w:tentative="1">
      <w:start w:val="1"/>
      <w:numFmt w:val="bullet"/>
      <w:lvlText w:val=""/>
      <w:lvlJc w:val="left"/>
      <w:pPr>
        <w:ind w:left="4320" w:hanging="360"/>
      </w:pPr>
      <w:rPr>
        <w:rFonts w:ascii="Wingdings" w:hAnsi="Wingdings" w:hint="default"/>
      </w:rPr>
    </w:lvl>
    <w:lvl w:ilvl="6" w:tplc="6B9823C2" w:tentative="1">
      <w:start w:val="1"/>
      <w:numFmt w:val="bullet"/>
      <w:lvlText w:val=""/>
      <w:lvlJc w:val="left"/>
      <w:pPr>
        <w:ind w:left="5040" w:hanging="360"/>
      </w:pPr>
      <w:rPr>
        <w:rFonts w:ascii="Symbol" w:hAnsi="Symbol" w:hint="default"/>
      </w:rPr>
    </w:lvl>
    <w:lvl w:ilvl="7" w:tplc="27EE4190" w:tentative="1">
      <w:start w:val="1"/>
      <w:numFmt w:val="bullet"/>
      <w:lvlText w:val="o"/>
      <w:lvlJc w:val="left"/>
      <w:pPr>
        <w:ind w:left="5760" w:hanging="360"/>
      </w:pPr>
      <w:rPr>
        <w:rFonts w:ascii="Courier New" w:hAnsi="Courier New" w:cs="Courier New" w:hint="default"/>
      </w:rPr>
    </w:lvl>
    <w:lvl w:ilvl="8" w:tplc="A18052DE" w:tentative="1">
      <w:start w:val="1"/>
      <w:numFmt w:val="bullet"/>
      <w:lvlText w:val=""/>
      <w:lvlJc w:val="left"/>
      <w:pPr>
        <w:ind w:left="6480" w:hanging="360"/>
      </w:pPr>
      <w:rPr>
        <w:rFonts w:ascii="Wingdings" w:hAnsi="Wingdings" w:hint="default"/>
      </w:rPr>
    </w:lvl>
  </w:abstractNum>
  <w:abstractNum w:abstractNumId="2" w15:restartNumberingAfterBreak="0">
    <w:nsid w:val="07A1556F"/>
    <w:multiLevelType w:val="hybridMultilevel"/>
    <w:tmpl w:val="82AA28C2"/>
    <w:lvl w:ilvl="0" w:tplc="0964A520">
      <w:start w:val="1"/>
      <w:numFmt w:val="bullet"/>
      <w:lvlText w:val=""/>
      <w:lvlJc w:val="left"/>
      <w:pPr>
        <w:ind w:left="720" w:hanging="360"/>
      </w:pPr>
      <w:rPr>
        <w:rFonts w:ascii="Symbol" w:hAnsi="Symbol" w:hint="default"/>
      </w:rPr>
    </w:lvl>
    <w:lvl w:ilvl="1" w:tplc="3516FE6C" w:tentative="1">
      <w:start w:val="1"/>
      <w:numFmt w:val="bullet"/>
      <w:lvlText w:val="o"/>
      <w:lvlJc w:val="left"/>
      <w:pPr>
        <w:ind w:left="1440" w:hanging="360"/>
      </w:pPr>
      <w:rPr>
        <w:rFonts w:ascii="Courier New" w:hAnsi="Courier New" w:cs="Courier New" w:hint="default"/>
      </w:rPr>
    </w:lvl>
    <w:lvl w:ilvl="2" w:tplc="0EFC55AC" w:tentative="1">
      <w:start w:val="1"/>
      <w:numFmt w:val="bullet"/>
      <w:lvlText w:val=""/>
      <w:lvlJc w:val="left"/>
      <w:pPr>
        <w:ind w:left="2160" w:hanging="360"/>
      </w:pPr>
      <w:rPr>
        <w:rFonts w:ascii="Wingdings" w:hAnsi="Wingdings" w:hint="default"/>
      </w:rPr>
    </w:lvl>
    <w:lvl w:ilvl="3" w:tplc="F7D8BCF8" w:tentative="1">
      <w:start w:val="1"/>
      <w:numFmt w:val="bullet"/>
      <w:lvlText w:val=""/>
      <w:lvlJc w:val="left"/>
      <w:pPr>
        <w:ind w:left="2880" w:hanging="360"/>
      </w:pPr>
      <w:rPr>
        <w:rFonts w:ascii="Symbol" w:hAnsi="Symbol" w:hint="default"/>
      </w:rPr>
    </w:lvl>
    <w:lvl w:ilvl="4" w:tplc="08C263DC" w:tentative="1">
      <w:start w:val="1"/>
      <w:numFmt w:val="bullet"/>
      <w:lvlText w:val="o"/>
      <w:lvlJc w:val="left"/>
      <w:pPr>
        <w:ind w:left="3600" w:hanging="360"/>
      </w:pPr>
      <w:rPr>
        <w:rFonts w:ascii="Courier New" w:hAnsi="Courier New" w:cs="Courier New" w:hint="default"/>
      </w:rPr>
    </w:lvl>
    <w:lvl w:ilvl="5" w:tplc="5456C2F2" w:tentative="1">
      <w:start w:val="1"/>
      <w:numFmt w:val="bullet"/>
      <w:lvlText w:val=""/>
      <w:lvlJc w:val="left"/>
      <w:pPr>
        <w:ind w:left="4320" w:hanging="360"/>
      </w:pPr>
      <w:rPr>
        <w:rFonts w:ascii="Wingdings" w:hAnsi="Wingdings" w:hint="default"/>
      </w:rPr>
    </w:lvl>
    <w:lvl w:ilvl="6" w:tplc="71C6243A" w:tentative="1">
      <w:start w:val="1"/>
      <w:numFmt w:val="bullet"/>
      <w:lvlText w:val=""/>
      <w:lvlJc w:val="left"/>
      <w:pPr>
        <w:ind w:left="5040" w:hanging="360"/>
      </w:pPr>
      <w:rPr>
        <w:rFonts w:ascii="Symbol" w:hAnsi="Symbol" w:hint="default"/>
      </w:rPr>
    </w:lvl>
    <w:lvl w:ilvl="7" w:tplc="13B0ADB0" w:tentative="1">
      <w:start w:val="1"/>
      <w:numFmt w:val="bullet"/>
      <w:lvlText w:val="o"/>
      <w:lvlJc w:val="left"/>
      <w:pPr>
        <w:ind w:left="5760" w:hanging="360"/>
      </w:pPr>
      <w:rPr>
        <w:rFonts w:ascii="Courier New" w:hAnsi="Courier New" w:cs="Courier New" w:hint="default"/>
      </w:rPr>
    </w:lvl>
    <w:lvl w:ilvl="8" w:tplc="D63AFCE8" w:tentative="1">
      <w:start w:val="1"/>
      <w:numFmt w:val="bullet"/>
      <w:lvlText w:val=""/>
      <w:lvlJc w:val="left"/>
      <w:pPr>
        <w:ind w:left="6480" w:hanging="360"/>
      </w:pPr>
      <w:rPr>
        <w:rFonts w:ascii="Wingdings" w:hAnsi="Wingdings" w:hint="default"/>
      </w:rPr>
    </w:lvl>
  </w:abstractNum>
  <w:abstractNum w:abstractNumId="3" w15:restartNumberingAfterBreak="0">
    <w:nsid w:val="097616D2"/>
    <w:multiLevelType w:val="hybridMultilevel"/>
    <w:tmpl w:val="4052FA00"/>
    <w:lvl w:ilvl="0" w:tplc="B0A2ADA8">
      <w:start w:val="1"/>
      <w:numFmt w:val="bullet"/>
      <w:lvlText w:val=""/>
      <w:lvlJc w:val="left"/>
      <w:pPr>
        <w:ind w:left="720" w:hanging="360"/>
      </w:pPr>
      <w:rPr>
        <w:rFonts w:ascii="Symbol" w:hAnsi="Symbol" w:hint="default"/>
      </w:rPr>
    </w:lvl>
    <w:lvl w:ilvl="1" w:tplc="711EF03A" w:tentative="1">
      <w:start w:val="1"/>
      <w:numFmt w:val="bullet"/>
      <w:lvlText w:val="o"/>
      <w:lvlJc w:val="left"/>
      <w:pPr>
        <w:ind w:left="1440" w:hanging="360"/>
      </w:pPr>
      <w:rPr>
        <w:rFonts w:ascii="Courier New" w:hAnsi="Courier New" w:cs="Courier New" w:hint="default"/>
      </w:rPr>
    </w:lvl>
    <w:lvl w:ilvl="2" w:tplc="A6D4AC38" w:tentative="1">
      <w:start w:val="1"/>
      <w:numFmt w:val="bullet"/>
      <w:lvlText w:val=""/>
      <w:lvlJc w:val="left"/>
      <w:pPr>
        <w:ind w:left="2160" w:hanging="360"/>
      </w:pPr>
      <w:rPr>
        <w:rFonts w:ascii="Wingdings" w:hAnsi="Wingdings" w:hint="default"/>
      </w:rPr>
    </w:lvl>
    <w:lvl w:ilvl="3" w:tplc="8BF6DCC6" w:tentative="1">
      <w:start w:val="1"/>
      <w:numFmt w:val="bullet"/>
      <w:lvlText w:val=""/>
      <w:lvlJc w:val="left"/>
      <w:pPr>
        <w:ind w:left="2880" w:hanging="360"/>
      </w:pPr>
      <w:rPr>
        <w:rFonts w:ascii="Symbol" w:hAnsi="Symbol" w:hint="default"/>
      </w:rPr>
    </w:lvl>
    <w:lvl w:ilvl="4" w:tplc="3908324A" w:tentative="1">
      <w:start w:val="1"/>
      <w:numFmt w:val="bullet"/>
      <w:lvlText w:val="o"/>
      <w:lvlJc w:val="left"/>
      <w:pPr>
        <w:ind w:left="3600" w:hanging="360"/>
      </w:pPr>
      <w:rPr>
        <w:rFonts w:ascii="Courier New" w:hAnsi="Courier New" w:cs="Courier New" w:hint="default"/>
      </w:rPr>
    </w:lvl>
    <w:lvl w:ilvl="5" w:tplc="A132A2C0" w:tentative="1">
      <w:start w:val="1"/>
      <w:numFmt w:val="bullet"/>
      <w:lvlText w:val=""/>
      <w:lvlJc w:val="left"/>
      <w:pPr>
        <w:ind w:left="4320" w:hanging="360"/>
      </w:pPr>
      <w:rPr>
        <w:rFonts w:ascii="Wingdings" w:hAnsi="Wingdings" w:hint="default"/>
      </w:rPr>
    </w:lvl>
    <w:lvl w:ilvl="6" w:tplc="531021E6" w:tentative="1">
      <w:start w:val="1"/>
      <w:numFmt w:val="bullet"/>
      <w:lvlText w:val=""/>
      <w:lvlJc w:val="left"/>
      <w:pPr>
        <w:ind w:left="5040" w:hanging="360"/>
      </w:pPr>
      <w:rPr>
        <w:rFonts w:ascii="Symbol" w:hAnsi="Symbol" w:hint="default"/>
      </w:rPr>
    </w:lvl>
    <w:lvl w:ilvl="7" w:tplc="E9E0E294" w:tentative="1">
      <w:start w:val="1"/>
      <w:numFmt w:val="bullet"/>
      <w:lvlText w:val="o"/>
      <w:lvlJc w:val="left"/>
      <w:pPr>
        <w:ind w:left="5760" w:hanging="360"/>
      </w:pPr>
      <w:rPr>
        <w:rFonts w:ascii="Courier New" w:hAnsi="Courier New" w:cs="Courier New" w:hint="default"/>
      </w:rPr>
    </w:lvl>
    <w:lvl w:ilvl="8" w:tplc="0A06D84A" w:tentative="1">
      <w:start w:val="1"/>
      <w:numFmt w:val="bullet"/>
      <w:lvlText w:val=""/>
      <w:lvlJc w:val="left"/>
      <w:pPr>
        <w:ind w:left="6480" w:hanging="360"/>
      </w:pPr>
      <w:rPr>
        <w:rFonts w:ascii="Wingdings" w:hAnsi="Wingdings" w:hint="default"/>
      </w:rPr>
    </w:lvl>
  </w:abstractNum>
  <w:abstractNum w:abstractNumId="4" w15:restartNumberingAfterBreak="0">
    <w:nsid w:val="0AE059EB"/>
    <w:multiLevelType w:val="hybridMultilevel"/>
    <w:tmpl w:val="B40E2C9C"/>
    <w:lvl w:ilvl="0" w:tplc="9708A4A4">
      <w:start w:val="1"/>
      <w:numFmt w:val="bullet"/>
      <w:lvlText w:val=""/>
      <w:lvlJc w:val="left"/>
      <w:pPr>
        <w:ind w:left="720" w:hanging="360"/>
      </w:pPr>
      <w:rPr>
        <w:rFonts w:ascii="Symbol" w:hAnsi="Symbol" w:hint="default"/>
      </w:rPr>
    </w:lvl>
    <w:lvl w:ilvl="1" w:tplc="B1F45754" w:tentative="1">
      <w:start w:val="1"/>
      <w:numFmt w:val="bullet"/>
      <w:lvlText w:val="o"/>
      <w:lvlJc w:val="left"/>
      <w:pPr>
        <w:ind w:left="1440" w:hanging="360"/>
      </w:pPr>
      <w:rPr>
        <w:rFonts w:ascii="Courier New" w:hAnsi="Courier New" w:cs="Courier New" w:hint="default"/>
      </w:rPr>
    </w:lvl>
    <w:lvl w:ilvl="2" w:tplc="86C24930" w:tentative="1">
      <w:start w:val="1"/>
      <w:numFmt w:val="bullet"/>
      <w:lvlText w:val=""/>
      <w:lvlJc w:val="left"/>
      <w:pPr>
        <w:ind w:left="2160" w:hanging="360"/>
      </w:pPr>
      <w:rPr>
        <w:rFonts w:ascii="Wingdings" w:hAnsi="Wingdings" w:hint="default"/>
      </w:rPr>
    </w:lvl>
    <w:lvl w:ilvl="3" w:tplc="047C842A" w:tentative="1">
      <w:start w:val="1"/>
      <w:numFmt w:val="bullet"/>
      <w:lvlText w:val=""/>
      <w:lvlJc w:val="left"/>
      <w:pPr>
        <w:ind w:left="2880" w:hanging="360"/>
      </w:pPr>
      <w:rPr>
        <w:rFonts w:ascii="Symbol" w:hAnsi="Symbol" w:hint="default"/>
      </w:rPr>
    </w:lvl>
    <w:lvl w:ilvl="4" w:tplc="C2CE0FAA" w:tentative="1">
      <w:start w:val="1"/>
      <w:numFmt w:val="bullet"/>
      <w:lvlText w:val="o"/>
      <w:lvlJc w:val="left"/>
      <w:pPr>
        <w:ind w:left="3600" w:hanging="360"/>
      </w:pPr>
      <w:rPr>
        <w:rFonts w:ascii="Courier New" w:hAnsi="Courier New" w:cs="Courier New" w:hint="default"/>
      </w:rPr>
    </w:lvl>
    <w:lvl w:ilvl="5" w:tplc="672A10EA" w:tentative="1">
      <w:start w:val="1"/>
      <w:numFmt w:val="bullet"/>
      <w:lvlText w:val=""/>
      <w:lvlJc w:val="left"/>
      <w:pPr>
        <w:ind w:left="4320" w:hanging="360"/>
      </w:pPr>
      <w:rPr>
        <w:rFonts w:ascii="Wingdings" w:hAnsi="Wingdings" w:hint="default"/>
      </w:rPr>
    </w:lvl>
    <w:lvl w:ilvl="6" w:tplc="23A608C2" w:tentative="1">
      <w:start w:val="1"/>
      <w:numFmt w:val="bullet"/>
      <w:lvlText w:val=""/>
      <w:lvlJc w:val="left"/>
      <w:pPr>
        <w:ind w:left="5040" w:hanging="360"/>
      </w:pPr>
      <w:rPr>
        <w:rFonts w:ascii="Symbol" w:hAnsi="Symbol" w:hint="default"/>
      </w:rPr>
    </w:lvl>
    <w:lvl w:ilvl="7" w:tplc="5B2CFB40" w:tentative="1">
      <w:start w:val="1"/>
      <w:numFmt w:val="bullet"/>
      <w:lvlText w:val="o"/>
      <w:lvlJc w:val="left"/>
      <w:pPr>
        <w:ind w:left="5760" w:hanging="360"/>
      </w:pPr>
      <w:rPr>
        <w:rFonts w:ascii="Courier New" w:hAnsi="Courier New" w:cs="Courier New" w:hint="default"/>
      </w:rPr>
    </w:lvl>
    <w:lvl w:ilvl="8" w:tplc="4D808B34" w:tentative="1">
      <w:start w:val="1"/>
      <w:numFmt w:val="bullet"/>
      <w:lvlText w:val=""/>
      <w:lvlJc w:val="left"/>
      <w:pPr>
        <w:ind w:left="6480" w:hanging="360"/>
      </w:pPr>
      <w:rPr>
        <w:rFonts w:ascii="Wingdings" w:hAnsi="Wingdings" w:hint="default"/>
      </w:rPr>
    </w:lvl>
  </w:abstractNum>
  <w:abstractNum w:abstractNumId="5" w15:restartNumberingAfterBreak="0">
    <w:nsid w:val="0B4A41E9"/>
    <w:multiLevelType w:val="hybridMultilevel"/>
    <w:tmpl w:val="79900D2A"/>
    <w:lvl w:ilvl="0" w:tplc="221AA254">
      <w:start w:val="1"/>
      <w:numFmt w:val="bullet"/>
      <w:lvlText w:val=""/>
      <w:lvlJc w:val="left"/>
      <w:pPr>
        <w:ind w:left="720" w:hanging="360"/>
      </w:pPr>
      <w:rPr>
        <w:rFonts w:ascii="Symbol" w:hAnsi="Symbol" w:hint="default"/>
      </w:rPr>
    </w:lvl>
    <w:lvl w:ilvl="1" w:tplc="E9A06140" w:tentative="1">
      <w:start w:val="1"/>
      <w:numFmt w:val="bullet"/>
      <w:lvlText w:val="o"/>
      <w:lvlJc w:val="left"/>
      <w:pPr>
        <w:ind w:left="1440" w:hanging="360"/>
      </w:pPr>
      <w:rPr>
        <w:rFonts w:ascii="Courier New" w:hAnsi="Courier New" w:cs="Courier New" w:hint="default"/>
      </w:rPr>
    </w:lvl>
    <w:lvl w:ilvl="2" w:tplc="4BA455C8" w:tentative="1">
      <w:start w:val="1"/>
      <w:numFmt w:val="bullet"/>
      <w:lvlText w:val=""/>
      <w:lvlJc w:val="left"/>
      <w:pPr>
        <w:ind w:left="2160" w:hanging="360"/>
      </w:pPr>
      <w:rPr>
        <w:rFonts w:ascii="Wingdings" w:hAnsi="Wingdings" w:hint="default"/>
      </w:rPr>
    </w:lvl>
    <w:lvl w:ilvl="3" w:tplc="482E98CA" w:tentative="1">
      <w:start w:val="1"/>
      <w:numFmt w:val="bullet"/>
      <w:lvlText w:val=""/>
      <w:lvlJc w:val="left"/>
      <w:pPr>
        <w:ind w:left="2880" w:hanging="360"/>
      </w:pPr>
      <w:rPr>
        <w:rFonts w:ascii="Symbol" w:hAnsi="Symbol" w:hint="default"/>
      </w:rPr>
    </w:lvl>
    <w:lvl w:ilvl="4" w:tplc="167E23DA" w:tentative="1">
      <w:start w:val="1"/>
      <w:numFmt w:val="bullet"/>
      <w:lvlText w:val="o"/>
      <w:lvlJc w:val="left"/>
      <w:pPr>
        <w:ind w:left="3600" w:hanging="360"/>
      </w:pPr>
      <w:rPr>
        <w:rFonts w:ascii="Courier New" w:hAnsi="Courier New" w:cs="Courier New" w:hint="default"/>
      </w:rPr>
    </w:lvl>
    <w:lvl w:ilvl="5" w:tplc="AC38884A" w:tentative="1">
      <w:start w:val="1"/>
      <w:numFmt w:val="bullet"/>
      <w:lvlText w:val=""/>
      <w:lvlJc w:val="left"/>
      <w:pPr>
        <w:ind w:left="4320" w:hanging="360"/>
      </w:pPr>
      <w:rPr>
        <w:rFonts w:ascii="Wingdings" w:hAnsi="Wingdings" w:hint="default"/>
      </w:rPr>
    </w:lvl>
    <w:lvl w:ilvl="6" w:tplc="02C22B96" w:tentative="1">
      <w:start w:val="1"/>
      <w:numFmt w:val="bullet"/>
      <w:lvlText w:val=""/>
      <w:lvlJc w:val="left"/>
      <w:pPr>
        <w:ind w:left="5040" w:hanging="360"/>
      </w:pPr>
      <w:rPr>
        <w:rFonts w:ascii="Symbol" w:hAnsi="Symbol" w:hint="default"/>
      </w:rPr>
    </w:lvl>
    <w:lvl w:ilvl="7" w:tplc="6ED093F8" w:tentative="1">
      <w:start w:val="1"/>
      <w:numFmt w:val="bullet"/>
      <w:lvlText w:val="o"/>
      <w:lvlJc w:val="left"/>
      <w:pPr>
        <w:ind w:left="5760" w:hanging="360"/>
      </w:pPr>
      <w:rPr>
        <w:rFonts w:ascii="Courier New" w:hAnsi="Courier New" w:cs="Courier New" w:hint="default"/>
      </w:rPr>
    </w:lvl>
    <w:lvl w:ilvl="8" w:tplc="11E85A24" w:tentative="1">
      <w:start w:val="1"/>
      <w:numFmt w:val="bullet"/>
      <w:lvlText w:val=""/>
      <w:lvlJc w:val="left"/>
      <w:pPr>
        <w:ind w:left="6480" w:hanging="360"/>
      </w:pPr>
      <w:rPr>
        <w:rFonts w:ascii="Wingdings" w:hAnsi="Wingdings" w:hint="default"/>
      </w:rPr>
    </w:lvl>
  </w:abstractNum>
  <w:abstractNum w:abstractNumId="6" w15:restartNumberingAfterBreak="0">
    <w:nsid w:val="0D163FFB"/>
    <w:multiLevelType w:val="hybridMultilevel"/>
    <w:tmpl w:val="A6D482D8"/>
    <w:lvl w:ilvl="0" w:tplc="134A8656">
      <w:start w:val="1"/>
      <w:numFmt w:val="decimal"/>
      <w:lvlText w:val="%1."/>
      <w:lvlJc w:val="left"/>
      <w:pPr>
        <w:ind w:left="360" w:hanging="360"/>
      </w:pPr>
    </w:lvl>
    <w:lvl w:ilvl="1" w:tplc="F32201B6" w:tentative="1">
      <w:start w:val="1"/>
      <w:numFmt w:val="lowerLetter"/>
      <w:lvlText w:val="%2."/>
      <w:lvlJc w:val="left"/>
      <w:pPr>
        <w:ind w:left="1080" w:hanging="360"/>
      </w:pPr>
    </w:lvl>
    <w:lvl w:ilvl="2" w:tplc="E0CA545C" w:tentative="1">
      <w:start w:val="1"/>
      <w:numFmt w:val="lowerRoman"/>
      <w:lvlText w:val="%3."/>
      <w:lvlJc w:val="right"/>
      <w:pPr>
        <w:ind w:left="1800" w:hanging="180"/>
      </w:pPr>
    </w:lvl>
    <w:lvl w:ilvl="3" w:tplc="DC10F680" w:tentative="1">
      <w:start w:val="1"/>
      <w:numFmt w:val="decimal"/>
      <w:lvlText w:val="%4."/>
      <w:lvlJc w:val="left"/>
      <w:pPr>
        <w:ind w:left="2520" w:hanging="360"/>
      </w:pPr>
    </w:lvl>
    <w:lvl w:ilvl="4" w:tplc="42BA6744" w:tentative="1">
      <w:start w:val="1"/>
      <w:numFmt w:val="lowerLetter"/>
      <w:lvlText w:val="%5."/>
      <w:lvlJc w:val="left"/>
      <w:pPr>
        <w:ind w:left="3240" w:hanging="360"/>
      </w:pPr>
    </w:lvl>
    <w:lvl w:ilvl="5" w:tplc="3706622E" w:tentative="1">
      <w:start w:val="1"/>
      <w:numFmt w:val="lowerRoman"/>
      <w:lvlText w:val="%6."/>
      <w:lvlJc w:val="right"/>
      <w:pPr>
        <w:ind w:left="3960" w:hanging="180"/>
      </w:pPr>
    </w:lvl>
    <w:lvl w:ilvl="6" w:tplc="05F291A2" w:tentative="1">
      <w:start w:val="1"/>
      <w:numFmt w:val="decimal"/>
      <w:lvlText w:val="%7."/>
      <w:lvlJc w:val="left"/>
      <w:pPr>
        <w:ind w:left="4680" w:hanging="360"/>
      </w:pPr>
    </w:lvl>
    <w:lvl w:ilvl="7" w:tplc="98429408" w:tentative="1">
      <w:start w:val="1"/>
      <w:numFmt w:val="lowerLetter"/>
      <w:lvlText w:val="%8."/>
      <w:lvlJc w:val="left"/>
      <w:pPr>
        <w:ind w:left="5400" w:hanging="360"/>
      </w:pPr>
    </w:lvl>
    <w:lvl w:ilvl="8" w:tplc="A15024B2" w:tentative="1">
      <w:start w:val="1"/>
      <w:numFmt w:val="lowerRoman"/>
      <w:lvlText w:val="%9."/>
      <w:lvlJc w:val="right"/>
      <w:pPr>
        <w:ind w:left="6120" w:hanging="180"/>
      </w:pPr>
    </w:lvl>
  </w:abstractNum>
  <w:abstractNum w:abstractNumId="7" w15:restartNumberingAfterBreak="0">
    <w:nsid w:val="0E60393A"/>
    <w:multiLevelType w:val="hybridMultilevel"/>
    <w:tmpl w:val="4A6A1DE6"/>
    <w:lvl w:ilvl="0" w:tplc="5178C36E">
      <w:start w:val="1"/>
      <w:numFmt w:val="bullet"/>
      <w:lvlText w:val=""/>
      <w:lvlJc w:val="left"/>
      <w:pPr>
        <w:ind w:left="360" w:hanging="360"/>
      </w:pPr>
      <w:rPr>
        <w:rFonts w:ascii="Symbol" w:hAnsi="Symbol" w:hint="default"/>
      </w:rPr>
    </w:lvl>
    <w:lvl w:ilvl="1" w:tplc="04DCCDFA">
      <w:start w:val="1"/>
      <w:numFmt w:val="bullet"/>
      <w:lvlText w:val="o"/>
      <w:lvlJc w:val="left"/>
      <w:pPr>
        <w:ind w:left="1080" w:hanging="360"/>
      </w:pPr>
      <w:rPr>
        <w:rFonts w:ascii="Courier New" w:hAnsi="Courier New" w:cs="Courier New" w:hint="default"/>
      </w:rPr>
    </w:lvl>
    <w:lvl w:ilvl="2" w:tplc="72D0F680" w:tentative="1">
      <w:start w:val="1"/>
      <w:numFmt w:val="bullet"/>
      <w:lvlText w:val=""/>
      <w:lvlJc w:val="left"/>
      <w:pPr>
        <w:ind w:left="1800" w:hanging="360"/>
      </w:pPr>
      <w:rPr>
        <w:rFonts w:ascii="Wingdings" w:hAnsi="Wingdings" w:hint="default"/>
      </w:rPr>
    </w:lvl>
    <w:lvl w:ilvl="3" w:tplc="485418D8" w:tentative="1">
      <w:start w:val="1"/>
      <w:numFmt w:val="bullet"/>
      <w:lvlText w:val=""/>
      <w:lvlJc w:val="left"/>
      <w:pPr>
        <w:ind w:left="2520" w:hanging="360"/>
      </w:pPr>
      <w:rPr>
        <w:rFonts w:ascii="Symbol" w:hAnsi="Symbol" w:hint="default"/>
      </w:rPr>
    </w:lvl>
    <w:lvl w:ilvl="4" w:tplc="9E024FAA" w:tentative="1">
      <w:start w:val="1"/>
      <w:numFmt w:val="bullet"/>
      <w:lvlText w:val="o"/>
      <w:lvlJc w:val="left"/>
      <w:pPr>
        <w:ind w:left="3240" w:hanging="360"/>
      </w:pPr>
      <w:rPr>
        <w:rFonts w:ascii="Courier New" w:hAnsi="Courier New" w:cs="Courier New" w:hint="default"/>
      </w:rPr>
    </w:lvl>
    <w:lvl w:ilvl="5" w:tplc="BB065FE8" w:tentative="1">
      <w:start w:val="1"/>
      <w:numFmt w:val="bullet"/>
      <w:lvlText w:val=""/>
      <w:lvlJc w:val="left"/>
      <w:pPr>
        <w:ind w:left="3960" w:hanging="360"/>
      </w:pPr>
      <w:rPr>
        <w:rFonts w:ascii="Wingdings" w:hAnsi="Wingdings" w:hint="default"/>
      </w:rPr>
    </w:lvl>
    <w:lvl w:ilvl="6" w:tplc="DB828E20" w:tentative="1">
      <w:start w:val="1"/>
      <w:numFmt w:val="bullet"/>
      <w:lvlText w:val=""/>
      <w:lvlJc w:val="left"/>
      <w:pPr>
        <w:ind w:left="4680" w:hanging="360"/>
      </w:pPr>
      <w:rPr>
        <w:rFonts w:ascii="Symbol" w:hAnsi="Symbol" w:hint="default"/>
      </w:rPr>
    </w:lvl>
    <w:lvl w:ilvl="7" w:tplc="F37C78C2" w:tentative="1">
      <w:start w:val="1"/>
      <w:numFmt w:val="bullet"/>
      <w:lvlText w:val="o"/>
      <w:lvlJc w:val="left"/>
      <w:pPr>
        <w:ind w:left="5400" w:hanging="360"/>
      </w:pPr>
      <w:rPr>
        <w:rFonts w:ascii="Courier New" w:hAnsi="Courier New" w:cs="Courier New" w:hint="default"/>
      </w:rPr>
    </w:lvl>
    <w:lvl w:ilvl="8" w:tplc="3FAC0FA0" w:tentative="1">
      <w:start w:val="1"/>
      <w:numFmt w:val="bullet"/>
      <w:lvlText w:val=""/>
      <w:lvlJc w:val="left"/>
      <w:pPr>
        <w:ind w:left="6120" w:hanging="360"/>
      </w:pPr>
      <w:rPr>
        <w:rFonts w:ascii="Wingdings" w:hAnsi="Wingdings" w:hint="default"/>
      </w:rPr>
    </w:lvl>
  </w:abstractNum>
  <w:abstractNum w:abstractNumId="8" w15:restartNumberingAfterBreak="0">
    <w:nsid w:val="0F8D4664"/>
    <w:multiLevelType w:val="hybridMultilevel"/>
    <w:tmpl w:val="4F26F1E6"/>
    <w:lvl w:ilvl="0" w:tplc="06A43FD2">
      <w:start w:val="1"/>
      <w:numFmt w:val="bullet"/>
      <w:lvlText w:val=""/>
      <w:lvlJc w:val="left"/>
      <w:pPr>
        <w:ind w:left="720" w:hanging="360"/>
      </w:pPr>
      <w:rPr>
        <w:rFonts w:ascii="Symbol" w:hAnsi="Symbol" w:hint="default"/>
      </w:rPr>
    </w:lvl>
    <w:lvl w:ilvl="1" w:tplc="BAE8DFDA" w:tentative="1">
      <w:start w:val="1"/>
      <w:numFmt w:val="bullet"/>
      <w:lvlText w:val="o"/>
      <w:lvlJc w:val="left"/>
      <w:pPr>
        <w:ind w:left="1440" w:hanging="360"/>
      </w:pPr>
      <w:rPr>
        <w:rFonts w:ascii="Courier New" w:hAnsi="Courier New" w:cs="Courier New" w:hint="default"/>
      </w:rPr>
    </w:lvl>
    <w:lvl w:ilvl="2" w:tplc="6B62F7B8" w:tentative="1">
      <w:start w:val="1"/>
      <w:numFmt w:val="bullet"/>
      <w:lvlText w:val=""/>
      <w:lvlJc w:val="left"/>
      <w:pPr>
        <w:ind w:left="2160" w:hanging="360"/>
      </w:pPr>
      <w:rPr>
        <w:rFonts w:ascii="Wingdings" w:hAnsi="Wingdings" w:hint="default"/>
      </w:rPr>
    </w:lvl>
    <w:lvl w:ilvl="3" w:tplc="D2FEF6CC" w:tentative="1">
      <w:start w:val="1"/>
      <w:numFmt w:val="bullet"/>
      <w:lvlText w:val=""/>
      <w:lvlJc w:val="left"/>
      <w:pPr>
        <w:ind w:left="2880" w:hanging="360"/>
      </w:pPr>
      <w:rPr>
        <w:rFonts w:ascii="Symbol" w:hAnsi="Symbol" w:hint="default"/>
      </w:rPr>
    </w:lvl>
    <w:lvl w:ilvl="4" w:tplc="9E20BD64" w:tentative="1">
      <w:start w:val="1"/>
      <w:numFmt w:val="bullet"/>
      <w:lvlText w:val="o"/>
      <w:lvlJc w:val="left"/>
      <w:pPr>
        <w:ind w:left="3600" w:hanging="360"/>
      </w:pPr>
      <w:rPr>
        <w:rFonts w:ascii="Courier New" w:hAnsi="Courier New" w:cs="Courier New" w:hint="default"/>
      </w:rPr>
    </w:lvl>
    <w:lvl w:ilvl="5" w:tplc="28DAA92A" w:tentative="1">
      <w:start w:val="1"/>
      <w:numFmt w:val="bullet"/>
      <w:lvlText w:val=""/>
      <w:lvlJc w:val="left"/>
      <w:pPr>
        <w:ind w:left="4320" w:hanging="360"/>
      </w:pPr>
      <w:rPr>
        <w:rFonts w:ascii="Wingdings" w:hAnsi="Wingdings" w:hint="default"/>
      </w:rPr>
    </w:lvl>
    <w:lvl w:ilvl="6" w:tplc="1B1A1D8A" w:tentative="1">
      <w:start w:val="1"/>
      <w:numFmt w:val="bullet"/>
      <w:lvlText w:val=""/>
      <w:lvlJc w:val="left"/>
      <w:pPr>
        <w:ind w:left="5040" w:hanging="360"/>
      </w:pPr>
      <w:rPr>
        <w:rFonts w:ascii="Symbol" w:hAnsi="Symbol" w:hint="default"/>
      </w:rPr>
    </w:lvl>
    <w:lvl w:ilvl="7" w:tplc="7876B97A" w:tentative="1">
      <w:start w:val="1"/>
      <w:numFmt w:val="bullet"/>
      <w:lvlText w:val="o"/>
      <w:lvlJc w:val="left"/>
      <w:pPr>
        <w:ind w:left="5760" w:hanging="360"/>
      </w:pPr>
      <w:rPr>
        <w:rFonts w:ascii="Courier New" w:hAnsi="Courier New" w:cs="Courier New" w:hint="default"/>
      </w:rPr>
    </w:lvl>
    <w:lvl w:ilvl="8" w:tplc="2FCE6004" w:tentative="1">
      <w:start w:val="1"/>
      <w:numFmt w:val="bullet"/>
      <w:lvlText w:val=""/>
      <w:lvlJc w:val="left"/>
      <w:pPr>
        <w:ind w:left="6480" w:hanging="360"/>
      </w:pPr>
      <w:rPr>
        <w:rFonts w:ascii="Wingdings" w:hAnsi="Wingdings" w:hint="default"/>
      </w:rPr>
    </w:lvl>
  </w:abstractNum>
  <w:abstractNum w:abstractNumId="9" w15:restartNumberingAfterBreak="0">
    <w:nsid w:val="111342DE"/>
    <w:multiLevelType w:val="hybridMultilevel"/>
    <w:tmpl w:val="1C3C7F98"/>
    <w:lvl w:ilvl="0" w:tplc="8A625B72">
      <w:start w:val="1"/>
      <w:numFmt w:val="bullet"/>
      <w:lvlText w:val=""/>
      <w:lvlJc w:val="left"/>
      <w:pPr>
        <w:ind w:left="720" w:hanging="360"/>
      </w:pPr>
      <w:rPr>
        <w:rFonts w:ascii="Symbol" w:hAnsi="Symbol" w:hint="default"/>
      </w:rPr>
    </w:lvl>
    <w:lvl w:ilvl="1" w:tplc="79727800">
      <w:start w:val="1"/>
      <w:numFmt w:val="bullet"/>
      <w:lvlText w:val="o"/>
      <w:lvlJc w:val="left"/>
      <w:pPr>
        <w:ind w:left="1440" w:hanging="360"/>
      </w:pPr>
      <w:rPr>
        <w:rFonts w:ascii="Courier New" w:hAnsi="Courier New" w:cs="Courier New" w:hint="default"/>
      </w:rPr>
    </w:lvl>
    <w:lvl w:ilvl="2" w:tplc="F650EC6A" w:tentative="1">
      <w:start w:val="1"/>
      <w:numFmt w:val="bullet"/>
      <w:lvlText w:val=""/>
      <w:lvlJc w:val="left"/>
      <w:pPr>
        <w:ind w:left="2160" w:hanging="360"/>
      </w:pPr>
      <w:rPr>
        <w:rFonts w:ascii="Wingdings" w:hAnsi="Wingdings" w:hint="default"/>
      </w:rPr>
    </w:lvl>
    <w:lvl w:ilvl="3" w:tplc="20582F0C" w:tentative="1">
      <w:start w:val="1"/>
      <w:numFmt w:val="bullet"/>
      <w:lvlText w:val=""/>
      <w:lvlJc w:val="left"/>
      <w:pPr>
        <w:ind w:left="2880" w:hanging="360"/>
      </w:pPr>
      <w:rPr>
        <w:rFonts w:ascii="Symbol" w:hAnsi="Symbol" w:hint="default"/>
      </w:rPr>
    </w:lvl>
    <w:lvl w:ilvl="4" w:tplc="46C448FA" w:tentative="1">
      <w:start w:val="1"/>
      <w:numFmt w:val="bullet"/>
      <w:lvlText w:val="o"/>
      <w:lvlJc w:val="left"/>
      <w:pPr>
        <w:ind w:left="3600" w:hanging="360"/>
      </w:pPr>
      <w:rPr>
        <w:rFonts w:ascii="Courier New" w:hAnsi="Courier New" w:cs="Courier New" w:hint="default"/>
      </w:rPr>
    </w:lvl>
    <w:lvl w:ilvl="5" w:tplc="2E38AACC" w:tentative="1">
      <w:start w:val="1"/>
      <w:numFmt w:val="bullet"/>
      <w:lvlText w:val=""/>
      <w:lvlJc w:val="left"/>
      <w:pPr>
        <w:ind w:left="4320" w:hanging="360"/>
      </w:pPr>
      <w:rPr>
        <w:rFonts w:ascii="Wingdings" w:hAnsi="Wingdings" w:hint="default"/>
      </w:rPr>
    </w:lvl>
    <w:lvl w:ilvl="6" w:tplc="DCF8B4EE" w:tentative="1">
      <w:start w:val="1"/>
      <w:numFmt w:val="bullet"/>
      <w:lvlText w:val=""/>
      <w:lvlJc w:val="left"/>
      <w:pPr>
        <w:ind w:left="5040" w:hanging="360"/>
      </w:pPr>
      <w:rPr>
        <w:rFonts w:ascii="Symbol" w:hAnsi="Symbol" w:hint="default"/>
      </w:rPr>
    </w:lvl>
    <w:lvl w:ilvl="7" w:tplc="9DCE8A48" w:tentative="1">
      <w:start w:val="1"/>
      <w:numFmt w:val="bullet"/>
      <w:lvlText w:val="o"/>
      <w:lvlJc w:val="left"/>
      <w:pPr>
        <w:ind w:left="5760" w:hanging="360"/>
      </w:pPr>
      <w:rPr>
        <w:rFonts w:ascii="Courier New" w:hAnsi="Courier New" w:cs="Courier New" w:hint="default"/>
      </w:rPr>
    </w:lvl>
    <w:lvl w:ilvl="8" w:tplc="79066C06" w:tentative="1">
      <w:start w:val="1"/>
      <w:numFmt w:val="bullet"/>
      <w:lvlText w:val=""/>
      <w:lvlJc w:val="left"/>
      <w:pPr>
        <w:ind w:left="6480" w:hanging="360"/>
      </w:pPr>
      <w:rPr>
        <w:rFonts w:ascii="Wingdings" w:hAnsi="Wingdings" w:hint="default"/>
      </w:rPr>
    </w:lvl>
  </w:abstractNum>
  <w:abstractNum w:abstractNumId="10" w15:restartNumberingAfterBreak="0">
    <w:nsid w:val="14B17445"/>
    <w:multiLevelType w:val="hybridMultilevel"/>
    <w:tmpl w:val="9D9E634C"/>
    <w:lvl w:ilvl="0" w:tplc="B5E6C94A">
      <w:start w:val="1"/>
      <w:numFmt w:val="bullet"/>
      <w:lvlText w:val=""/>
      <w:lvlJc w:val="left"/>
      <w:pPr>
        <w:ind w:left="360" w:hanging="360"/>
      </w:pPr>
      <w:rPr>
        <w:rFonts w:ascii="Symbol" w:hAnsi="Symbol" w:hint="default"/>
      </w:rPr>
    </w:lvl>
    <w:lvl w:ilvl="1" w:tplc="BA18E232">
      <w:start w:val="1"/>
      <w:numFmt w:val="bullet"/>
      <w:lvlText w:val="o"/>
      <w:lvlJc w:val="left"/>
      <w:pPr>
        <w:ind w:left="1080" w:hanging="360"/>
      </w:pPr>
      <w:rPr>
        <w:rFonts w:ascii="Courier New" w:hAnsi="Courier New" w:cs="Courier New" w:hint="default"/>
      </w:rPr>
    </w:lvl>
    <w:lvl w:ilvl="2" w:tplc="2B64E754" w:tentative="1">
      <w:start w:val="1"/>
      <w:numFmt w:val="bullet"/>
      <w:lvlText w:val=""/>
      <w:lvlJc w:val="left"/>
      <w:pPr>
        <w:ind w:left="1800" w:hanging="360"/>
      </w:pPr>
      <w:rPr>
        <w:rFonts w:ascii="Wingdings" w:hAnsi="Wingdings" w:hint="default"/>
      </w:rPr>
    </w:lvl>
    <w:lvl w:ilvl="3" w:tplc="0E62311A" w:tentative="1">
      <w:start w:val="1"/>
      <w:numFmt w:val="bullet"/>
      <w:lvlText w:val=""/>
      <w:lvlJc w:val="left"/>
      <w:pPr>
        <w:ind w:left="2520" w:hanging="360"/>
      </w:pPr>
      <w:rPr>
        <w:rFonts w:ascii="Symbol" w:hAnsi="Symbol" w:hint="default"/>
      </w:rPr>
    </w:lvl>
    <w:lvl w:ilvl="4" w:tplc="3F7AAC8C" w:tentative="1">
      <w:start w:val="1"/>
      <w:numFmt w:val="bullet"/>
      <w:lvlText w:val="o"/>
      <w:lvlJc w:val="left"/>
      <w:pPr>
        <w:ind w:left="3240" w:hanging="360"/>
      </w:pPr>
      <w:rPr>
        <w:rFonts w:ascii="Courier New" w:hAnsi="Courier New" w:cs="Courier New" w:hint="default"/>
      </w:rPr>
    </w:lvl>
    <w:lvl w:ilvl="5" w:tplc="F1D87932" w:tentative="1">
      <w:start w:val="1"/>
      <w:numFmt w:val="bullet"/>
      <w:lvlText w:val=""/>
      <w:lvlJc w:val="left"/>
      <w:pPr>
        <w:ind w:left="3960" w:hanging="360"/>
      </w:pPr>
      <w:rPr>
        <w:rFonts w:ascii="Wingdings" w:hAnsi="Wingdings" w:hint="default"/>
      </w:rPr>
    </w:lvl>
    <w:lvl w:ilvl="6" w:tplc="15E42116" w:tentative="1">
      <w:start w:val="1"/>
      <w:numFmt w:val="bullet"/>
      <w:lvlText w:val=""/>
      <w:lvlJc w:val="left"/>
      <w:pPr>
        <w:ind w:left="4680" w:hanging="360"/>
      </w:pPr>
      <w:rPr>
        <w:rFonts w:ascii="Symbol" w:hAnsi="Symbol" w:hint="default"/>
      </w:rPr>
    </w:lvl>
    <w:lvl w:ilvl="7" w:tplc="8C5E81FE" w:tentative="1">
      <w:start w:val="1"/>
      <w:numFmt w:val="bullet"/>
      <w:lvlText w:val="o"/>
      <w:lvlJc w:val="left"/>
      <w:pPr>
        <w:ind w:left="5400" w:hanging="360"/>
      </w:pPr>
      <w:rPr>
        <w:rFonts w:ascii="Courier New" w:hAnsi="Courier New" w:cs="Courier New" w:hint="default"/>
      </w:rPr>
    </w:lvl>
    <w:lvl w:ilvl="8" w:tplc="8D16E93E" w:tentative="1">
      <w:start w:val="1"/>
      <w:numFmt w:val="bullet"/>
      <w:lvlText w:val=""/>
      <w:lvlJc w:val="left"/>
      <w:pPr>
        <w:ind w:left="6120" w:hanging="360"/>
      </w:pPr>
      <w:rPr>
        <w:rFonts w:ascii="Wingdings" w:hAnsi="Wingdings" w:hint="default"/>
      </w:rPr>
    </w:lvl>
  </w:abstractNum>
  <w:abstractNum w:abstractNumId="11" w15:restartNumberingAfterBreak="0">
    <w:nsid w:val="168F2A8A"/>
    <w:multiLevelType w:val="hybridMultilevel"/>
    <w:tmpl w:val="7AD23A02"/>
    <w:lvl w:ilvl="0" w:tplc="6F3238B2">
      <w:start w:val="1"/>
      <w:numFmt w:val="decimal"/>
      <w:lvlText w:val="%1."/>
      <w:lvlJc w:val="left"/>
      <w:pPr>
        <w:ind w:left="720" w:hanging="360"/>
      </w:pPr>
      <w:rPr>
        <w:rFonts w:hint="default"/>
      </w:rPr>
    </w:lvl>
    <w:lvl w:ilvl="1" w:tplc="5A284928" w:tentative="1">
      <w:start w:val="1"/>
      <w:numFmt w:val="lowerLetter"/>
      <w:lvlText w:val="%2."/>
      <w:lvlJc w:val="left"/>
      <w:pPr>
        <w:ind w:left="1440" w:hanging="360"/>
      </w:pPr>
    </w:lvl>
    <w:lvl w:ilvl="2" w:tplc="F10AA97E" w:tentative="1">
      <w:start w:val="1"/>
      <w:numFmt w:val="lowerRoman"/>
      <w:lvlText w:val="%3."/>
      <w:lvlJc w:val="right"/>
      <w:pPr>
        <w:ind w:left="2160" w:hanging="180"/>
      </w:pPr>
    </w:lvl>
    <w:lvl w:ilvl="3" w:tplc="B0145AAC" w:tentative="1">
      <w:start w:val="1"/>
      <w:numFmt w:val="decimal"/>
      <w:lvlText w:val="%4."/>
      <w:lvlJc w:val="left"/>
      <w:pPr>
        <w:ind w:left="2880" w:hanging="360"/>
      </w:pPr>
    </w:lvl>
    <w:lvl w:ilvl="4" w:tplc="FA8EDAC0" w:tentative="1">
      <w:start w:val="1"/>
      <w:numFmt w:val="lowerLetter"/>
      <w:lvlText w:val="%5."/>
      <w:lvlJc w:val="left"/>
      <w:pPr>
        <w:ind w:left="3600" w:hanging="360"/>
      </w:pPr>
    </w:lvl>
    <w:lvl w:ilvl="5" w:tplc="99B68B9C" w:tentative="1">
      <w:start w:val="1"/>
      <w:numFmt w:val="lowerRoman"/>
      <w:lvlText w:val="%6."/>
      <w:lvlJc w:val="right"/>
      <w:pPr>
        <w:ind w:left="4320" w:hanging="180"/>
      </w:pPr>
    </w:lvl>
    <w:lvl w:ilvl="6" w:tplc="50BC8CC6" w:tentative="1">
      <w:start w:val="1"/>
      <w:numFmt w:val="decimal"/>
      <w:lvlText w:val="%7."/>
      <w:lvlJc w:val="left"/>
      <w:pPr>
        <w:ind w:left="5040" w:hanging="360"/>
      </w:pPr>
    </w:lvl>
    <w:lvl w:ilvl="7" w:tplc="0F30E070" w:tentative="1">
      <w:start w:val="1"/>
      <w:numFmt w:val="lowerLetter"/>
      <w:lvlText w:val="%8."/>
      <w:lvlJc w:val="left"/>
      <w:pPr>
        <w:ind w:left="5760" w:hanging="360"/>
      </w:pPr>
    </w:lvl>
    <w:lvl w:ilvl="8" w:tplc="E2685AEA" w:tentative="1">
      <w:start w:val="1"/>
      <w:numFmt w:val="lowerRoman"/>
      <w:lvlText w:val="%9."/>
      <w:lvlJc w:val="right"/>
      <w:pPr>
        <w:ind w:left="6480" w:hanging="180"/>
      </w:pPr>
    </w:lvl>
  </w:abstractNum>
  <w:abstractNum w:abstractNumId="12" w15:restartNumberingAfterBreak="0">
    <w:nsid w:val="17584C20"/>
    <w:multiLevelType w:val="hybridMultilevel"/>
    <w:tmpl w:val="180CD9EE"/>
    <w:lvl w:ilvl="0" w:tplc="2D6A9404">
      <w:start w:val="1"/>
      <w:numFmt w:val="bullet"/>
      <w:lvlText w:val=""/>
      <w:lvlJc w:val="left"/>
      <w:pPr>
        <w:ind w:left="360" w:hanging="360"/>
      </w:pPr>
      <w:rPr>
        <w:rFonts w:ascii="Symbol" w:hAnsi="Symbol" w:hint="default"/>
      </w:rPr>
    </w:lvl>
    <w:lvl w:ilvl="1" w:tplc="D7F2DB48">
      <w:start w:val="1"/>
      <w:numFmt w:val="bullet"/>
      <w:lvlText w:val="o"/>
      <w:lvlJc w:val="left"/>
      <w:pPr>
        <w:ind w:left="1080" w:hanging="360"/>
      </w:pPr>
      <w:rPr>
        <w:rFonts w:ascii="Courier New" w:hAnsi="Courier New" w:cs="Courier New" w:hint="default"/>
      </w:rPr>
    </w:lvl>
    <w:lvl w:ilvl="2" w:tplc="D5C45A04" w:tentative="1">
      <w:start w:val="1"/>
      <w:numFmt w:val="bullet"/>
      <w:lvlText w:val=""/>
      <w:lvlJc w:val="left"/>
      <w:pPr>
        <w:ind w:left="1800" w:hanging="360"/>
      </w:pPr>
      <w:rPr>
        <w:rFonts w:ascii="Wingdings" w:hAnsi="Wingdings" w:hint="default"/>
      </w:rPr>
    </w:lvl>
    <w:lvl w:ilvl="3" w:tplc="E2649D7A" w:tentative="1">
      <w:start w:val="1"/>
      <w:numFmt w:val="bullet"/>
      <w:lvlText w:val=""/>
      <w:lvlJc w:val="left"/>
      <w:pPr>
        <w:ind w:left="2520" w:hanging="360"/>
      </w:pPr>
      <w:rPr>
        <w:rFonts w:ascii="Symbol" w:hAnsi="Symbol" w:hint="default"/>
      </w:rPr>
    </w:lvl>
    <w:lvl w:ilvl="4" w:tplc="DA18461C" w:tentative="1">
      <w:start w:val="1"/>
      <w:numFmt w:val="bullet"/>
      <w:lvlText w:val="o"/>
      <w:lvlJc w:val="left"/>
      <w:pPr>
        <w:ind w:left="3240" w:hanging="360"/>
      </w:pPr>
      <w:rPr>
        <w:rFonts w:ascii="Courier New" w:hAnsi="Courier New" w:cs="Courier New" w:hint="default"/>
      </w:rPr>
    </w:lvl>
    <w:lvl w:ilvl="5" w:tplc="287CA2AA" w:tentative="1">
      <w:start w:val="1"/>
      <w:numFmt w:val="bullet"/>
      <w:lvlText w:val=""/>
      <w:lvlJc w:val="left"/>
      <w:pPr>
        <w:ind w:left="3960" w:hanging="360"/>
      </w:pPr>
      <w:rPr>
        <w:rFonts w:ascii="Wingdings" w:hAnsi="Wingdings" w:hint="default"/>
      </w:rPr>
    </w:lvl>
    <w:lvl w:ilvl="6" w:tplc="E4063F3C" w:tentative="1">
      <w:start w:val="1"/>
      <w:numFmt w:val="bullet"/>
      <w:lvlText w:val=""/>
      <w:lvlJc w:val="left"/>
      <w:pPr>
        <w:ind w:left="4680" w:hanging="360"/>
      </w:pPr>
      <w:rPr>
        <w:rFonts w:ascii="Symbol" w:hAnsi="Symbol" w:hint="default"/>
      </w:rPr>
    </w:lvl>
    <w:lvl w:ilvl="7" w:tplc="5A026084" w:tentative="1">
      <w:start w:val="1"/>
      <w:numFmt w:val="bullet"/>
      <w:lvlText w:val="o"/>
      <w:lvlJc w:val="left"/>
      <w:pPr>
        <w:ind w:left="5400" w:hanging="360"/>
      </w:pPr>
      <w:rPr>
        <w:rFonts w:ascii="Courier New" w:hAnsi="Courier New" w:cs="Courier New" w:hint="default"/>
      </w:rPr>
    </w:lvl>
    <w:lvl w:ilvl="8" w:tplc="1DC0AE36" w:tentative="1">
      <w:start w:val="1"/>
      <w:numFmt w:val="bullet"/>
      <w:lvlText w:val=""/>
      <w:lvlJc w:val="left"/>
      <w:pPr>
        <w:ind w:left="6120" w:hanging="360"/>
      </w:pPr>
      <w:rPr>
        <w:rFonts w:ascii="Wingdings" w:hAnsi="Wingdings" w:hint="default"/>
      </w:rPr>
    </w:lvl>
  </w:abstractNum>
  <w:abstractNum w:abstractNumId="13" w15:restartNumberingAfterBreak="0">
    <w:nsid w:val="175B402B"/>
    <w:multiLevelType w:val="hybridMultilevel"/>
    <w:tmpl w:val="5EA4164A"/>
    <w:lvl w:ilvl="0" w:tplc="6B7836EA">
      <w:start w:val="1"/>
      <w:numFmt w:val="bullet"/>
      <w:lvlText w:val=""/>
      <w:lvlJc w:val="left"/>
      <w:pPr>
        <w:ind w:left="720" w:hanging="360"/>
      </w:pPr>
      <w:rPr>
        <w:rFonts w:ascii="Symbol" w:hAnsi="Symbol" w:hint="default"/>
      </w:rPr>
    </w:lvl>
    <w:lvl w:ilvl="1" w:tplc="2CFC1FFC" w:tentative="1">
      <w:start w:val="1"/>
      <w:numFmt w:val="bullet"/>
      <w:lvlText w:val="o"/>
      <w:lvlJc w:val="left"/>
      <w:pPr>
        <w:ind w:left="1440" w:hanging="360"/>
      </w:pPr>
      <w:rPr>
        <w:rFonts w:ascii="Courier New" w:hAnsi="Courier New" w:cs="Courier New" w:hint="default"/>
      </w:rPr>
    </w:lvl>
    <w:lvl w:ilvl="2" w:tplc="7674C466" w:tentative="1">
      <w:start w:val="1"/>
      <w:numFmt w:val="bullet"/>
      <w:lvlText w:val=""/>
      <w:lvlJc w:val="left"/>
      <w:pPr>
        <w:ind w:left="2160" w:hanging="360"/>
      </w:pPr>
      <w:rPr>
        <w:rFonts w:ascii="Wingdings" w:hAnsi="Wingdings" w:hint="default"/>
      </w:rPr>
    </w:lvl>
    <w:lvl w:ilvl="3" w:tplc="1064182A" w:tentative="1">
      <w:start w:val="1"/>
      <w:numFmt w:val="bullet"/>
      <w:lvlText w:val=""/>
      <w:lvlJc w:val="left"/>
      <w:pPr>
        <w:ind w:left="2880" w:hanging="360"/>
      </w:pPr>
      <w:rPr>
        <w:rFonts w:ascii="Symbol" w:hAnsi="Symbol" w:hint="default"/>
      </w:rPr>
    </w:lvl>
    <w:lvl w:ilvl="4" w:tplc="7A3E10B6" w:tentative="1">
      <w:start w:val="1"/>
      <w:numFmt w:val="bullet"/>
      <w:lvlText w:val="o"/>
      <w:lvlJc w:val="left"/>
      <w:pPr>
        <w:ind w:left="3600" w:hanging="360"/>
      </w:pPr>
      <w:rPr>
        <w:rFonts w:ascii="Courier New" w:hAnsi="Courier New" w:cs="Courier New" w:hint="default"/>
      </w:rPr>
    </w:lvl>
    <w:lvl w:ilvl="5" w:tplc="65281ABA" w:tentative="1">
      <w:start w:val="1"/>
      <w:numFmt w:val="bullet"/>
      <w:lvlText w:val=""/>
      <w:lvlJc w:val="left"/>
      <w:pPr>
        <w:ind w:left="4320" w:hanging="360"/>
      </w:pPr>
      <w:rPr>
        <w:rFonts w:ascii="Wingdings" w:hAnsi="Wingdings" w:hint="default"/>
      </w:rPr>
    </w:lvl>
    <w:lvl w:ilvl="6" w:tplc="9E06D842" w:tentative="1">
      <w:start w:val="1"/>
      <w:numFmt w:val="bullet"/>
      <w:lvlText w:val=""/>
      <w:lvlJc w:val="left"/>
      <w:pPr>
        <w:ind w:left="5040" w:hanging="360"/>
      </w:pPr>
      <w:rPr>
        <w:rFonts w:ascii="Symbol" w:hAnsi="Symbol" w:hint="default"/>
      </w:rPr>
    </w:lvl>
    <w:lvl w:ilvl="7" w:tplc="0D4A4A14" w:tentative="1">
      <w:start w:val="1"/>
      <w:numFmt w:val="bullet"/>
      <w:lvlText w:val="o"/>
      <w:lvlJc w:val="left"/>
      <w:pPr>
        <w:ind w:left="5760" w:hanging="360"/>
      </w:pPr>
      <w:rPr>
        <w:rFonts w:ascii="Courier New" w:hAnsi="Courier New" w:cs="Courier New" w:hint="default"/>
      </w:rPr>
    </w:lvl>
    <w:lvl w:ilvl="8" w:tplc="704A5066" w:tentative="1">
      <w:start w:val="1"/>
      <w:numFmt w:val="bullet"/>
      <w:lvlText w:val=""/>
      <w:lvlJc w:val="left"/>
      <w:pPr>
        <w:ind w:left="6480" w:hanging="360"/>
      </w:pPr>
      <w:rPr>
        <w:rFonts w:ascii="Wingdings" w:hAnsi="Wingdings" w:hint="default"/>
      </w:rPr>
    </w:lvl>
  </w:abstractNum>
  <w:abstractNum w:abstractNumId="14" w15:restartNumberingAfterBreak="0">
    <w:nsid w:val="1B786F2B"/>
    <w:multiLevelType w:val="hybridMultilevel"/>
    <w:tmpl w:val="66C85CB0"/>
    <w:lvl w:ilvl="0" w:tplc="E14A611A">
      <w:start w:val="1"/>
      <w:numFmt w:val="bullet"/>
      <w:lvlText w:val=""/>
      <w:lvlJc w:val="left"/>
      <w:pPr>
        <w:ind w:left="360" w:hanging="360"/>
      </w:pPr>
      <w:rPr>
        <w:rFonts w:ascii="Symbol" w:hAnsi="Symbol" w:hint="default"/>
      </w:rPr>
    </w:lvl>
    <w:lvl w:ilvl="1" w:tplc="8250C188" w:tentative="1">
      <w:start w:val="1"/>
      <w:numFmt w:val="bullet"/>
      <w:lvlText w:val="o"/>
      <w:lvlJc w:val="left"/>
      <w:pPr>
        <w:ind w:left="1080" w:hanging="360"/>
      </w:pPr>
      <w:rPr>
        <w:rFonts w:ascii="Courier New" w:hAnsi="Courier New" w:cs="Courier New" w:hint="default"/>
      </w:rPr>
    </w:lvl>
    <w:lvl w:ilvl="2" w:tplc="0498B758" w:tentative="1">
      <w:start w:val="1"/>
      <w:numFmt w:val="bullet"/>
      <w:lvlText w:val=""/>
      <w:lvlJc w:val="left"/>
      <w:pPr>
        <w:ind w:left="1800" w:hanging="360"/>
      </w:pPr>
      <w:rPr>
        <w:rFonts w:ascii="Wingdings" w:hAnsi="Wingdings" w:hint="default"/>
      </w:rPr>
    </w:lvl>
    <w:lvl w:ilvl="3" w:tplc="363276D8" w:tentative="1">
      <w:start w:val="1"/>
      <w:numFmt w:val="bullet"/>
      <w:lvlText w:val=""/>
      <w:lvlJc w:val="left"/>
      <w:pPr>
        <w:ind w:left="2520" w:hanging="360"/>
      </w:pPr>
      <w:rPr>
        <w:rFonts w:ascii="Symbol" w:hAnsi="Symbol" w:hint="default"/>
      </w:rPr>
    </w:lvl>
    <w:lvl w:ilvl="4" w:tplc="E0A48B9E" w:tentative="1">
      <w:start w:val="1"/>
      <w:numFmt w:val="bullet"/>
      <w:lvlText w:val="o"/>
      <w:lvlJc w:val="left"/>
      <w:pPr>
        <w:ind w:left="3240" w:hanging="360"/>
      </w:pPr>
      <w:rPr>
        <w:rFonts w:ascii="Courier New" w:hAnsi="Courier New" w:cs="Courier New" w:hint="default"/>
      </w:rPr>
    </w:lvl>
    <w:lvl w:ilvl="5" w:tplc="9B0232D8" w:tentative="1">
      <w:start w:val="1"/>
      <w:numFmt w:val="bullet"/>
      <w:lvlText w:val=""/>
      <w:lvlJc w:val="left"/>
      <w:pPr>
        <w:ind w:left="3960" w:hanging="360"/>
      </w:pPr>
      <w:rPr>
        <w:rFonts w:ascii="Wingdings" w:hAnsi="Wingdings" w:hint="default"/>
      </w:rPr>
    </w:lvl>
    <w:lvl w:ilvl="6" w:tplc="FC6A3930" w:tentative="1">
      <w:start w:val="1"/>
      <w:numFmt w:val="bullet"/>
      <w:lvlText w:val=""/>
      <w:lvlJc w:val="left"/>
      <w:pPr>
        <w:ind w:left="4680" w:hanging="360"/>
      </w:pPr>
      <w:rPr>
        <w:rFonts w:ascii="Symbol" w:hAnsi="Symbol" w:hint="default"/>
      </w:rPr>
    </w:lvl>
    <w:lvl w:ilvl="7" w:tplc="46161C26" w:tentative="1">
      <w:start w:val="1"/>
      <w:numFmt w:val="bullet"/>
      <w:lvlText w:val="o"/>
      <w:lvlJc w:val="left"/>
      <w:pPr>
        <w:ind w:left="5400" w:hanging="360"/>
      </w:pPr>
      <w:rPr>
        <w:rFonts w:ascii="Courier New" w:hAnsi="Courier New" w:cs="Courier New" w:hint="default"/>
      </w:rPr>
    </w:lvl>
    <w:lvl w:ilvl="8" w:tplc="4FA4C9E2" w:tentative="1">
      <w:start w:val="1"/>
      <w:numFmt w:val="bullet"/>
      <w:lvlText w:val=""/>
      <w:lvlJc w:val="left"/>
      <w:pPr>
        <w:ind w:left="6120" w:hanging="360"/>
      </w:pPr>
      <w:rPr>
        <w:rFonts w:ascii="Wingdings" w:hAnsi="Wingdings" w:hint="default"/>
      </w:rPr>
    </w:lvl>
  </w:abstractNum>
  <w:abstractNum w:abstractNumId="15" w15:restartNumberingAfterBreak="0">
    <w:nsid w:val="1E2F1F97"/>
    <w:multiLevelType w:val="hybridMultilevel"/>
    <w:tmpl w:val="53009022"/>
    <w:lvl w:ilvl="0" w:tplc="37E0DBF2">
      <w:start w:val="1"/>
      <w:numFmt w:val="bullet"/>
      <w:lvlText w:val=""/>
      <w:lvlJc w:val="left"/>
      <w:pPr>
        <w:ind w:left="360" w:hanging="360"/>
      </w:pPr>
      <w:rPr>
        <w:rFonts w:ascii="Symbol" w:hAnsi="Symbol" w:hint="default"/>
        <w:strike w:val="0"/>
      </w:rPr>
    </w:lvl>
    <w:lvl w:ilvl="1" w:tplc="6756ED8A" w:tentative="1">
      <w:start w:val="1"/>
      <w:numFmt w:val="bullet"/>
      <w:lvlText w:val="o"/>
      <w:lvlJc w:val="left"/>
      <w:pPr>
        <w:ind w:left="1440" w:hanging="360"/>
      </w:pPr>
      <w:rPr>
        <w:rFonts w:ascii="Courier New" w:hAnsi="Courier New" w:cs="Courier New" w:hint="default"/>
      </w:rPr>
    </w:lvl>
    <w:lvl w:ilvl="2" w:tplc="4E30E506" w:tentative="1">
      <w:start w:val="1"/>
      <w:numFmt w:val="bullet"/>
      <w:lvlText w:val=""/>
      <w:lvlJc w:val="left"/>
      <w:pPr>
        <w:ind w:left="2160" w:hanging="360"/>
      </w:pPr>
      <w:rPr>
        <w:rFonts w:ascii="Wingdings" w:hAnsi="Wingdings" w:hint="default"/>
      </w:rPr>
    </w:lvl>
    <w:lvl w:ilvl="3" w:tplc="DA22E16A" w:tentative="1">
      <w:start w:val="1"/>
      <w:numFmt w:val="bullet"/>
      <w:lvlText w:val=""/>
      <w:lvlJc w:val="left"/>
      <w:pPr>
        <w:ind w:left="2880" w:hanging="360"/>
      </w:pPr>
      <w:rPr>
        <w:rFonts w:ascii="Symbol" w:hAnsi="Symbol" w:hint="default"/>
      </w:rPr>
    </w:lvl>
    <w:lvl w:ilvl="4" w:tplc="290C2D24" w:tentative="1">
      <w:start w:val="1"/>
      <w:numFmt w:val="bullet"/>
      <w:lvlText w:val="o"/>
      <w:lvlJc w:val="left"/>
      <w:pPr>
        <w:ind w:left="3600" w:hanging="360"/>
      </w:pPr>
      <w:rPr>
        <w:rFonts w:ascii="Courier New" w:hAnsi="Courier New" w:cs="Courier New" w:hint="default"/>
      </w:rPr>
    </w:lvl>
    <w:lvl w:ilvl="5" w:tplc="14123F4C" w:tentative="1">
      <w:start w:val="1"/>
      <w:numFmt w:val="bullet"/>
      <w:lvlText w:val=""/>
      <w:lvlJc w:val="left"/>
      <w:pPr>
        <w:ind w:left="4320" w:hanging="360"/>
      </w:pPr>
      <w:rPr>
        <w:rFonts w:ascii="Wingdings" w:hAnsi="Wingdings" w:hint="default"/>
      </w:rPr>
    </w:lvl>
    <w:lvl w:ilvl="6" w:tplc="BA7C9A3E" w:tentative="1">
      <w:start w:val="1"/>
      <w:numFmt w:val="bullet"/>
      <w:lvlText w:val=""/>
      <w:lvlJc w:val="left"/>
      <w:pPr>
        <w:ind w:left="5040" w:hanging="360"/>
      </w:pPr>
      <w:rPr>
        <w:rFonts w:ascii="Symbol" w:hAnsi="Symbol" w:hint="default"/>
      </w:rPr>
    </w:lvl>
    <w:lvl w:ilvl="7" w:tplc="A5E84596" w:tentative="1">
      <w:start w:val="1"/>
      <w:numFmt w:val="bullet"/>
      <w:lvlText w:val="o"/>
      <w:lvlJc w:val="left"/>
      <w:pPr>
        <w:ind w:left="5760" w:hanging="360"/>
      </w:pPr>
      <w:rPr>
        <w:rFonts w:ascii="Courier New" w:hAnsi="Courier New" w:cs="Courier New" w:hint="default"/>
      </w:rPr>
    </w:lvl>
    <w:lvl w:ilvl="8" w:tplc="FD1252BE" w:tentative="1">
      <w:start w:val="1"/>
      <w:numFmt w:val="bullet"/>
      <w:lvlText w:val=""/>
      <w:lvlJc w:val="left"/>
      <w:pPr>
        <w:ind w:left="6480" w:hanging="360"/>
      </w:pPr>
      <w:rPr>
        <w:rFonts w:ascii="Wingdings" w:hAnsi="Wingdings" w:hint="default"/>
      </w:rPr>
    </w:lvl>
  </w:abstractNum>
  <w:abstractNum w:abstractNumId="16" w15:restartNumberingAfterBreak="0">
    <w:nsid w:val="22E566F6"/>
    <w:multiLevelType w:val="hybridMultilevel"/>
    <w:tmpl w:val="CF823424"/>
    <w:lvl w:ilvl="0" w:tplc="3DECF98C">
      <w:start w:val="1"/>
      <w:numFmt w:val="bullet"/>
      <w:lvlText w:val=""/>
      <w:lvlJc w:val="left"/>
      <w:pPr>
        <w:ind w:left="1582" w:hanging="360"/>
      </w:pPr>
      <w:rPr>
        <w:rFonts w:ascii="Symbol" w:hAnsi="Symbol" w:hint="default"/>
      </w:rPr>
    </w:lvl>
    <w:lvl w:ilvl="1" w:tplc="121E6CA8" w:tentative="1">
      <w:start w:val="1"/>
      <w:numFmt w:val="bullet"/>
      <w:lvlText w:val="o"/>
      <w:lvlJc w:val="left"/>
      <w:pPr>
        <w:ind w:left="2302" w:hanging="360"/>
      </w:pPr>
      <w:rPr>
        <w:rFonts w:ascii="Courier New" w:hAnsi="Courier New" w:cs="Courier New" w:hint="default"/>
      </w:rPr>
    </w:lvl>
    <w:lvl w:ilvl="2" w:tplc="F7E0010C" w:tentative="1">
      <w:start w:val="1"/>
      <w:numFmt w:val="bullet"/>
      <w:lvlText w:val=""/>
      <w:lvlJc w:val="left"/>
      <w:pPr>
        <w:ind w:left="3022" w:hanging="360"/>
      </w:pPr>
      <w:rPr>
        <w:rFonts w:ascii="Wingdings" w:hAnsi="Wingdings" w:hint="default"/>
      </w:rPr>
    </w:lvl>
    <w:lvl w:ilvl="3" w:tplc="8A6604AA" w:tentative="1">
      <w:start w:val="1"/>
      <w:numFmt w:val="bullet"/>
      <w:lvlText w:val=""/>
      <w:lvlJc w:val="left"/>
      <w:pPr>
        <w:ind w:left="3742" w:hanging="360"/>
      </w:pPr>
      <w:rPr>
        <w:rFonts w:ascii="Symbol" w:hAnsi="Symbol" w:hint="default"/>
      </w:rPr>
    </w:lvl>
    <w:lvl w:ilvl="4" w:tplc="3B301080" w:tentative="1">
      <w:start w:val="1"/>
      <w:numFmt w:val="bullet"/>
      <w:lvlText w:val="o"/>
      <w:lvlJc w:val="left"/>
      <w:pPr>
        <w:ind w:left="4462" w:hanging="360"/>
      </w:pPr>
      <w:rPr>
        <w:rFonts w:ascii="Courier New" w:hAnsi="Courier New" w:cs="Courier New" w:hint="default"/>
      </w:rPr>
    </w:lvl>
    <w:lvl w:ilvl="5" w:tplc="3D30E4F0" w:tentative="1">
      <w:start w:val="1"/>
      <w:numFmt w:val="bullet"/>
      <w:lvlText w:val=""/>
      <w:lvlJc w:val="left"/>
      <w:pPr>
        <w:ind w:left="5182" w:hanging="360"/>
      </w:pPr>
      <w:rPr>
        <w:rFonts w:ascii="Wingdings" w:hAnsi="Wingdings" w:hint="default"/>
      </w:rPr>
    </w:lvl>
    <w:lvl w:ilvl="6" w:tplc="8EDACDAA" w:tentative="1">
      <w:start w:val="1"/>
      <w:numFmt w:val="bullet"/>
      <w:lvlText w:val=""/>
      <w:lvlJc w:val="left"/>
      <w:pPr>
        <w:ind w:left="5902" w:hanging="360"/>
      </w:pPr>
      <w:rPr>
        <w:rFonts w:ascii="Symbol" w:hAnsi="Symbol" w:hint="default"/>
      </w:rPr>
    </w:lvl>
    <w:lvl w:ilvl="7" w:tplc="931E4996" w:tentative="1">
      <w:start w:val="1"/>
      <w:numFmt w:val="bullet"/>
      <w:lvlText w:val="o"/>
      <w:lvlJc w:val="left"/>
      <w:pPr>
        <w:ind w:left="6622" w:hanging="360"/>
      </w:pPr>
      <w:rPr>
        <w:rFonts w:ascii="Courier New" w:hAnsi="Courier New" w:cs="Courier New" w:hint="default"/>
      </w:rPr>
    </w:lvl>
    <w:lvl w:ilvl="8" w:tplc="91A62BB0" w:tentative="1">
      <w:start w:val="1"/>
      <w:numFmt w:val="bullet"/>
      <w:lvlText w:val=""/>
      <w:lvlJc w:val="left"/>
      <w:pPr>
        <w:ind w:left="7342" w:hanging="360"/>
      </w:pPr>
      <w:rPr>
        <w:rFonts w:ascii="Wingdings" w:hAnsi="Wingdings" w:hint="default"/>
      </w:rPr>
    </w:lvl>
  </w:abstractNum>
  <w:abstractNum w:abstractNumId="17" w15:restartNumberingAfterBreak="0">
    <w:nsid w:val="23ED6A2A"/>
    <w:multiLevelType w:val="hybridMultilevel"/>
    <w:tmpl w:val="21F06FFA"/>
    <w:lvl w:ilvl="0" w:tplc="011AB742">
      <w:start w:val="1"/>
      <w:numFmt w:val="bullet"/>
      <w:lvlText w:val=""/>
      <w:lvlJc w:val="left"/>
      <w:pPr>
        <w:ind w:left="360" w:hanging="360"/>
      </w:pPr>
      <w:rPr>
        <w:rFonts w:ascii="Symbol" w:hAnsi="Symbol" w:hint="default"/>
      </w:rPr>
    </w:lvl>
    <w:lvl w:ilvl="1" w:tplc="F4086FC4" w:tentative="1">
      <w:start w:val="1"/>
      <w:numFmt w:val="bullet"/>
      <w:lvlText w:val="o"/>
      <w:lvlJc w:val="left"/>
      <w:pPr>
        <w:ind w:left="1440" w:hanging="360"/>
      </w:pPr>
      <w:rPr>
        <w:rFonts w:ascii="Courier New" w:hAnsi="Courier New" w:cs="Courier New" w:hint="default"/>
      </w:rPr>
    </w:lvl>
    <w:lvl w:ilvl="2" w:tplc="43826894" w:tentative="1">
      <w:start w:val="1"/>
      <w:numFmt w:val="bullet"/>
      <w:lvlText w:val=""/>
      <w:lvlJc w:val="left"/>
      <w:pPr>
        <w:ind w:left="2160" w:hanging="360"/>
      </w:pPr>
      <w:rPr>
        <w:rFonts w:ascii="Wingdings" w:hAnsi="Wingdings" w:hint="default"/>
      </w:rPr>
    </w:lvl>
    <w:lvl w:ilvl="3" w:tplc="5FE694C4" w:tentative="1">
      <w:start w:val="1"/>
      <w:numFmt w:val="bullet"/>
      <w:lvlText w:val=""/>
      <w:lvlJc w:val="left"/>
      <w:pPr>
        <w:ind w:left="2880" w:hanging="360"/>
      </w:pPr>
      <w:rPr>
        <w:rFonts w:ascii="Symbol" w:hAnsi="Symbol" w:hint="default"/>
      </w:rPr>
    </w:lvl>
    <w:lvl w:ilvl="4" w:tplc="CAFEF71C" w:tentative="1">
      <w:start w:val="1"/>
      <w:numFmt w:val="bullet"/>
      <w:lvlText w:val="o"/>
      <w:lvlJc w:val="left"/>
      <w:pPr>
        <w:ind w:left="3600" w:hanging="360"/>
      </w:pPr>
      <w:rPr>
        <w:rFonts w:ascii="Courier New" w:hAnsi="Courier New" w:cs="Courier New" w:hint="default"/>
      </w:rPr>
    </w:lvl>
    <w:lvl w:ilvl="5" w:tplc="7C180D60" w:tentative="1">
      <w:start w:val="1"/>
      <w:numFmt w:val="bullet"/>
      <w:lvlText w:val=""/>
      <w:lvlJc w:val="left"/>
      <w:pPr>
        <w:ind w:left="4320" w:hanging="360"/>
      </w:pPr>
      <w:rPr>
        <w:rFonts w:ascii="Wingdings" w:hAnsi="Wingdings" w:hint="default"/>
      </w:rPr>
    </w:lvl>
    <w:lvl w:ilvl="6" w:tplc="6F84B372" w:tentative="1">
      <w:start w:val="1"/>
      <w:numFmt w:val="bullet"/>
      <w:lvlText w:val=""/>
      <w:lvlJc w:val="left"/>
      <w:pPr>
        <w:ind w:left="5040" w:hanging="360"/>
      </w:pPr>
      <w:rPr>
        <w:rFonts w:ascii="Symbol" w:hAnsi="Symbol" w:hint="default"/>
      </w:rPr>
    </w:lvl>
    <w:lvl w:ilvl="7" w:tplc="B52E3882" w:tentative="1">
      <w:start w:val="1"/>
      <w:numFmt w:val="bullet"/>
      <w:lvlText w:val="o"/>
      <w:lvlJc w:val="left"/>
      <w:pPr>
        <w:ind w:left="5760" w:hanging="360"/>
      </w:pPr>
      <w:rPr>
        <w:rFonts w:ascii="Courier New" w:hAnsi="Courier New" w:cs="Courier New" w:hint="default"/>
      </w:rPr>
    </w:lvl>
    <w:lvl w:ilvl="8" w:tplc="341EBCBC" w:tentative="1">
      <w:start w:val="1"/>
      <w:numFmt w:val="bullet"/>
      <w:lvlText w:val=""/>
      <w:lvlJc w:val="left"/>
      <w:pPr>
        <w:ind w:left="6480" w:hanging="360"/>
      </w:pPr>
      <w:rPr>
        <w:rFonts w:ascii="Wingdings" w:hAnsi="Wingdings" w:hint="default"/>
      </w:rPr>
    </w:lvl>
  </w:abstractNum>
  <w:abstractNum w:abstractNumId="18" w15:restartNumberingAfterBreak="0">
    <w:nsid w:val="244474FB"/>
    <w:multiLevelType w:val="hybridMultilevel"/>
    <w:tmpl w:val="05BAFEEE"/>
    <w:lvl w:ilvl="0" w:tplc="BEE83A12">
      <w:start w:val="1"/>
      <w:numFmt w:val="bullet"/>
      <w:lvlText w:val=""/>
      <w:lvlJc w:val="left"/>
      <w:pPr>
        <w:ind w:left="720" w:hanging="360"/>
      </w:pPr>
      <w:rPr>
        <w:rFonts w:ascii="Symbol" w:hAnsi="Symbol" w:hint="default"/>
      </w:rPr>
    </w:lvl>
    <w:lvl w:ilvl="1" w:tplc="470C1BAE" w:tentative="1">
      <w:start w:val="1"/>
      <w:numFmt w:val="bullet"/>
      <w:lvlText w:val="o"/>
      <w:lvlJc w:val="left"/>
      <w:pPr>
        <w:ind w:left="1440" w:hanging="360"/>
      </w:pPr>
      <w:rPr>
        <w:rFonts w:ascii="Courier New" w:hAnsi="Courier New" w:cs="Courier New" w:hint="default"/>
      </w:rPr>
    </w:lvl>
    <w:lvl w:ilvl="2" w:tplc="47CE06A2" w:tentative="1">
      <w:start w:val="1"/>
      <w:numFmt w:val="bullet"/>
      <w:lvlText w:val=""/>
      <w:lvlJc w:val="left"/>
      <w:pPr>
        <w:ind w:left="2160" w:hanging="360"/>
      </w:pPr>
      <w:rPr>
        <w:rFonts w:ascii="Wingdings" w:hAnsi="Wingdings" w:hint="default"/>
      </w:rPr>
    </w:lvl>
    <w:lvl w:ilvl="3" w:tplc="B7C0B7AE" w:tentative="1">
      <w:start w:val="1"/>
      <w:numFmt w:val="bullet"/>
      <w:lvlText w:val=""/>
      <w:lvlJc w:val="left"/>
      <w:pPr>
        <w:ind w:left="2880" w:hanging="360"/>
      </w:pPr>
      <w:rPr>
        <w:rFonts w:ascii="Symbol" w:hAnsi="Symbol" w:hint="default"/>
      </w:rPr>
    </w:lvl>
    <w:lvl w:ilvl="4" w:tplc="35660AEC" w:tentative="1">
      <w:start w:val="1"/>
      <w:numFmt w:val="bullet"/>
      <w:lvlText w:val="o"/>
      <w:lvlJc w:val="left"/>
      <w:pPr>
        <w:ind w:left="3600" w:hanging="360"/>
      </w:pPr>
      <w:rPr>
        <w:rFonts w:ascii="Courier New" w:hAnsi="Courier New" w:cs="Courier New" w:hint="default"/>
      </w:rPr>
    </w:lvl>
    <w:lvl w:ilvl="5" w:tplc="845E926A" w:tentative="1">
      <w:start w:val="1"/>
      <w:numFmt w:val="bullet"/>
      <w:lvlText w:val=""/>
      <w:lvlJc w:val="left"/>
      <w:pPr>
        <w:ind w:left="4320" w:hanging="360"/>
      </w:pPr>
      <w:rPr>
        <w:rFonts w:ascii="Wingdings" w:hAnsi="Wingdings" w:hint="default"/>
      </w:rPr>
    </w:lvl>
    <w:lvl w:ilvl="6" w:tplc="5720E0E6" w:tentative="1">
      <w:start w:val="1"/>
      <w:numFmt w:val="bullet"/>
      <w:lvlText w:val=""/>
      <w:lvlJc w:val="left"/>
      <w:pPr>
        <w:ind w:left="5040" w:hanging="360"/>
      </w:pPr>
      <w:rPr>
        <w:rFonts w:ascii="Symbol" w:hAnsi="Symbol" w:hint="default"/>
      </w:rPr>
    </w:lvl>
    <w:lvl w:ilvl="7" w:tplc="7270A6F8" w:tentative="1">
      <w:start w:val="1"/>
      <w:numFmt w:val="bullet"/>
      <w:lvlText w:val="o"/>
      <w:lvlJc w:val="left"/>
      <w:pPr>
        <w:ind w:left="5760" w:hanging="360"/>
      </w:pPr>
      <w:rPr>
        <w:rFonts w:ascii="Courier New" w:hAnsi="Courier New" w:cs="Courier New" w:hint="default"/>
      </w:rPr>
    </w:lvl>
    <w:lvl w:ilvl="8" w:tplc="FAE84E10" w:tentative="1">
      <w:start w:val="1"/>
      <w:numFmt w:val="bullet"/>
      <w:lvlText w:val=""/>
      <w:lvlJc w:val="left"/>
      <w:pPr>
        <w:ind w:left="6480" w:hanging="360"/>
      </w:pPr>
      <w:rPr>
        <w:rFonts w:ascii="Wingdings" w:hAnsi="Wingdings" w:hint="default"/>
      </w:rPr>
    </w:lvl>
  </w:abstractNum>
  <w:abstractNum w:abstractNumId="19" w15:restartNumberingAfterBreak="0">
    <w:nsid w:val="2E1E766D"/>
    <w:multiLevelType w:val="hybridMultilevel"/>
    <w:tmpl w:val="1A2C4922"/>
    <w:lvl w:ilvl="0" w:tplc="824E5A44">
      <w:start w:val="1"/>
      <w:numFmt w:val="bullet"/>
      <w:lvlText w:val=""/>
      <w:lvlJc w:val="left"/>
      <w:pPr>
        <w:ind w:left="360" w:hanging="360"/>
      </w:pPr>
      <w:rPr>
        <w:rFonts w:ascii="Symbol" w:hAnsi="Symbol" w:hint="default"/>
      </w:rPr>
    </w:lvl>
    <w:lvl w:ilvl="1" w:tplc="4440C01C" w:tentative="1">
      <w:start w:val="1"/>
      <w:numFmt w:val="bullet"/>
      <w:lvlText w:val="o"/>
      <w:lvlJc w:val="left"/>
      <w:pPr>
        <w:ind w:left="1080" w:hanging="360"/>
      </w:pPr>
      <w:rPr>
        <w:rFonts w:ascii="Courier New" w:hAnsi="Courier New" w:cs="Courier New" w:hint="default"/>
      </w:rPr>
    </w:lvl>
    <w:lvl w:ilvl="2" w:tplc="A06A715C" w:tentative="1">
      <w:start w:val="1"/>
      <w:numFmt w:val="bullet"/>
      <w:lvlText w:val=""/>
      <w:lvlJc w:val="left"/>
      <w:pPr>
        <w:ind w:left="1800" w:hanging="360"/>
      </w:pPr>
      <w:rPr>
        <w:rFonts w:ascii="Wingdings" w:hAnsi="Wingdings" w:hint="default"/>
      </w:rPr>
    </w:lvl>
    <w:lvl w:ilvl="3" w:tplc="747C46EC" w:tentative="1">
      <w:start w:val="1"/>
      <w:numFmt w:val="bullet"/>
      <w:lvlText w:val=""/>
      <w:lvlJc w:val="left"/>
      <w:pPr>
        <w:ind w:left="2520" w:hanging="360"/>
      </w:pPr>
      <w:rPr>
        <w:rFonts w:ascii="Symbol" w:hAnsi="Symbol" w:hint="default"/>
      </w:rPr>
    </w:lvl>
    <w:lvl w:ilvl="4" w:tplc="4A3AFD1A" w:tentative="1">
      <w:start w:val="1"/>
      <w:numFmt w:val="bullet"/>
      <w:lvlText w:val="o"/>
      <w:lvlJc w:val="left"/>
      <w:pPr>
        <w:ind w:left="3240" w:hanging="360"/>
      </w:pPr>
      <w:rPr>
        <w:rFonts w:ascii="Courier New" w:hAnsi="Courier New" w:cs="Courier New" w:hint="default"/>
      </w:rPr>
    </w:lvl>
    <w:lvl w:ilvl="5" w:tplc="6436DCC8" w:tentative="1">
      <w:start w:val="1"/>
      <w:numFmt w:val="bullet"/>
      <w:lvlText w:val=""/>
      <w:lvlJc w:val="left"/>
      <w:pPr>
        <w:ind w:left="3960" w:hanging="360"/>
      </w:pPr>
      <w:rPr>
        <w:rFonts w:ascii="Wingdings" w:hAnsi="Wingdings" w:hint="default"/>
      </w:rPr>
    </w:lvl>
    <w:lvl w:ilvl="6" w:tplc="6EECBF24" w:tentative="1">
      <w:start w:val="1"/>
      <w:numFmt w:val="bullet"/>
      <w:lvlText w:val=""/>
      <w:lvlJc w:val="left"/>
      <w:pPr>
        <w:ind w:left="4680" w:hanging="360"/>
      </w:pPr>
      <w:rPr>
        <w:rFonts w:ascii="Symbol" w:hAnsi="Symbol" w:hint="default"/>
      </w:rPr>
    </w:lvl>
    <w:lvl w:ilvl="7" w:tplc="68F27B2C" w:tentative="1">
      <w:start w:val="1"/>
      <w:numFmt w:val="bullet"/>
      <w:lvlText w:val="o"/>
      <w:lvlJc w:val="left"/>
      <w:pPr>
        <w:ind w:left="5400" w:hanging="360"/>
      </w:pPr>
      <w:rPr>
        <w:rFonts w:ascii="Courier New" w:hAnsi="Courier New" w:cs="Courier New" w:hint="default"/>
      </w:rPr>
    </w:lvl>
    <w:lvl w:ilvl="8" w:tplc="A372D84A" w:tentative="1">
      <w:start w:val="1"/>
      <w:numFmt w:val="bullet"/>
      <w:lvlText w:val=""/>
      <w:lvlJc w:val="left"/>
      <w:pPr>
        <w:ind w:left="6120" w:hanging="360"/>
      </w:pPr>
      <w:rPr>
        <w:rFonts w:ascii="Wingdings" w:hAnsi="Wingdings" w:hint="default"/>
      </w:rPr>
    </w:lvl>
  </w:abstractNum>
  <w:abstractNum w:abstractNumId="20" w15:restartNumberingAfterBreak="0">
    <w:nsid w:val="335A5206"/>
    <w:multiLevelType w:val="hybridMultilevel"/>
    <w:tmpl w:val="D2E8868C"/>
    <w:lvl w:ilvl="0" w:tplc="D5525038">
      <w:start w:val="1"/>
      <w:numFmt w:val="bullet"/>
      <w:lvlText w:val=""/>
      <w:lvlJc w:val="left"/>
      <w:pPr>
        <w:ind w:left="720" w:hanging="360"/>
      </w:pPr>
      <w:rPr>
        <w:rFonts w:ascii="Symbol" w:hAnsi="Symbol" w:hint="default"/>
      </w:rPr>
    </w:lvl>
    <w:lvl w:ilvl="1" w:tplc="F820ADF2" w:tentative="1">
      <w:start w:val="1"/>
      <w:numFmt w:val="bullet"/>
      <w:lvlText w:val="o"/>
      <w:lvlJc w:val="left"/>
      <w:pPr>
        <w:ind w:left="1440" w:hanging="360"/>
      </w:pPr>
      <w:rPr>
        <w:rFonts w:ascii="Courier New" w:hAnsi="Courier New" w:cs="Courier New" w:hint="default"/>
      </w:rPr>
    </w:lvl>
    <w:lvl w:ilvl="2" w:tplc="92DA2C0A" w:tentative="1">
      <w:start w:val="1"/>
      <w:numFmt w:val="bullet"/>
      <w:lvlText w:val=""/>
      <w:lvlJc w:val="left"/>
      <w:pPr>
        <w:ind w:left="2160" w:hanging="360"/>
      </w:pPr>
      <w:rPr>
        <w:rFonts w:ascii="Wingdings" w:hAnsi="Wingdings" w:hint="default"/>
      </w:rPr>
    </w:lvl>
    <w:lvl w:ilvl="3" w:tplc="EF006BCA" w:tentative="1">
      <w:start w:val="1"/>
      <w:numFmt w:val="bullet"/>
      <w:lvlText w:val=""/>
      <w:lvlJc w:val="left"/>
      <w:pPr>
        <w:ind w:left="2880" w:hanging="360"/>
      </w:pPr>
      <w:rPr>
        <w:rFonts w:ascii="Symbol" w:hAnsi="Symbol" w:hint="default"/>
      </w:rPr>
    </w:lvl>
    <w:lvl w:ilvl="4" w:tplc="8B64F3D0" w:tentative="1">
      <w:start w:val="1"/>
      <w:numFmt w:val="bullet"/>
      <w:lvlText w:val="o"/>
      <w:lvlJc w:val="left"/>
      <w:pPr>
        <w:ind w:left="3600" w:hanging="360"/>
      </w:pPr>
      <w:rPr>
        <w:rFonts w:ascii="Courier New" w:hAnsi="Courier New" w:cs="Courier New" w:hint="default"/>
      </w:rPr>
    </w:lvl>
    <w:lvl w:ilvl="5" w:tplc="1334393A" w:tentative="1">
      <w:start w:val="1"/>
      <w:numFmt w:val="bullet"/>
      <w:lvlText w:val=""/>
      <w:lvlJc w:val="left"/>
      <w:pPr>
        <w:ind w:left="4320" w:hanging="360"/>
      </w:pPr>
      <w:rPr>
        <w:rFonts w:ascii="Wingdings" w:hAnsi="Wingdings" w:hint="default"/>
      </w:rPr>
    </w:lvl>
    <w:lvl w:ilvl="6" w:tplc="F3709288" w:tentative="1">
      <w:start w:val="1"/>
      <w:numFmt w:val="bullet"/>
      <w:lvlText w:val=""/>
      <w:lvlJc w:val="left"/>
      <w:pPr>
        <w:ind w:left="5040" w:hanging="360"/>
      </w:pPr>
      <w:rPr>
        <w:rFonts w:ascii="Symbol" w:hAnsi="Symbol" w:hint="default"/>
      </w:rPr>
    </w:lvl>
    <w:lvl w:ilvl="7" w:tplc="0C6E480C" w:tentative="1">
      <w:start w:val="1"/>
      <w:numFmt w:val="bullet"/>
      <w:lvlText w:val="o"/>
      <w:lvlJc w:val="left"/>
      <w:pPr>
        <w:ind w:left="5760" w:hanging="360"/>
      </w:pPr>
      <w:rPr>
        <w:rFonts w:ascii="Courier New" w:hAnsi="Courier New" w:cs="Courier New" w:hint="default"/>
      </w:rPr>
    </w:lvl>
    <w:lvl w:ilvl="8" w:tplc="6AA2485E" w:tentative="1">
      <w:start w:val="1"/>
      <w:numFmt w:val="bullet"/>
      <w:lvlText w:val=""/>
      <w:lvlJc w:val="left"/>
      <w:pPr>
        <w:ind w:left="6480" w:hanging="360"/>
      </w:pPr>
      <w:rPr>
        <w:rFonts w:ascii="Wingdings" w:hAnsi="Wingdings" w:hint="default"/>
      </w:rPr>
    </w:lvl>
  </w:abstractNum>
  <w:abstractNum w:abstractNumId="21" w15:restartNumberingAfterBreak="0">
    <w:nsid w:val="337E2B52"/>
    <w:multiLevelType w:val="hybridMultilevel"/>
    <w:tmpl w:val="6A187FA4"/>
    <w:lvl w:ilvl="0" w:tplc="63A41570">
      <w:start w:val="1"/>
      <w:numFmt w:val="bullet"/>
      <w:lvlText w:val=""/>
      <w:lvlJc w:val="left"/>
      <w:pPr>
        <w:ind w:left="720" w:hanging="360"/>
      </w:pPr>
      <w:rPr>
        <w:rFonts w:ascii="Symbol" w:hAnsi="Symbol" w:hint="default"/>
      </w:rPr>
    </w:lvl>
    <w:lvl w:ilvl="1" w:tplc="E3EA19C2" w:tentative="1">
      <w:start w:val="1"/>
      <w:numFmt w:val="bullet"/>
      <w:lvlText w:val="o"/>
      <w:lvlJc w:val="left"/>
      <w:pPr>
        <w:ind w:left="1440" w:hanging="360"/>
      </w:pPr>
      <w:rPr>
        <w:rFonts w:ascii="Courier New" w:hAnsi="Courier New" w:cs="Courier New" w:hint="default"/>
      </w:rPr>
    </w:lvl>
    <w:lvl w:ilvl="2" w:tplc="6BBA5ACA" w:tentative="1">
      <w:start w:val="1"/>
      <w:numFmt w:val="bullet"/>
      <w:lvlText w:val=""/>
      <w:lvlJc w:val="left"/>
      <w:pPr>
        <w:ind w:left="2160" w:hanging="360"/>
      </w:pPr>
      <w:rPr>
        <w:rFonts w:ascii="Wingdings" w:hAnsi="Wingdings" w:hint="default"/>
      </w:rPr>
    </w:lvl>
    <w:lvl w:ilvl="3" w:tplc="56C4128C" w:tentative="1">
      <w:start w:val="1"/>
      <w:numFmt w:val="bullet"/>
      <w:lvlText w:val=""/>
      <w:lvlJc w:val="left"/>
      <w:pPr>
        <w:ind w:left="2880" w:hanging="360"/>
      </w:pPr>
      <w:rPr>
        <w:rFonts w:ascii="Symbol" w:hAnsi="Symbol" w:hint="default"/>
      </w:rPr>
    </w:lvl>
    <w:lvl w:ilvl="4" w:tplc="F6DC0F12" w:tentative="1">
      <w:start w:val="1"/>
      <w:numFmt w:val="bullet"/>
      <w:lvlText w:val="o"/>
      <w:lvlJc w:val="left"/>
      <w:pPr>
        <w:ind w:left="3600" w:hanging="360"/>
      </w:pPr>
      <w:rPr>
        <w:rFonts w:ascii="Courier New" w:hAnsi="Courier New" w:cs="Courier New" w:hint="default"/>
      </w:rPr>
    </w:lvl>
    <w:lvl w:ilvl="5" w:tplc="A530B78C" w:tentative="1">
      <w:start w:val="1"/>
      <w:numFmt w:val="bullet"/>
      <w:lvlText w:val=""/>
      <w:lvlJc w:val="left"/>
      <w:pPr>
        <w:ind w:left="4320" w:hanging="360"/>
      </w:pPr>
      <w:rPr>
        <w:rFonts w:ascii="Wingdings" w:hAnsi="Wingdings" w:hint="default"/>
      </w:rPr>
    </w:lvl>
    <w:lvl w:ilvl="6" w:tplc="F544EECC" w:tentative="1">
      <w:start w:val="1"/>
      <w:numFmt w:val="bullet"/>
      <w:lvlText w:val=""/>
      <w:lvlJc w:val="left"/>
      <w:pPr>
        <w:ind w:left="5040" w:hanging="360"/>
      </w:pPr>
      <w:rPr>
        <w:rFonts w:ascii="Symbol" w:hAnsi="Symbol" w:hint="default"/>
      </w:rPr>
    </w:lvl>
    <w:lvl w:ilvl="7" w:tplc="A2DC67F6" w:tentative="1">
      <w:start w:val="1"/>
      <w:numFmt w:val="bullet"/>
      <w:lvlText w:val="o"/>
      <w:lvlJc w:val="left"/>
      <w:pPr>
        <w:ind w:left="5760" w:hanging="360"/>
      </w:pPr>
      <w:rPr>
        <w:rFonts w:ascii="Courier New" w:hAnsi="Courier New" w:cs="Courier New" w:hint="default"/>
      </w:rPr>
    </w:lvl>
    <w:lvl w:ilvl="8" w:tplc="C7E67E06" w:tentative="1">
      <w:start w:val="1"/>
      <w:numFmt w:val="bullet"/>
      <w:lvlText w:val=""/>
      <w:lvlJc w:val="left"/>
      <w:pPr>
        <w:ind w:left="6480" w:hanging="360"/>
      </w:pPr>
      <w:rPr>
        <w:rFonts w:ascii="Wingdings" w:hAnsi="Wingdings" w:hint="default"/>
      </w:rPr>
    </w:lvl>
  </w:abstractNum>
  <w:abstractNum w:abstractNumId="22" w15:restartNumberingAfterBreak="0">
    <w:nsid w:val="34C35B71"/>
    <w:multiLevelType w:val="hybridMultilevel"/>
    <w:tmpl w:val="A154C2CA"/>
    <w:lvl w:ilvl="0" w:tplc="414A47DC">
      <w:start w:val="1"/>
      <w:numFmt w:val="bullet"/>
      <w:lvlText w:val=""/>
      <w:lvlJc w:val="left"/>
      <w:pPr>
        <w:ind w:left="360" w:hanging="360"/>
      </w:pPr>
      <w:rPr>
        <w:rFonts w:ascii="Symbol" w:hAnsi="Symbol" w:hint="default"/>
      </w:rPr>
    </w:lvl>
    <w:lvl w:ilvl="1" w:tplc="4B30C96C">
      <w:start w:val="1"/>
      <w:numFmt w:val="bullet"/>
      <w:lvlText w:val="o"/>
      <w:lvlJc w:val="left"/>
      <w:pPr>
        <w:ind w:left="1080" w:hanging="360"/>
      </w:pPr>
      <w:rPr>
        <w:rFonts w:ascii="Courier New" w:hAnsi="Courier New" w:cs="Courier New" w:hint="default"/>
      </w:rPr>
    </w:lvl>
    <w:lvl w:ilvl="2" w:tplc="D686844A" w:tentative="1">
      <w:start w:val="1"/>
      <w:numFmt w:val="bullet"/>
      <w:lvlText w:val=""/>
      <w:lvlJc w:val="left"/>
      <w:pPr>
        <w:ind w:left="1800" w:hanging="360"/>
      </w:pPr>
      <w:rPr>
        <w:rFonts w:ascii="Wingdings" w:hAnsi="Wingdings" w:hint="default"/>
      </w:rPr>
    </w:lvl>
    <w:lvl w:ilvl="3" w:tplc="84366F0C" w:tentative="1">
      <w:start w:val="1"/>
      <w:numFmt w:val="bullet"/>
      <w:lvlText w:val=""/>
      <w:lvlJc w:val="left"/>
      <w:pPr>
        <w:ind w:left="2520" w:hanging="360"/>
      </w:pPr>
      <w:rPr>
        <w:rFonts w:ascii="Symbol" w:hAnsi="Symbol" w:hint="default"/>
      </w:rPr>
    </w:lvl>
    <w:lvl w:ilvl="4" w:tplc="879612B2" w:tentative="1">
      <w:start w:val="1"/>
      <w:numFmt w:val="bullet"/>
      <w:lvlText w:val="o"/>
      <w:lvlJc w:val="left"/>
      <w:pPr>
        <w:ind w:left="3240" w:hanging="360"/>
      </w:pPr>
      <w:rPr>
        <w:rFonts w:ascii="Courier New" w:hAnsi="Courier New" w:cs="Courier New" w:hint="default"/>
      </w:rPr>
    </w:lvl>
    <w:lvl w:ilvl="5" w:tplc="9FF86D2A" w:tentative="1">
      <w:start w:val="1"/>
      <w:numFmt w:val="bullet"/>
      <w:lvlText w:val=""/>
      <w:lvlJc w:val="left"/>
      <w:pPr>
        <w:ind w:left="3960" w:hanging="360"/>
      </w:pPr>
      <w:rPr>
        <w:rFonts w:ascii="Wingdings" w:hAnsi="Wingdings" w:hint="default"/>
      </w:rPr>
    </w:lvl>
    <w:lvl w:ilvl="6" w:tplc="42AE5EB6" w:tentative="1">
      <w:start w:val="1"/>
      <w:numFmt w:val="bullet"/>
      <w:lvlText w:val=""/>
      <w:lvlJc w:val="left"/>
      <w:pPr>
        <w:ind w:left="4680" w:hanging="360"/>
      </w:pPr>
      <w:rPr>
        <w:rFonts w:ascii="Symbol" w:hAnsi="Symbol" w:hint="default"/>
      </w:rPr>
    </w:lvl>
    <w:lvl w:ilvl="7" w:tplc="D2E670A6" w:tentative="1">
      <w:start w:val="1"/>
      <w:numFmt w:val="bullet"/>
      <w:lvlText w:val="o"/>
      <w:lvlJc w:val="left"/>
      <w:pPr>
        <w:ind w:left="5400" w:hanging="360"/>
      </w:pPr>
      <w:rPr>
        <w:rFonts w:ascii="Courier New" w:hAnsi="Courier New" w:cs="Courier New" w:hint="default"/>
      </w:rPr>
    </w:lvl>
    <w:lvl w:ilvl="8" w:tplc="EA042D68" w:tentative="1">
      <w:start w:val="1"/>
      <w:numFmt w:val="bullet"/>
      <w:lvlText w:val=""/>
      <w:lvlJc w:val="left"/>
      <w:pPr>
        <w:ind w:left="6120" w:hanging="360"/>
      </w:pPr>
      <w:rPr>
        <w:rFonts w:ascii="Wingdings" w:hAnsi="Wingdings" w:hint="default"/>
      </w:rPr>
    </w:lvl>
  </w:abstractNum>
  <w:abstractNum w:abstractNumId="23" w15:restartNumberingAfterBreak="0">
    <w:nsid w:val="37CE0C8F"/>
    <w:multiLevelType w:val="hybridMultilevel"/>
    <w:tmpl w:val="BA3AD4BA"/>
    <w:lvl w:ilvl="0" w:tplc="F412E756">
      <w:start w:val="1"/>
      <w:numFmt w:val="bullet"/>
      <w:lvlText w:val=""/>
      <w:lvlJc w:val="left"/>
      <w:pPr>
        <w:ind w:left="720" w:hanging="360"/>
      </w:pPr>
      <w:rPr>
        <w:rFonts w:ascii="Symbol" w:hAnsi="Symbol" w:hint="default"/>
      </w:rPr>
    </w:lvl>
    <w:lvl w:ilvl="1" w:tplc="68586A36" w:tentative="1">
      <w:start w:val="1"/>
      <w:numFmt w:val="bullet"/>
      <w:lvlText w:val="o"/>
      <w:lvlJc w:val="left"/>
      <w:pPr>
        <w:ind w:left="1440" w:hanging="360"/>
      </w:pPr>
      <w:rPr>
        <w:rFonts w:ascii="Courier New" w:hAnsi="Courier New" w:cs="Courier New" w:hint="default"/>
      </w:rPr>
    </w:lvl>
    <w:lvl w:ilvl="2" w:tplc="F79E11D4" w:tentative="1">
      <w:start w:val="1"/>
      <w:numFmt w:val="bullet"/>
      <w:lvlText w:val=""/>
      <w:lvlJc w:val="left"/>
      <w:pPr>
        <w:ind w:left="2160" w:hanging="360"/>
      </w:pPr>
      <w:rPr>
        <w:rFonts w:ascii="Wingdings" w:hAnsi="Wingdings" w:hint="default"/>
      </w:rPr>
    </w:lvl>
    <w:lvl w:ilvl="3" w:tplc="4D5AEF80" w:tentative="1">
      <w:start w:val="1"/>
      <w:numFmt w:val="bullet"/>
      <w:lvlText w:val=""/>
      <w:lvlJc w:val="left"/>
      <w:pPr>
        <w:ind w:left="2880" w:hanging="360"/>
      </w:pPr>
      <w:rPr>
        <w:rFonts w:ascii="Symbol" w:hAnsi="Symbol" w:hint="default"/>
      </w:rPr>
    </w:lvl>
    <w:lvl w:ilvl="4" w:tplc="BD8C4CFA" w:tentative="1">
      <w:start w:val="1"/>
      <w:numFmt w:val="bullet"/>
      <w:lvlText w:val="o"/>
      <w:lvlJc w:val="left"/>
      <w:pPr>
        <w:ind w:left="3600" w:hanging="360"/>
      </w:pPr>
      <w:rPr>
        <w:rFonts w:ascii="Courier New" w:hAnsi="Courier New" w:cs="Courier New" w:hint="default"/>
      </w:rPr>
    </w:lvl>
    <w:lvl w:ilvl="5" w:tplc="62B410D2" w:tentative="1">
      <w:start w:val="1"/>
      <w:numFmt w:val="bullet"/>
      <w:lvlText w:val=""/>
      <w:lvlJc w:val="left"/>
      <w:pPr>
        <w:ind w:left="4320" w:hanging="360"/>
      </w:pPr>
      <w:rPr>
        <w:rFonts w:ascii="Wingdings" w:hAnsi="Wingdings" w:hint="default"/>
      </w:rPr>
    </w:lvl>
    <w:lvl w:ilvl="6" w:tplc="BF7EF2A0" w:tentative="1">
      <w:start w:val="1"/>
      <w:numFmt w:val="bullet"/>
      <w:lvlText w:val=""/>
      <w:lvlJc w:val="left"/>
      <w:pPr>
        <w:ind w:left="5040" w:hanging="360"/>
      </w:pPr>
      <w:rPr>
        <w:rFonts w:ascii="Symbol" w:hAnsi="Symbol" w:hint="default"/>
      </w:rPr>
    </w:lvl>
    <w:lvl w:ilvl="7" w:tplc="930CD028" w:tentative="1">
      <w:start w:val="1"/>
      <w:numFmt w:val="bullet"/>
      <w:lvlText w:val="o"/>
      <w:lvlJc w:val="left"/>
      <w:pPr>
        <w:ind w:left="5760" w:hanging="360"/>
      </w:pPr>
      <w:rPr>
        <w:rFonts w:ascii="Courier New" w:hAnsi="Courier New" w:cs="Courier New" w:hint="default"/>
      </w:rPr>
    </w:lvl>
    <w:lvl w:ilvl="8" w:tplc="0A7EF9C2" w:tentative="1">
      <w:start w:val="1"/>
      <w:numFmt w:val="bullet"/>
      <w:lvlText w:val=""/>
      <w:lvlJc w:val="left"/>
      <w:pPr>
        <w:ind w:left="6480" w:hanging="360"/>
      </w:pPr>
      <w:rPr>
        <w:rFonts w:ascii="Wingdings" w:hAnsi="Wingdings" w:hint="default"/>
      </w:rPr>
    </w:lvl>
  </w:abstractNum>
  <w:abstractNum w:abstractNumId="24" w15:restartNumberingAfterBreak="0">
    <w:nsid w:val="38457D1F"/>
    <w:multiLevelType w:val="hybridMultilevel"/>
    <w:tmpl w:val="B706F18A"/>
    <w:lvl w:ilvl="0" w:tplc="0332CED6">
      <w:start w:val="1"/>
      <w:numFmt w:val="bullet"/>
      <w:lvlText w:val=""/>
      <w:lvlJc w:val="left"/>
      <w:pPr>
        <w:ind w:left="720" w:hanging="360"/>
      </w:pPr>
      <w:rPr>
        <w:rFonts w:ascii="Symbol" w:hAnsi="Symbol" w:hint="default"/>
      </w:rPr>
    </w:lvl>
    <w:lvl w:ilvl="1" w:tplc="97449FE4" w:tentative="1">
      <w:start w:val="1"/>
      <w:numFmt w:val="bullet"/>
      <w:lvlText w:val="o"/>
      <w:lvlJc w:val="left"/>
      <w:pPr>
        <w:ind w:left="1440" w:hanging="360"/>
      </w:pPr>
      <w:rPr>
        <w:rFonts w:ascii="Courier New" w:hAnsi="Courier New" w:cs="Courier New" w:hint="default"/>
      </w:rPr>
    </w:lvl>
    <w:lvl w:ilvl="2" w:tplc="8D2C470C" w:tentative="1">
      <w:start w:val="1"/>
      <w:numFmt w:val="bullet"/>
      <w:lvlText w:val=""/>
      <w:lvlJc w:val="left"/>
      <w:pPr>
        <w:ind w:left="2160" w:hanging="360"/>
      </w:pPr>
      <w:rPr>
        <w:rFonts w:ascii="Wingdings" w:hAnsi="Wingdings" w:hint="default"/>
      </w:rPr>
    </w:lvl>
    <w:lvl w:ilvl="3" w:tplc="0090DCCA" w:tentative="1">
      <w:start w:val="1"/>
      <w:numFmt w:val="bullet"/>
      <w:lvlText w:val=""/>
      <w:lvlJc w:val="left"/>
      <w:pPr>
        <w:ind w:left="2880" w:hanging="360"/>
      </w:pPr>
      <w:rPr>
        <w:rFonts w:ascii="Symbol" w:hAnsi="Symbol" w:hint="default"/>
      </w:rPr>
    </w:lvl>
    <w:lvl w:ilvl="4" w:tplc="E1621BE4" w:tentative="1">
      <w:start w:val="1"/>
      <w:numFmt w:val="bullet"/>
      <w:lvlText w:val="o"/>
      <w:lvlJc w:val="left"/>
      <w:pPr>
        <w:ind w:left="3600" w:hanging="360"/>
      </w:pPr>
      <w:rPr>
        <w:rFonts w:ascii="Courier New" w:hAnsi="Courier New" w:cs="Courier New" w:hint="default"/>
      </w:rPr>
    </w:lvl>
    <w:lvl w:ilvl="5" w:tplc="38989112" w:tentative="1">
      <w:start w:val="1"/>
      <w:numFmt w:val="bullet"/>
      <w:lvlText w:val=""/>
      <w:lvlJc w:val="left"/>
      <w:pPr>
        <w:ind w:left="4320" w:hanging="360"/>
      </w:pPr>
      <w:rPr>
        <w:rFonts w:ascii="Wingdings" w:hAnsi="Wingdings" w:hint="default"/>
      </w:rPr>
    </w:lvl>
    <w:lvl w:ilvl="6" w:tplc="C6BA615E" w:tentative="1">
      <w:start w:val="1"/>
      <w:numFmt w:val="bullet"/>
      <w:lvlText w:val=""/>
      <w:lvlJc w:val="left"/>
      <w:pPr>
        <w:ind w:left="5040" w:hanging="360"/>
      </w:pPr>
      <w:rPr>
        <w:rFonts w:ascii="Symbol" w:hAnsi="Symbol" w:hint="default"/>
      </w:rPr>
    </w:lvl>
    <w:lvl w:ilvl="7" w:tplc="EF02BC62" w:tentative="1">
      <w:start w:val="1"/>
      <w:numFmt w:val="bullet"/>
      <w:lvlText w:val="o"/>
      <w:lvlJc w:val="left"/>
      <w:pPr>
        <w:ind w:left="5760" w:hanging="360"/>
      </w:pPr>
      <w:rPr>
        <w:rFonts w:ascii="Courier New" w:hAnsi="Courier New" w:cs="Courier New" w:hint="default"/>
      </w:rPr>
    </w:lvl>
    <w:lvl w:ilvl="8" w:tplc="8F0C4206" w:tentative="1">
      <w:start w:val="1"/>
      <w:numFmt w:val="bullet"/>
      <w:lvlText w:val=""/>
      <w:lvlJc w:val="left"/>
      <w:pPr>
        <w:ind w:left="6480" w:hanging="360"/>
      </w:pPr>
      <w:rPr>
        <w:rFonts w:ascii="Wingdings" w:hAnsi="Wingdings" w:hint="default"/>
      </w:rPr>
    </w:lvl>
  </w:abstractNum>
  <w:abstractNum w:abstractNumId="25" w15:restartNumberingAfterBreak="0">
    <w:nsid w:val="38BB190D"/>
    <w:multiLevelType w:val="hybridMultilevel"/>
    <w:tmpl w:val="7A86F134"/>
    <w:lvl w:ilvl="0" w:tplc="BBD2E688">
      <w:start w:val="1"/>
      <w:numFmt w:val="bullet"/>
      <w:lvlText w:val=""/>
      <w:lvlJc w:val="left"/>
      <w:pPr>
        <w:ind w:left="360" w:hanging="360"/>
      </w:pPr>
      <w:rPr>
        <w:rFonts w:ascii="Symbol" w:hAnsi="Symbol" w:hint="default"/>
      </w:rPr>
    </w:lvl>
    <w:lvl w:ilvl="1" w:tplc="AA5639D4" w:tentative="1">
      <w:start w:val="1"/>
      <w:numFmt w:val="bullet"/>
      <w:lvlText w:val="o"/>
      <w:lvlJc w:val="left"/>
      <w:pPr>
        <w:ind w:left="1080" w:hanging="360"/>
      </w:pPr>
      <w:rPr>
        <w:rFonts w:ascii="Courier New" w:hAnsi="Courier New" w:cs="Courier New" w:hint="default"/>
      </w:rPr>
    </w:lvl>
    <w:lvl w:ilvl="2" w:tplc="DF509EC8" w:tentative="1">
      <w:start w:val="1"/>
      <w:numFmt w:val="bullet"/>
      <w:lvlText w:val=""/>
      <w:lvlJc w:val="left"/>
      <w:pPr>
        <w:ind w:left="1800" w:hanging="360"/>
      </w:pPr>
      <w:rPr>
        <w:rFonts w:ascii="Wingdings" w:hAnsi="Wingdings" w:hint="default"/>
      </w:rPr>
    </w:lvl>
    <w:lvl w:ilvl="3" w:tplc="ECB8FE3C" w:tentative="1">
      <w:start w:val="1"/>
      <w:numFmt w:val="bullet"/>
      <w:lvlText w:val=""/>
      <w:lvlJc w:val="left"/>
      <w:pPr>
        <w:ind w:left="2520" w:hanging="360"/>
      </w:pPr>
      <w:rPr>
        <w:rFonts w:ascii="Symbol" w:hAnsi="Symbol" w:hint="default"/>
      </w:rPr>
    </w:lvl>
    <w:lvl w:ilvl="4" w:tplc="D25A69CA" w:tentative="1">
      <w:start w:val="1"/>
      <w:numFmt w:val="bullet"/>
      <w:lvlText w:val="o"/>
      <w:lvlJc w:val="left"/>
      <w:pPr>
        <w:ind w:left="3240" w:hanging="360"/>
      </w:pPr>
      <w:rPr>
        <w:rFonts w:ascii="Courier New" w:hAnsi="Courier New" w:cs="Courier New" w:hint="default"/>
      </w:rPr>
    </w:lvl>
    <w:lvl w:ilvl="5" w:tplc="C26ADE78" w:tentative="1">
      <w:start w:val="1"/>
      <w:numFmt w:val="bullet"/>
      <w:lvlText w:val=""/>
      <w:lvlJc w:val="left"/>
      <w:pPr>
        <w:ind w:left="3960" w:hanging="360"/>
      </w:pPr>
      <w:rPr>
        <w:rFonts w:ascii="Wingdings" w:hAnsi="Wingdings" w:hint="default"/>
      </w:rPr>
    </w:lvl>
    <w:lvl w:ilvl="6" w:tplc="26FE475A" w:tentative="1">
      <w:start w:val="1"/>
      <w:numFmt w:val="bullet"/>
      <w:lvlText w:val=""/>
      <w:lvlJc w:val="left"/>
      <w:pPr>
        <w:ind w:left="4680" w:hanging="360"/>
      </w:pPr>
      <w:rPr>
        <w:rFonts w:ascii="Symbol" w:hAnsi="Symbol" w:hint="default"/>
      </w:rPr>
    </w:lvl>
    <w:lvl w:ilvl="7" w:tplc="A3486922" w:tentative="1">
      <w:start w:val="1"/>
      <w:numFmt w:val="bullet"/>
      <w:lvlText w:val="o"/>
      <w:lvlJc w:val="left"/>
      <w:pPr>
        <w:ind w:left="5400" w:hanging="360"/>
      </w:pPr>
      <w:rPr>
        <w:rFonts w:ascii="Courier New" w:hAnsi="Courier New" w:cs="Courier New" w:hint="default"/>
      </w:rPr>
    </w:lvl>
    <w:lvl w:ilvl="8" w:tplc="B01484DE" w:tentative="1">
      <w:start w:val="1"/>
      <w:numFmt w:val="bullet"/>
      <w:lvlText w:val=""/>
      <w:lvlJc w:val="left"/>
      <w:pPr>
        <w:ind w:left="6120" w:hanging="360"/>
      </w:pPr>
      <w:rPr>
        <w:rFonts w:ascii="Wingdings" w:hAnsi="Wingdings" w:hint="default"/>
      </w:rPr>
    </w:lvl>
  </w:abstractNum>
  <w:abstractNum w:abstractNumId="26" w15:restartNumberingAfterBreak="0">
    <w:nsid w:val="39E67DD8"/>
    <w:multiLevelType w:val="hybridMultilevel"/>
    <w:tmpl w:val="1D663C56"/>
    <w:lvl w:ilvl="0" w:tplc="18CE1F44">
      <w:start w:val="1"/>
      <w:numFmt w:val="bullet"/>
      <w:lvlText w:val=""/>
      <w:lvlJc w:val="left"/>
      <w:pPr>
        <w:ind w:left="360" w:hanging="360"/>
      </w:pPr>
      <w:rPr>
        <w:rFonts w:ascii="Symbol" w:hAnsi="Symbol" w:hint="default"/>
      </w:rPr>
    </w:lvl>
    <w:lvl w:ilvl="1" w:tplc="B4B65956">
      <w:start w:val="1"/>
      <w:numFmt w:val="bullet"/>
      <w:lvlText w:val="o"/>
      <w:lvlJc w:val="left"/>
      <w:pPr>
        <w:ind w:left="1080" w:hanging="360"/>
      </w:pPr>
      <w:rPr>
        <w:rFonts w:ascii="Courier New" w:hAnsi="Courier New" w:cs="Courier New" w:hint="default"/>
      </w:rPr>
    </w:lvl>
    <w:lvl w:ilvl="2" w:tplc="A9B4C80C" w:tentative="1">
      <w:start w:val="1"/>
      <w:numFmt w:val="bullet"/>
      <w:lvlText w:val=""/>
      <w:lvlJc w:val="left"/>
      <w:pPr>
        <w:ind w:left="1800" w:hanging="360"/>
      </w:pPr>
      <w:rPr>
        <w:rFonts w:ascii="Wingdings" w:hAnsi="Wingdings" w:hint="default"/>
      </w:rPr>
    </w:lvl>
    <w:lvl w:ilvl="3" w:tplc="1AE64546" w:tentative="1">
      <w:start w:val="1"/>
      <w:numFmt w:val="bullet"/>
      <w:lvlText w:val=""/>
      <w:lvlJc w:val="left"/>
      <w:pPr>
        <w:ind w:left="2520" w:hanging="360"/>
      </w:pPr>
      <w:rPr>
        <w:rFonts w:ascii="Symbol" w:hAnsi="Symbol" w:hint="default"/>
      </w:rPr>
    </w:lvl>
    <w:lvl w:ilvl="4" w:tplc="1A385A86" w:tentative="1">
      <w:start w:val="1"/>
      <w:numFmt w:val="bullet"/>
      <w:lvlText w:val="o"/>
      <w:lvlJc w:val="left"/>
      <w:pPr>
        <w:ind w:left="3240" w:hanging="360"/>
      </w:pPr>
      <w:rPr>
        <w:rFonts w:ascii="Courier New" w:hAnsi="Courier New" w:cs="Courier New" w:hint="default"/>
      </w:rPr>
    </w:lvl>
    <w:lvl w:ilvl="5" w:tplc="3774B570" w:tentative="1">
      <w:start w:val="1"/>
      <w:numFmt w:val="bullet"/>
      <w:lvlText w:val=""/>
      <w:lvlJc w:val="left"/>
      <w:pPr>
        <w:ind w:left="3960" w:hanging="360"/>
      </w:pPr>
      <w:rPr>
        <w:rFonts w:ascii="Wingdings" w:hAnsi="Wingdings" w:hint="default"/>
      </w:rPr>
    </w:lvl>
    <w:lvl w:ilvl="6" w:tplc="0C06AF3C" w:tentative="1">
      <w:start w:val="1"/>
      <w:numFmt w:val="bullet"/>
      <w:lvlText w:val=""/>
      <w:lvlJc w:val="left"/>
      <w:pPr>
        <w:ind w:left="4680" w:hanging="360"/>
      </w:pPr>
      <w:rPr>
        <w:rFonts w:ascii="Symbol" w:hAnsi="Symbol" w:hint="default"/>
      </w:rPr>
    </w:lvl>
    <w:lvl w:ilvl="7" w:tplc="25F82384" w:tentative="1">
      <w:start w:val="1"/>
      <w:numFmt w:val="bullet"/>
      <w:lvlText w:val="o"/>
      <w:lvlJc w:val="left"/>
      <w:pPr>
        <w:ind w:left="5400" w:hanging="360"/>
      </w:pPr>
      <w:rPr>
        <w:rFonts w:ascii="Courier New" w:hAnsi="Courier New" w:cs="Courier New" w:hint="default"/>
      </w:rPr>
    </w:lvl>
    <w:lvl w:ilvl="8" w:tplc="01B2459A" w:tentative="1">
      <w:start w:val="1"/>
      <w:numFmt w:val="bullet"/>
      <w:lvlText w:val=""/>
      <w:lvlJc w:val="left"/>
      <w:pPr>
        <w:ind w:left="6120" w:hanging="360"/>
      </w:pPr>
      <w:rPr>
        <w:rFonts w:ascii="Wingdings" w:hAnsi="Wingdings" w:hint="default"/>
      </w:rPr>
    </w:lvl>
  </w:abstractNum>
  <w:abstractNum w:abstractNumId="27" w15:restartNumberingAfterBreak="0">
    <w:nsid w:val="3CD756A6"/>
    <w:multiLevelType w:val="hybridMultilevel"/>
    <w:tmpl w:val="A78E9B8C"/>
    <w:lvl w:ilvl="0" w:tplc="5C6AEA96">
      <w:start w:val="1"/>
      <w:numFmt w:val="bullet"/>
      <w:lvlText w:val=""/>
      <w:lvlJc w:val="left"/>
      <w:pPr>
        <w:ind w:left="720" w:hanging="360"/>
      </w:pPr>
      <w:rPr>
        <w:rFonts w:ascii="Symbol" w:hAnsi="Symbol" w:hint="default"/>
      </w:rPr>
    </w:lvl>
    <w:lvl w:ilvl="1" w:tplc="0F86EC3A" w:tentative="1">
      <w:start w:val="1"/>
      <w:numFmt w:val="bullet"/>
      <w:lvlText w:val="o"/>
      <w:lvlJc w:val="left"/>
      <w:pPr>
        <w:ind w:left="1440" w:hanging="360"/>
      </w:pPr>
      <w:rPr>
        <w:rFonts w:ascii="Courier New" w:hAnsi="Courier New" w:cs="Courier New" w:hint="default"/>
      </w:rPr>
    </w:lvl>
    <w:lvl w:ilvl="2" w:tplc="EE4A5346" w:tentative="1">
      <w:start w:val="1"/>
      <w:numFmt w:val="bullet"/>
      <w:lvlText w:val=""/>
      <w:lvlJc w:val="left"/>
      <w:pPr>
        <w:ind w:left="2160" w:hanging="360"/>
      </w:pPr>
      <w:rPr>
        <w:rFonts w:ascii="Wingdings" w:hAnsi="Wingdings" w:hint="default"/>
      </w:rPr>
    </w:lvl>
    <w:lvl w:ilvl="3" w:tplc="048A9296" w:tentative="1">
      <w:start w:val="1"/>
      <w:numFmt w:val="bullet"/>
      <w:lvlText w:val=""/>
      <w:lvlJc w:val="left"/>
      <w:pPr>
        <w:ind w:left="2880" w:hanging="360"/>
      </w:pPr>
      <w:rPr>
        <w:rFonts w:ascii="Symbol" w:hAnsi="Symbol" w:hint="default"/>
      </w:rPr>
    </w:lvl>
    <w:lvl w:ilvl="4" w:tplc="EA68508C" w:tentative="1">
      <w:start w:val="1"/>
      <w:numFmt w:val="bullet"/>
      <w:lvlText w:val="o"/>
      <w:lvlJc w:val="left"/>
      <w:pPr>
        <w:ind w:left="3600" w:hanging="360"/>
      </w:pPr>
      <w:rPr>
        <w:rFonts w:ascii="Courier New" w:hAnsi="Courier New" w:cs="Courier New" w:hint="default"/>
      </w:rPr>
    </w:lvl>
    <w:lvl w:ilvl="5" w:tplc="61568562" w:tentative="1">
      <w:start w:val="1"/>
      <w:numFmt w:val="bullet"/>
      <w:lvlText w:val=""/>
      <w:lvlJc w:val="left"/>
      <w:pPr>
        <w:ind w:left="4320" w:hanging="360"/>
      </w:pPr>
      <w:rPr>
        <w:rFonts w:ascii="Wingdings" w:hAnsi="Wingdings" w:hint="default"/>
      </w:rPr>
    </w:lvl>
    <w:lvl w:ilvl="6" w:tplc="5F5EFDAE" w:tentative="1">
      <w:start w:val="1"/>
      <w:numFmt w:val="bullet"/>
      <w:lvlText w:val=""/>
      <w:lvlJc w:val="left"/>
      <w:pPr>
        <w:ind w:left="5040" w:hanging="360"/>
      </w:pPr>
      <w:rPr>
        <w:rFonts w:ascii="Symbol" w:hAnsi="Symbol" w:hint="default"/>
      </w:rPr>
    </w:lvl>
    <w:lvl w:ilvl="7" w:tplc="80000E54" w:tentative="1">
      <w:start w:val="1"/>
      <w:numFmt w:val="bullet"/>
      <w:lvlText w:val="o"/>
      <w:lvlJc w:val="left"/>
      <w:pPr>
        <w:ind w:left="5760" w:hanging="360"/>
      </w:pPr>
      <w:rPr>
        <w:rFonts w:ascii="Courier New" w:hAnsi="Courier New" w:cs="Courier New" w:hint="default"/>
      </w:rPr>
    </w:lvl>
    <w:lvl w:ilvl="8" w:tplc="FC005212" w:tentative="1">
      <w:start w:val="1"/>
      <w:numFmt w:val="bullet"/>
      <w:lvlText w:val=""/>
      <w:lvlJc w:val="left"/>
      <w:pPr>
        <w:ind w:left="6480" w:hanging="360"/>
      </w:pPr>
      <w:rPr>
        <w:rFonts w:ascii="Wingdings" w:hAnsi="Wingdings" w:hint="default"/>
      </w:rPr>
    </w:lvl>
  </w:abstractNum>
  <w:abstractNum w:abstractNumId="28" w15:restartNumberingAfterBreak="0">
    <w:nsid w:val="3DA2351F"/>
    <w:multiLevelType w:val="hybridMultilevel"/>
    <w:tmpl w:val="5776B290"/>
    <w:lvl w:ilvl="0" w:tplc="96A2342E">
      <w:start w:val="1"/>
      <w:numFmt w:val="bullet"/>
      <w:lvlText w:val=""/>
      <w:lvlJc w:val="left"/>
      <w:pPr>
        <w:ind w:left="720" w:hanging="360"/>
      </w:pPr>
      <w:rPr>
        <w:rFonts w:ascii="Symbol" w:hAnsi="Symbol" w:hint="default"/>
      </w:rPr>
    </w:lvl>
    <w:lvl w:ilvl="1" w:tplc="3C18D99C" w:tentative="1">
      <w:start w:val="1"/>
      <w:numFmt w:val="bullet"/>
      <w:lvlText w:val="o"/>
      <w:lvlJc w:val="left"/>
      <w:pPr>
        <w:ind w:left="1440" w:hanging="360"/>
      </w:pPr>
      <w:rPr>
        <w:rFonts w:ascii="Courier New" w:hAnsi="Courier New" w:cs="Courier New" w:hint="default"/>
      </w:rPr>
    </w:lvl>
    <w:lvl w:ilvl="2" w:tplc="E7E6F840" w:tentative="1">
      <w:start w:val="1"/>
      <w:numFmt w:val="bullet"/>
      <w:lvlText w:val=""/>
      <w:lvlJc w:val="left"/>
      <w:pPr>
        <w:ind w:left="2160" w:hanging="360"/>
      </w:pPr>
      <w:rPr>
        <w:rFonts w:ascii="Wingdings" w:hAnsi="Wingdings" w:hint="default"/>
      </w:rPr>
    </w:lvl>
    <w:lvl w:ilvl="3" w:tplc="69963DE8" w:tentative="1">
      <w:start w:val="1"/>
      <w:numFmt w:val="bullet"/>
      <w:lvlText w:val=""/>
      <w:lvlJc w:val="left"/>
      <w:pPr>
        <w:ind w:left="2880" w:hanging="360"/>
      </w:pPr>
      <w:rPr>
        <w:rFonts w:ascii="Symbol" w:hAnsi="Symbol" w:hint="default"/>
      </w:rPr>
    </w:lvl>
    <w:lvl w:ilvl="4" w:tplc="4F18D946" w:tentative="1">
      <w:start w:val="1"/>
      <w:numFmt w:val="bullet"/>
      <w:lvlText w:val="o"/>
      <w:lvlJc w:val="left"/>
      <w:pPr>
        <w:ind w:left="3600" w:hanging="360"/>
      </w:pPr>
      <w:rPr>
        <w:rFonts w:ascii="Courier New" w:hAnsi="Courier New" w:cs="Courier New" w:hint="default"/>
      </w:rPr>
    </w:lvl>
    <w:lvl w:ilvl="5" w:tplc="EE4EBEC4" w:tentative="1">
      <w:start w:val="1"/>
      <w:numFmt w:val="bullet"/>
      <w:lvlText w:val=""/>
      <w:lvlJc w:val="left"/>
      <w:pPr>
        <w:ind w:left="4320" w:hanging="360"/>
      </w:pPr>
      <w:rPr>
        <w:rFonts w:ascii="Wingdings" w:hAnsi="Wingdings" w:hint="default"/>
      </w:rPr>
    </w:lvl>
    <w:lvl w:ilvl="6" w:tplc="FA08B624" w:tentative="1">
      <w:start w:val="1"/>
      <w:numFmt w:val="bullet"/>
      <w:lvlText w:val=""/>
      <w:lvlJc w:val="left"/>
      <w:pPr>
        <w:ind w:left="5040" w:hanging="360"/>
      </w:pPr>
      <w:rPr>
        <w:rFonts w:ascii="Symbol" w:hAnsi="Symbol" w:hint="default"/>
      </w:rPr>
    </w:lvl>
    <w:lvl w:ilvl="7" w:tplc="11600696" w:tentative="1">
      <w:start w:val="1"/>
      <w:numFmt w:val="bullet"/>
      <w:lvlText w:val="o"/>
      <w:lvlJc w:val="left"/>
      <w:pPr>
        <w:ind w:left="5760" w:hanging="360"/>
      </w:pPr>
      <w:rPr>
        <w:rFonts w:ascii="Courier New" w:hAnsi="Courier New" w:cs="Courier New" w:hint="default"/>
      </w:rPr>
    </w:lvl>
    <w:lvl w:ilvl="8" w:tplc="23827828" w:tentative="1">
      <w:start w:val="1"/>
      <w:numFmt w:val="bullet"/>
      <w:lvlText w:val=""/>
      <w:lvlJc w:val="left"/>
      <w:pPr>
        <w:ind w:left="6480" w:hanging="360"/>
      </w:pPr>
      <w:rPr>
        <w:rFonts w:ascii="Wingdings" w:hAnsi="Wingdings" w:hint="default"/>
      </w:rPr>
    </w:lvl>
  </w:abstractNum>
  <w:abstractNum w:abstractNumId="29" w15:restartNumberingAfterBreak="0">
    <w:nsid w:val="3EB02268"/>
    <w:multiLevelType w:val="hybridMultilevel"/>
    <w:tmpl w:val="30604248"/>
    <w:lvl w:ilvl="0" w:tplc="6A2444AE">
      <w:start w:val="1"/>
      <w:numFmt w:val="bullet"/>
      <w:lvlText w:val=""/>
      <w:lvlJc w:val="left"/>
      <w:pPr>
        <w:ind w:left="720" w:hanging="360"/>
      </w:pPr>
      <w:rPr>
        <w:rFonts w:ascii="Symbol" w:hAnsi="Symbol" w:hint="default"/>
      </w:rPr>
    </w:lvl>
    <w:lvl w:ilvl="1" w:tplc="4C3AC2DC" w:tentative="1">
      <w:start w:val="1"/>
      <w:numFmt w:val="bullet"/>
      <w:lvlText w:val="o"/>
      <w:lvlJc w:val="left"/>
      <w:pPr>
        <w:ind w:left="1440" w:hanging="360"/>
      </w:pPr>
      <w:rPr>
        <w:rFonts w:ascii="Courier New" w:hAnsi="Courier New" w:cs="Courier New" w:hint="default"/>
      </w:rPr>
    </w:lvl>
    <w:lvl w:ilvl="2" w:tplc="26B68970" w:tentative="1">
      <w:start w:val="1"/>
      <w:numFmt w:val="bullet"/>
      <w:lvlText w:val=""/>
      <w:lvlJc w:val="left"/>
      <w:pPr>
        <w:ind w:left="2160" w:hanging="360"/>
      </w:pPr>
      <w:rPr>
        <w:rFonts w:ascii="Wingdings" w:hAnsi="Wingdings" w:hint="default"/>
      </w:rPr>
    </w:lvl>
    <w:lvl w:ilvl="3" w:tplc="0CB83F44" w:tentative="1">
      <w:start w:val="1"/>
      <w:numFmt w:val="bullet"/>
      <w:lvlText w:val=""/>
      <w:lvlJc w:val="left"/>
      <w:pPr>
        <w:ind w:left="2880" w:hanging="360"/>
      </w:pPr>
      <w:rPr>
        <w:rFonts w:ascii="Symbol" w:hAnsi="Symbol" w:hint="default"/>
      </w:rPr>
    </w:lvl>
    <w:lvl w:ilvl="4" w:tplc="9E88337C" w:tentative="1">
      <w:start w:val="1"/>
      <w:numFmt w:val="bullet"/>
      <w:lvlText w:val="o"/>
      <w:lvlJc w:val="left"/>
      <w:pPr>
        <w:ind w:left="3600" w:hanging="360"/>
      </w:pPr>
      <w:rPr>
        <w:rFonts w:ascii="Courier New" w:hAnsi="Courier New" w:cs="Courier New" w:hint="default"/>
      </w:rPr>
    </w:lvl>
    <w:lvl w:ilvl="5" w:tplc="9D483AD2" w:tentative="1">
      <w:start w:val="1"/>
      <w:numFmt w:val="bullet"/>
      <w:lvlText w:val=""/>
      <w:lvlJc w:val="left"/>
      <w:pPr>
        <w:ind w:left="4320" w:hanging="360"/>
      </w:pPr>
      <w:rPr>
        <w:rFonts w:ascii="Wingdings" w:hAnsi="Wingdings" w:hint="default"/>
      </w:rPr>
    </w:lvl>
    <w:lvl w:ilvl="6" w:tplc="DB4EF566" w:tentative="1">
      <w:start w:val="1"/>
      <w:numFmt w:val="bullet"/>
      <w:lvlText w:val=""/>
      <w:lvlJc w:val="left"/>
      <w:pPr>
        <w:ind w:left="5040" w:hanging="360"/>
      </w:pPr>
      <w:rPr>
        <w:rFonts w:ascii="Symbol" w:hAnsi="Symbol" w:hint="default"/>
      </w:rPr>
    </w:lvl>
    <w:lvl w:ilvl="7" w:tplc="DAB4DE16" w:tentative="1">
      <w:start w:val="1"/>
      <w:numFmt w:val="bullet"/>
      <w:lvlText w:val="o"/>
      <w:lvlJc w:val="left"/>
      <w:pPr>
        <w:ind w:left="5760" w:hanging="360"/>
      </w:pPr>
      <w:rPr>
        <w:rFonts w:ascii="Courier New" w:hAnsi="Courier New" w:cs="Courier New" w:hint="default"/>
      </w:rPr>
    </w:lvl>
    <w:lvl w:ilvl="8" w:tplc="9D0C6FDE" w:tentative="1">
      <w:start w:val="1"/>
      <w:numFmt w:val="bullet"/>
      <w:lvlText w:val=""/>
      <w:lvlJc w:val="left"/>
      <w:pPr>
        <w:ind w:left="6480" w:hanging="360"/>
      </w:pPr>
      <w:rPr>
        <w:rFonts w:ascii="Wingdings" w:hAnsi="Wingdings" w:hint="default"/>
      </w:rPr>
    </w:lvl>
  </w:abstractNum>
  <w:abstractNum w:abstractNumId="30" w15:restartNumberingAfterBreak="0">
    <w:nsid w:val="40D0395B"/>
    <w:multiLevelType w:val="hybridMultilevel"/>
    <w:tmpl w:val="2CE480E6"/>
    <w:lvl w:ilvl="0" w:tplc="2F02B4C4">
      <w:start w:val="1"/>
      <w:numFmt w:val="bullet"/>
      <w:lvlText w:val=""/>
      <w:lvlJc w:val="left"/>
      <w:pPr>
        <w:ind w:left="360" w:hanging="360"/>
      </w:pPr>
      <w:rPr>
        <w:rFonts w:ascii="Symbol" w:hAnsi="Symbol" w:hint="default"/>
      </w:rPr>
    </w:lvl>
    <w:lvl w:ilvl="1" w:tplc="3D1A894C" w:tentative="1">
      <w:start w:val="1"/>
      <w:numFmt w:val="bullet"/>
      <w:lvlText w:val="o"/>
      <w:lvlJc w:val="left"/>
      <w:pPr>
        <w:ind w:left="1080" w:hanging="360"/>
      </w:pPr>
      <w:rPr>
        <w:rFonts w:ascii="Courier New" w:hAnsi="Courier New" w:cs="Courier New" w:hint="default"/>
      </w:rPr>
    </w:lvl>
    <w:lvl w:ilvl="2" w:tplc="BEE60EF8" w:tentative="1">
      <w:start w:val="1"/>
      <w:numFmt w:val="bullet"/>
      <w:lvlText w:val=""/>
      <w:lvlJc w:val="left"/>
      <w:pPr>
        <w:ind w:left="1800" w:hanging="360"/>
      </w:pPr>
      <w:rPr>
        <w:rFonts w:ascii="Wingdings" w:hAnsi="Wingdings" w:hint="default"/>
      </w:rPr>
    </w:lvl>
    <w:lvl w:ilvl="3" w:tplc="87CAD5C8" w:tentative="1">
      <w:start w:val="1"/>
      <w:numFmt w:val="bullet"/>
      <w:lvlText w:val=""/>
      <w:lvlJc w:val="left"/>
      <w:pPr>
        <w:ind w:left="2520" w:hanging="360"/>
      </w:pPr>
      <w:rPr>
        <w:rFonts w:ascii="Symbol" w:hAnsi="Symbol" w:hint="default"/>
      </w:rPr>
    </w:lvl>
    <w:lvl w:ilvl="4" w:tplc="16F89554" w:tentative="1">
      <w:start w:val="1"/>
      <w:numFmt w:val="bullet"/>
      <w:lvlText w:val="o"/>
      <w:lvlJc w:val="left"/>
      <w:pPr>
        <w:ind w:left="3240" w:hanging="360"/>
      </w:pPr>
      <w:rPr>
        <w:rFonts w:ascii="Courier New" w:hAnsi="Courier New" w:cs="Courier New" w:hint="default"/>
      </w:rPr>
    </w:lvl>
    <w:lvl w:ilvl="5" w:tplc="49769F80" w:tentative="1">
      <w:start w:val="1"/>
      <w:numFmt w:val="bullet"/>
      <w:lvlText w:val=""/>
      <w:lvlJc w:val="left"/>
      <w:pPr>
        <w:ind w:left="3960" w:hanging="360"/>
      </w:pPr>
      <w:rPr>
        <w:rFonts w:ascii="Wingdings" w:hAnsi="Wingdings" w:hint="default"/>
      </w:rPr>
    </w:lvl>
    <w:lvl w:ilvl="6" w:tplc="5FCEEAAC" w:tentative="1">
      <w:start w:val="1"/>
      <w:numFmt w:val="bullet"/>
      <w:lvlText w:val=""/>
      <w:lvlJc w:val="left"/>
      <w:pPr>
        <w:ind w:left="4680" w:hanging="360"/>
      </w:pPr>
      <w:rPr>
        <w:rFonts w:ascii="Symbol" w:hAnsi="Symbol" w:hint="default"/>
      </w:rPr>
    </w:lvl>
    <w:lvl w:ilvl="7" w:tplc="89ECB3F8" w:tentative="1">
      <w:start w:val="1"/>
      <w:numFmt w:val="bullet"/>
      <w:lvlText w:val="o"/>
      <w:lvlJc w:val="left"/>
      <w:pPr>
        <w:ind w:left="5400" w:hanging="360"/>
      </w:pPr>
      <w:rPr>
        <w:rFonts w:ascii="Courier New" w:hAnsi="Courier New" w:cs="Courier New" w:hint="default"/>
      </w:rPr>
    </w:lvl>
    <w:lvl w:ilvl="8" w:tplc="B8A664F0" w:tentative="1">
      <w:start w:val="1"/>
      <w:numFmt w:val="bullet"/>
      <w:lvlText w:val=""/>
      <w:lvlJc w:val="left"/>
      <w:pPr>
        <w:ind w:left="6120" w:hanging="360"/>
      </w:pPr>
      <w:rPr>
        <w:rFonts w:ascii="Wingdings" w:hAnsi="Wingdings" w:hint="default"/>
      </w:rPr>
    </w:lvl>
  </w:abstractNum>
  <w:abstractNum w:abstractNumId="31" w15:restartNumberingAfterBreak="0">
    <w:nsid w:val="421B5029"/>
    <w:multiLevelType w:val="hybridMultilevel"/>
    <w:tmpl w:val="10A4E654"/>
    <w:lvl w:ilvl="0" w:tplc="1A34A35E">
      <w:start w:val="1"/>
      <w:numFmt w:val="bullet"/>
      <w:lvlText w:val=""/>
      <w:lvlJc w:val="left"/>
      <w:pPr>
        <w:ind w:left="720" w:hanging="360"/>
      </w:pPr>
      <w:rPr>
        <w:rFonts w:ascii="Symbol" w:hAnsi="Symbol" w:hint="default"/>
      </w:rPr>
    </w:lvl>
    <w:lvl w:ilvl="1" w:tplc="CDB29B10" w:tentative="1">
      <w:start w:val="1"/>
      <w:numFmt w:val="bullet"/>
      <w:lvlText w:val="o"/>
      <w:lvlJc w:val="left"/>
      <w:pPr>
        <w:ind w:left="1440" w:hanging="360"/>
      </w:pPr>
      <w:rPr>
        <w:rFonts w:ascii="Courier New" w:hAnsi="Courier New" w:cs="Courier New" w:hint="default"/>
      </w:rPr>
    </w:lvl>
    <w:lvl w:ilvl="2" w:tplc="3BD00C6C" w:tentative="1">
      <w:start w:val="1"/>
      <w:numFmt w:val="bullet"/>
      <w:lvlText w:val=""/>
      <w:lvlJc w:val="left"/>
      <w:pPr>
        <w:ind w:left="2160" w:hanging="360"/>
      </w:pPr>
      <w:rPr>
        <w:rFonts w:ascii="Wingdings" w:hAnsi="Wingdings" w:hint="default"/>
      </w:rPr>
    </w:lvl>
    <w:lvl w:ilvl="3" w:tplc="D19A78EC" w:tentative="1">
      <w:start w:val="1"/>
      <w:numFmt w:val="bullet"/>
      <w:lvlText w:val=""/>
      <w:lvlJc w:val="left"/>
      <w:pPr>
        <w:ind w:left="2880" w:hanging="360"/>
      </w:pPr>
      <w:rPr>
        <w:rFonts w:ascii="Symbol" w:hAnsi="Symbol" w:hint="default"/>
      </w:rPr>
    </w:lvl>
    <w:lvl w:ilvl="4" w:tplc="774C13D4" w:tentative="1">
      <w:start w:val="1"/>
      <w:numFmt w:val="bullet"/>
      <w:lvlText w:val="o"/>
      <w:lvlJc w:val="left"/>
      <w:pPr>
        <w:ind w:left="3600" w:hanging="360"/>
      </w:pPr>
      <w:rPr>
        <w:rFonts w:ascii="Courier New" w:hAnsi="Courier New" w:cs="Courier New" w:hint="default"/>
      </w:rPr>
    </w:lvl>
    <w:lvl w:ilvl="5" w:tplc="2966AC82" w:tentative="1">
      <w:start w:val="1"/>
      <w:numFmt w:val="bullet"/>
      <w:lvlText w:val=""/>
      <w:lvlJc w:val="left"/>
      <w:pPr>
        <w:ind w:left="4320" w:hanging="360"/>
      </w:pPr>
      <w:rPr>
        <w:rFonts w:ascii="Wingdings" w:hAnsi="Wingdings" w:hint="default"/>
      </w:rPr>
    </w:lvl>
    <w:lvl w:ilvl="6" w:tplc="70C22AB2" w:tentative="1">
      <w:start w:val="1"/>
      <w:numFmt w:val="bullet"/>
      <w:lvlText w:val=""/>
      <w:lvlJc w:val="left"/>
      <w:pPr>
        <w:ind w:left="5040" w:hanging="360"/>
      </w:pPr>
      <w:rPr>
        <w:rFonts w:ascii="Symbol" w:hAnsi="Symbol" w:hint="default"/>
      </w:rPr>
    </w:lvl>
    <w:lvl w:ilvl="7" w:tplc="74EACED2" w:tentative="1">
      <w:start w:val="1"/>
      <w:numFmt w:val="bullet"/>
      <w:lvlText w:val="o"/>
      <w:lvlJc w:val="left"/>
      <w:pPr>
        <w:ind w:left="5760" w:hanging="360"/>
      </w:pPr>
      <w:rPr>
        <w:rFonts w:ascii="Courier New" w:hAnsi="Courier New" w:cs="Courier New" w:hint="default"/>
      </w:rPr>
    </w:lvl>
    <w:lvl w:ilvl="8" w:tplc="0B528E2E" w:tentative="1">
      <w:start w:val="1"/>
      <w:numFmt w:val="bullet"/>
      <w:lvlText w:val=""/>
      <w:lvlJc w:val="left"/>
      <w:pPr>
        <w:ind w:left="6480" w:hanging="360"/>
      </w:pPr>
      <w:rPr>
        <w:rFonts w:ascii="Wingdings" w:hAnsi="Wingdings" w:hint="default"/>
      </w:rPr>
    </w:lvl>
  </w:abstractNum>
  <w:abstractNum w:abstractNumId="32" w15:restartNumberingAfterBreak="0">
    <w:nsid w:val="456A3681"/>
    <w:multiLevelType w:val="hybridMultilevel"/>
    <w:tmpl w:val="6F0E08CA"/>
    <w:lvl w:ilvl="0" w:tplc="AD66955E">
      <w:start w:val="1"/>
      <w:numFmt w:val="bullet"/>
      <w:lvlText w:val=""/>
      <w:lvlJc w:val="left"/>
      <w:pPr>
        <w:ind w:left="720" w:hanging="360"/>
      </w:pPr>
      <w:rPr>
        <w:rFonts w:ascii="Symbol" w:hAnsi="Symbol" w:hint="default"/>
      </w:rPr>
    </w:lvl>
    <w:lvl w:ilvl="1" w:tplc="A89E369A" w:tentative="1">
      <w:start w:val="1"/>
      <w:numFmt w:val="bullet"/>
      <w:lvlText w:val="o"/>
      <w:lvlJc w:val="left"/>
      <w:pPr>
        <w:ind w:left="1440" w:hanging="360"/>
      </w:pPr>
      <w:rPr>
        <w:rFonts w:ascii="Courier New" w:hAnsi="Courier New" w:cs="Courier New" w:hint="default"/>
      </w:rPr>
    </w:lvl>
    <w:lvl w:ilvl="2" w:tplc="3B488BD4" w:tentative="1">
      <w:start w:val="1"/>
      <w:numFmt w:val="bullet"/>
      <w:lvlText w:val=""/>
      <w:lvlJc w:val="left"/>
      <w:pPr>
        <w:ind w:left="2160" w:hanging="360"/>
      </w:pPr>
      <w:rPr>
        <w:rFonts w:ascii="Wingdings" w:hAnsi="Wingdings" w:hint="default"/>
      </w:rPr>
    </w:lvl>
    <w:lvl w:ilvl="3" w:tplc="C4383678" w:tentative="1">
      <w:start w:val="1"/>
      <w:numFmt w:val="bullet"/>
      <w:lvlText w:val=""/>
      <w:lvlJc w:val="left"/>
      <w:pPr>
        <w:ind w:left="2880" w:hanging="360"/>
      </w:pPr>
      <w:rPr>
        <w:rFonts w:ascii="Symbol" w:hAnsi="Symbol" w:hint="default"/>
      </w:rPr>
    </w:lvl>
    <w:lvl w:ilvl="4" w:tplc="05F28F46" w:tentative="1">
      <w:start w:val="1"/>
      <w:numFmt w:val="bullet"/>
      <w:lvlText w:val="o"/>
      <w:lvlJc w:val="left"/>
      <w:pPr>
        <w:ind w:left="3600" w:hanging="360"/>
      </w:pPr>
      <w:rPr>
        <w:rFonts w:ascii="Courier New" w:hAnsi="Courier New" w:cs="Courier New" w:hint="default"/>
      </w:rPr>
    </w:lvl>
    <w:lvl w:ilvl="5" w:tplc="F474BFB6" w:tentative="1">
      <w:start w:val="1"/>
      <w:numFmt w:val="bullet"/>
      <w:lvlText w:val=""/>
      <w:lvlJc w:val="left"/>
      <w:pPr>
        <w:ind w:left="4320" w:hanging="360"/>
      </w:pPr>
      <w:rPr>
        <w:rFonts w:ascii="Wingdings" w:hAnsi="Wingdings" w:hint="default"/>
      </w:rPr>
    </w:lvl>
    <w:lvl w:ilvl="6" w:tplc="5F2C98DA" w:tentative="1">
      <w:start w:val="1"/>
      <w:numFmt w:val="bullet"/>
      <w:lvlText w:val=""/>
      <w:lvlJc w:val="left"/>
      <w:pPr>
        <w:ind w:left="5040" w:hanging="360"/>
      </w:pPr>
      <w:rPr>
        <w:rFonts w:ascii="Symbol" w:hAnsi="Symbol" w:hint="default"/>
      </w:rPr>
    </w:lvl>
    <w:lvl w:ilvl="7" w:tplc="847A9F34" w:tentative="1">
      <w:start w:val="1"/>
      <w:numFmt w:val="bullet"/>
      <w:lvlText w:val="o"/>
      <w:lvlJc w:val="left"/>
      <w:pPr>
        <w:ind w:left="5760" w:hanging="360"/>
      </w:pPr>
      <w:rPr>
        <w:rFonts w:ascii="Courier New" w:hAnsi="Courier New" w:cs="Courier New" w:hint="default"/>
      </w:rPr>
    </w:lvl>
    <w:lvl w:ilvl="8" w:tplc="1E3064D6" w:tentative="1">
      <w:start w:val="1"/>
      <w:numFmt w:val="bullet"/>
      <w:lvlText w:val=""/>
      <w:lvlJc w:val="left"/>
      <w:pPr>
        <w:ind w:left="6480" w:hanging="360"/>
      </w:pPr>
      <w:rPr>
        <w:rFonts w:ascii="Wingdings" w:hAnsi="Wingdings" w:hint="default"/>
      </w:rPr>
    </w:lvl>
  </w:abstractNum>
  <w:abstractNum w:abstractNumId="33" w15:restartNumberingAfterBreak="0">
    <w:nsid w:val="45FC2112"/>
    <w:multiLevelType w:val="hybridMultilevel"/>
    <w:tmpl w:val="BCFC9ACA"/>
    <w:lvl w:ilvl="0" w:tplc="234099B6">
      <w:start w:val="1"/>
      <w:numFmt w:val="bullet"/>
      <w:lvlText w:val=""/>
      <w:lvlJc w:val="left"/>
      <w:pPr>
        <w:ind w:left="720" w:hanging="360"/>
      </w:pPr>
      <w:rPr>
        <w:rFonts w:ascii="Symbol" w:hAnsi="Symbol" w:hint="default"/>
      </w:rPr>
    </w:lvl>
    <w:lvl w:ilvl="1" w:tplc="41BAEE26">
      <w:start w:val="1"/>
      <w:numFmt w:val="bullet"/>
      <w:lvlText w:val="o"/>
      <w:lvlJc w:val="left"/>
      <w:pPr>
        <w:ind w:left="1440" w:hanging="360"/>
      </w:pPr>
      <w:rPr>
        <w:rFonts w:ascii="Courier New" w:hAnsi="Courier New" w:cs="Courier New" w:hint="default"/>
      </w:rPr>
    </w:lvl>
    <w:lvl w:ilvl="2" w:tplc="E9840A3A" w:tentative="1">
      <w:start w:val="1"/>
      <w:numFmt w:val="bullet"/>
      <w:lvlText w:val=""/>
      <w:lvlJc w:val="left"/>
      <w:pPr>
        <w:ind w:left="2160" w:hanging="360"/>
      </w:pPr>
      <w:rPr>
        <w:rFonts w:ascii="Wingdings" w:hAnsi="Wingdings" w:hint="default"/>
      </w:rPr>
    </w:lvl>
    <w:lvl w:ilvl="3" w:tplc="C328707A" w:tentative="1">
      <w:start w:val="1"/>
      <w:numFmt w:val="bullet"/>
      <w:lvlText w:val=""/>
      <w:lvlJc w:val="left"/>
      <w:pPr>
        <w:ind w:left="2880" w:hanging="360"/>
      </w:pPr>
      <w:rPr>
        <w:rFonts w:ascii="Symbol" w:hAnsi="Symbol" w:hint="default"/>
      </w:rPr>
    </w:lvl>
    <w:lvl w:ilvl="4" w:tplc="7BAC1358" w:tentative="1">
      <w:start w:val="1"/>
      <w:numFmt w:val="bullet"/>
      <w:lvlText w:val="o"/>
      <w:lvlJc w:val="left"/>
      <w:pPr>
        <w:ind w:left="3600" w:hanging="360"/>
      </w:pPr>
      <w:rPr>
        <w:rFonts w:ascii="Courier New" w:hAnsi="Courier New" w:cs="Courier New" w:hint="default"/>
      </w:rPr>
    </w:lvl>
    <w:lvl w:ilvl="5" w:tplc="6AC23426" w:tentative="1">
      <w:start w:val="1"/>
      <w:numFmt w:val="bullet"/>
      <w:lvlText w:val=""/>
      <w:lvlJc w:val="left"/>
      <w:pPr>
        <w:ind w:left="4320" w:hanging="360"/>
      </w:pPr>
      <w:rPr>
        <w:rFonts w:ascii="Wingdings" w:hAnsi="Wingdings" w:hint="default"/>
      </w:rPr>
    </w:lvl>
    <w:lvl w:ilvl="6" w:tplc="153ABEEC" w:tentative="1">
      <w:start w:val="1"/>
      <w:numFmt w:val="bullet"/>
      <w:lvlText w:val=""/>
      <w:lvlJc w:val="left"/>
      <w:pPr>
        <w:ind w:left="5040" w:hanging="360"/>
      </w:pPr>
      <w:rPr>
        <w:rFonts w:ascii="Symbol" w:hAnsi="Symbol" w:hint="default"/>
      </w:rPr>
    </w:lvl>
    <w:lvl w:ilvl="7" w:tplc="F336174C" w:tentative="1">
      <w:start w:val="1"/>
      <w:numFmt w:val="bullet"/>
      <w:lvlText w:val="o"/>
      <w:lvlJc w:val="left"/>
      <w:pPr>
        <w:ind w:left="5760" w:hanging="360"/>
      </w:pPr>
      <w:rPr>
        <w:rFonts w:ascii="Courier New" w:hAnsi="Courier New" w:cs="Courier New" w:hint="default"/>
      </w:rPr>
    </w:lvl>
    <w:lvl w:ilvl="8" w:tplc="0AE2D906" w:tentative="1">
      <w:start w:val="1"/>
      <w:numFmt w:val="bullet"/>
      <w:lvlText w:val=""/>
      <w:lvlJc w:val="left"/>
      <w:pPr>
        <w:ind w:left="6480" w:hanging="360"/>
      </w:pPr>
      <w:rPr>
        <w:rFonts w:ascii="Wingdings" w:hAnsi="Wingdings" w:hint="default"/>
      </w:rPr>
    </w:lvl>
  </w:abstractNum>
  <w:abstractNum w:abstractNumId="34" w15:restartNumberingAfterBreak="0">
    <w:nsid w:val="485C44AA"/>
    <w:multiLevelType w:val="hybridMultilevel"/>
    <w:tmpl w:val="EECC9A32"/>
    <w:lvl w:ilvl="0" w:tplc="D21AEFA4">
      <w:start w:val="1"/>
      <w:numFmt w:val="bullet"/>
      <w:lvlText w:val=""/>
      <w:lvlJc w:val="left"/>
      <w:pPr>
        <w:ind w:left="360" w:hanging="360"/>
      </w:pPr>
      <w:rPr>
        <w:rFonts w:ascii="Symbol" w:hAnsi="Symbol" w:hint="default"/>
      </w:rPr>
    </w:lvl>
    <w:lvl w:ilvl="1" w:tplc="EA9285E0">
      <w:start w:val="1"/>
      <w:numFmt w:val="bullet"/>
      <w:lvlText w:val="o"/>
      <w:lvlJc w:val="left"/>
      <w:pPr>
        <w:ind w:left="1080" w:hanging="360"/>
      </w:pPr>
      <w:rPr>
        <w:rFonts w:ascii="Courier New" w:hAnsi="Courier New" w:cs="Courier New" w:hint="default"/>
      </w:rPr>
    </w:lvl>
    <w:lvl w:ilvl="2" w:tplc="5B1A6122" w:tentative="1">
      <w:start w:val="1"/>
      <w:numFmt w:val="bullet"/>
      <w:lvlText w:val=""/>
      <w:lvlJc w:val="left"/>
      <w:pPr>
        <w:ind w:left="1800" w:hanging="360"/>
      </w:pPr>
      <w:rPr>
        <w:rFonts w:ascii="Wingdings" w:hAnsi="Wingdings" w:hint="default"/>
      </w:rPr>
    </w:lvl>
    <w:lvl w:ilvl="3" w:tplc="B93CC350" w:tentative="1">
      <w:start w:val="1"/>
      <w:numFmt w:val="bullet"/>
      <w:lvlText w:val=""/>
      <w:lvlJc w:val="left"/>
      <w:pPr>
        <w:ind w:left="2520" w:hanging="360"/>
      </w:pPr>
      <w:rPr>
        <w:rFonts w:ascii="Symbol" w:hAnsi="Symbol" w:hint="default"/>
      </w:rPr>
    </w:lvl>
    <w:lvl w:ilvl="4" w:tplc="7CF41C86" w:tentative="1">
      <w:start w:val="1"/>
      <w:numFmt w:val="bullet"/>
      <w:lvlText w:val="o"/>
      <w:lvlJc w:val="left"/>
      <w:pPr>
        <w:ind w:left="3240" w:hanging="360"/>
      </w:pPr>
      <w:rPr>
        <w:rFonts w:ascii="Courier New" w:hAnsi="Courier New" w:cs="Courier New" w:hint="default"/>
      </w:rPr>
    </w:lvl>
    <w:lvl w:ilvl="5" w:tplc="BC1E6ABC" w:tentative="1">
      <w:start w:val="1"/>
      <w:numFmt w:val="bullet"/>
      <w:lvlText w:val=""/>
      <w:lvlJc w:val="left"/>
      <w:pPr>
        <w:ind w:left="3960" w:hanging="360"/>
      </w:pPr>
      <w:rPr>
        <w:rFonts w:ascii="Wingdings" w:hAnsi="Wingdings" w:hint="default"/>
      </w:rPr>
    </w:lvl>
    <w:lvl w:ilvl="6" w:tplc="1FEAD8FE" w:tentative="1">
      <w:start w:val="1"/>
      <w:numFmt w:val="bullet"/>
      <w:lvlText w:val=""/>
      <w:lvlJc w:val="left"/>
      <w:pPr>
        <w:ind w:left="4680" w:hanging="360"/>
      </w:pPr>
      <w:rPr>
        <w:rFonts w:ascii="Symbol" w:hAnsi="Symbol" w:hint="default"/>
      </w:rPr>
    </w:lvl>
    <w:lvl w:ilvl="7" w:tplc="41408A7E" w:tentative="1">
      <w:start w:val="1"/>
      <w:numFmt w:val="bullet"/>
      <w:lvlText w:val="o"/>
      <w:lvlJc w:val="left"/>
      <w:pPr>
        <w:ind w:left="5400" w:hanging="360"/>
      </w:pPr>
      <w:rPr>
        <w:rFonts w:ascii="Courier New" w:hAnsi="Courier New" w:cs="Courier New" w:hint="default"/>
      </w:rPr>
    </w:lvl>
    <w:lvl w:ilvl="8" w:tplc="9B0825E6" w:tentative="1">
      <w:start w:val="1"/>
      <w:numFmt w:val="bullet"/>
      <w:lvlText w:val=""/>
      <w:lvlJc w:val="left"/>
      <w:pPr>
        <w:ind w:left="6120" w:hanging="360"/>
      </w:pPr>
      <w:rPr>
        <w:rFonts w:ascii="Wingdings" w:hAnsi="Wingdings" w:hint="default"/>
      </w:rPr>
    </w:lvl>
  </w:abstractNum>
  <w:abstractNum w:abstractNumId="35" w15:restartNumberingAfterBreak="0">
    <w:nsid w:val="50EE6EA8"/>
    <w:multiLevelType w:val="hybridMultilevel"/>
    <w:tmpl w:val="E4507D28"/>
    <w:lvl w:ilvl="0" w:tplc="23AE2B64">
      <w:start w:val="1"/>
      <w:numFmt w:val="bullet"/>
      <w:lvlText w:val=""/>
      <w:lvlJc w:val="left"/>
      <w:pPr>
        <w:ind w:left="360" w:hanging="360"/>
      </w:pPr>
      <w:rPr>
        <w:rFonts w:ascii="Symbol" w:hAnsi="Symbol" w:hint="default"/>
      </w:rPr>
    </w:lvl>
    <w:lvl w:ilvl="1" w:tplc="24367D86" w:tentative="1">
      <w:start w:val="1"/>
      <w:numFmt w:val="bullet"/>
      <w:lvlText w:val="o"/>
      <w:lvlJc w:val="left"/>
      <w:pPr>
        <w:ind w:left="1080" w:hanging="360"/>
      </w:pPr>
      <w:rPr>
        <w:rFonts w:ascii="Courier New" w:hAnsi="Courier New" w:cs="Courier New" w:hint="default"/>
      </w:rPr>
    </w:lvl>
    <w:lvl w:ilvl="2" w:tplc="EAB482CE" w:tentative="1">
      <w:start w:val="1"/>
      <w:numFmt w:val="bullet"/>
      <w:lvlText w:val=""/>
      <w:lvlJc w:val="left"/>
      <w:pPr>
        <w:ind w:left="1800" w:hanging="360"/>
      </w:pPr>
      <w:rPr>
        <w:rFonts w:ascii="Wingdings" w:hAnsi="Wingdings" w:hint="default"/>
      </w:rPr>
    </w:lvl>
    <w:lvl w:ilvl="3" w:tplc="A80C401C" w:tentative="1">
      <w:start w:val="1"/>
      <w:numFmt w:val="bullet"/>
      <w:lvlText w:val=""/>
      <w:lvlJc w:val="left"/>
      <w:pPr>
        <w:ind w:left="2520" w:hanging="360"/>
      </w:pPr>
      <w:rPr>
        <w:rFonts w:ascii="Symbol" w:hAnsi="Symbol" w:hint="default"/>
      </w:rPr>
    </w:lvl>
    <w:lvl w:ilvl="4" w:tplc="CB0E4B38" w:tentative="1">
      <w:start w:val="1"/>
      <w:numFmt w:val="bullet"/>
      <w:lvlText w:val="o"/>
      <w:lvlJc w:val="left"/>
      <w:pPr>
        <w:ind w:left="3240" w:hanging="360"/>
      </w:pPr>
      <w:rPr>
        <w:rFonts w:ascii="Courier New" w:hAnsi="Courier New" w:cs="Courier New" w:hint="default"/>
      </w:rPr>
    </w:lvl>
    <w:lvl w:ilvl="5" w:tplc="0826E026" w:tentative="1">
      <w:start w:val="1"/>
      <w:numFmt w:val="bullet"/>
      <w:lvlText w:val=""/>
      <w:lvlJc w:val="left"/>
      <w:pPr>
        <w:ind w:left="3960" w:hanging="360"/>
      </w:pPr>
      <w:rPr>
        <w:rFonts w:ascii="Wingdings" w:hAnsi="Wingdings" w:hint="default"/>
      </w:rPr>
    </w:lvl>
    <w:lvl w:ilvl="6" w:tplc="BAC6EBAA" w:tentative="1">
      <w:start w:val="1"/>
      <w:numFmt w:val="bullet"/>
      <w:lvlText w:val=""/>
      <w:lvlJc w:val="left"/>
      <w:pPr>
        <w:ind w:left="4680" w:hanging="360"/>
      </w:pPr>
      <w:rPr>
        <w:rFonts w:ascii="Symbol" w:hAnsi="Symbol" w:hint="default"/>
      </w:rPr>
    </w:lvl>
    <w:lvl w:ilvl="7" w:tplc="8A94DF1C" w:tentative="1">
      <w:start w:val="1"/>
      <w:numFmt w:val="bullet"/>
      <w:lvlText w:val="o"/>
      <w:lvlJc w:val="left"/>
      <w:pPr>
        <w:ind w:left="5400" w:hanging="360"/>
      </w:pPr>
      <w:rPr>
        <w:rFonts w:ascii="Courier New" w:hAnsi="Courier New" w:cs="Courier New" w:hint="default"/>
      </w:rPr>
    </w:lvl>
    <w:lvl w:ilvl="8" w:tplc="FAA64F70" w:tentative="1">
      <w:start w:val="1"/>
      <w:numFmt w:val="bullet"/>
      <w:lvlText w:val=""/>
      <w:lvlJc w:val="left"/>
      <w:pPr>
        <w:ind w:left="6120" w:hanging="360"/>
      </w:pPr>
      <w:rPr>
        <w:rFonts w:ascii="Wingdings" w:hAnsi="Wingdings" w:hint="default"/>
      </w:rPr>
    </w:lvl>
  </w:abstractNum>
  <w:abstractNum w:abstractNumId="36" w15:restartNumberingAfterBreak="0">
    <w:nsid w:val="5933367D"/>
    <w:multiLevelType w:val="hybridMultilevel"/>
    <w:tmpl w:val="1380583C"/>
    <w:lvl w:ilvl="0" w:tplc="946EDDD0">
      <w:start w:val="1"/>
      <w:numFmt w:val="bullet"/>
      <w:lvlText w:val=""/>
      <w:lvlJc w:val="left"/>
      <w:pPr>
        <w:ind w:left="720" w:hanging="360"/>
      </w:pPr>
      <w:rPr>
        <w:rFonts w:ascii="Symbol" w:hAnsi="Symbol" w:hint="default"/>
      </w:rPr>
    </w:lvl>
    <w:lvl w:ilvl="1" w:tplc="28BC1548">
      <w:start w:val="1"/>
      <w:numFmt w:val="bullet"/>
      <w:lvlText w:val="o"/>
      <w:lvlJc w:val="left"/>
      <w:pPr>
        <w:ind w:left="1440" w:hanging="360"/>
      </w:pPr>
      <w:rPr>
        <w:rFonts w:ascii="Courier New" w:hAnsi="Courier New" w:cs="Courier New" w:hint="default"/>
      </w:rPr>
    </w:lvl>
    <w:lvl w:ilvl="2" w:tplc="E5522B20" w:tentative="1">
      <w:start w:val="1"/>
      <w:numFmt w:val="bullet"/>
      <w:lvlText w:val=""/>
      <w:lvlJc w:val="left"/>
      <w:pPr>
        <w:ind w:left="2160" w:hanging="360"/>
      </w:pPr>
      <w:rPr>
        <w:rFonts w:ascii="Wingdings" w:hAnsi="Wingdings" w:hint="default"/>
      </w:rPr>
    </w:lvl>
    <w:lvl w:ilvl="3" w:tplc="F6687798" w:tentative="1">
      <w:start w:val="1"/>
      <w:numFmt w:val="bullet"/>
      <w:lvlText w:val=""/>
      <w:lvlJc w:val="left"/>
      <w:pPr>
        <w:ind w:left="2880" w:hanging="360"/>
      </w:pPr>
      <w:rPr>
        <w:rFonts w:ascii="Symbol" w:hAnsi="Symbol" w:hint="default"/>
      </w:rPr>
    </w:lvl>
    <w:lvl w:ilvl="4" w:tplc="68329DAA" w:tentative="1">
      <w:start w:val="1"/>
      <w:numFmt w:val="bullet"/>
      <w:lvlText w:val="o"/>
      <w:lvlJc w:val="left"/>
      <w:pPr>
        <w:ind w:left="3600" w:hanging="360"/>
      </w:pPr>
      <w:rPr>
        <w:rFonts w:ascii="Courier New" w:hAnsi="Courier New" w:cs="Courier New" w:hint="default"/>
      </w:rPr>
    </w:lvl>
    <w:lvl w:ilvl="5" w:tplc="29087AD8" w:tentative="1">
      <w:start w:val="1"/>
      <w:numFmt w:val="bullet"/>
      <w:lvlText w:val=""/>
      <w:lvlJc w:val="left"/>
      <w:pPr>
        <w:ind w:left="4320" w:hanging="360"/>
      </w:pPr>
      <w:rPr>
        <w:rFonts w:ascii="Wingdings" w:hAnsi="Wingdings" w:hint="default"/>
      </w:rPr>
    </w:lvl>
    <w:lvl w:ilvl="6" w:tplc="34527732" w:tentative="1">
      <w:start w:val="1"/>
      <w:numFmt w:val="bullet"/>
      <w:lvlText w:val=""/>
      <w:lvlJc w:val="left"/>
      <w:pPr>
        <w:ind w:left="5040" w:hanging="360"/>
      </w:pPr>
      <w:rPr>
        <w:rFonts w:ascii="Symbol" w:hAnsi="Symbol" w:hint="default"/>
      </w:rPr>
    </w:lvl>
    <w:lvl w:ilvl="7" w:tplc="4198BCF2" w:tentative="1">
      <w:start w:val="1"/>
      <w:numFmt w:val="bullet"/>
      <w:lvlText w:val="o"/>
      <w:lvlJc w:val="left"/>
      <w:pPr>
        <w:ind w:left="5760" w:hanging="360"/>
      </w:pPr>
      <w:rPr>
        <w:rFonts w:ascii="Courier New" w:hAnsi="Courier New" w:cs="Courier New" w:hint="default"/>
      </w:rPr>
    </w:lvl>
    <w:lvl w:ilvl="8" w:tplc="16342AEE" w:tentative="1">
      <w:start w:val="1"/>
      <w:numFmt w:val="bullet"/>
      <w:lvlText w:val=""/>
      <w:lvlJc w:val="left"/>
      <w:pPr>
        <w:ind w:left="6480" w:hanging="360"/>
      </w:pPr>
      <w:rPr>
        <w:rFonts w:ascii="Wingdings" w:hAnsi="Wingdings" w:hint="default"/>
      </w:rPr>
    </w:lvl>
  </w:abstractNum>
  <w:abstractNum w:abstractNumId="37" w15:restartNumberingAfterBreak="0">
    <w:nsid w:val="5BF75DF8"/>
    <w:multiLevelType w:val="hybridMultilevel"/>
    <w:tmpl w:val="7AF4771A"/>
    <w:lvl w:ilvl="0" w:tplc="CFC68C5A">
      <w:start w:val="1"/>
      <w:numFmt w:val="bullet"/>
      <w:lvlText w:val=""/>
      <w:lvlJc w:val="left"/>
      <w:pPr>
        <w:ind w:left="720" w:hanging="360"/>
      </w:pPr>
      <w:rPr>
        <w:rFonts w:ascii="Symbol" w:hAnsi="Symbol" w:hint="default"/>
      </w:rPr>
    </w:lvl>
    <w:lvl w:ilvl="1" w:tplc="F41A2F5A" w:tentative="1">
      <w:start w:val="1"/>
      <w:numFmt w:val="bullet"/>
      <w:lvlText w:val="o"/>
      <w:lvlJc w:val="left"/>
      <w:pPr>
        <w:ind w:left="1440" w:hanging="360"/>
      </w:pPr>
      <w:rPr>
        <w:rFonts w:ascii="Courier New" w:hAnsi="Courier New" w:cs="Courier New" w:hint="default"/>
      </w:rPr>
    </w:lvl>
    <w:lvl w:ilvl="2" w:tplc="11DC6912" w:tentative="1">
      <w:start w:val="1"/>
      <w:numFmt w:val="bullet"/>
      <w:lvlText w:val=""/>
      <w:lvlJc w:val="left"/>
      <w:pPr>
        <w:ind w:left="2160" w:hanging="360"/>
      </w:pPr>
      <w:rPr>
        <w:rFonts w:ascii="Wingdings" w:hAnsi="Wingdings" w:hint="default"/>
      </w:rPr>
    </w:lvl>
    <w:lvl w:ilvl="3" w:tplc="347E2418" w:tentative="1">
      <w:start w:val="1"/>
      <w:numFmt w:val="bullet"/>
      <w:lvlText w:val=""/>
      <w:lvlJc w:val="left"/>
      <w:pPr>
        <w:ind w:left="2880" w:hanging="360"/>
      </w:pPr>
      <w:rPr>
        <w:rFonts w:ascii="Symbol" w:hAnsi="Symbol" w:hint="default"/>
      </w:rPr>
    </w:lvl>
    <w:lvl w:ilvl="4" w:tplc="0F92DB3E" w:tentative="1">
      <w:start w:val="1"/>
      <w:numFmt w:val="bullet"/>
      <w:lvlText w:val="o"/>
      <w:lvlJc w:val="left"/>
      <w:pPr>
        <w:ind w:left="3600" w:hanging="360"/>
      </w:pPr>
      <w:rPr>
        <w:rFonts w:ascii="Courier New" w:hAnsi="Courier New" w:cs="Courier New" w:hint="default"/>
      </w:rPr>
    </w:lvl>
    <w:lvl w:ilvl="5" w:tplc="72602630" w:tentative="1">
      <w:start w:val="1"/>
      <w:numFmt w:val="bullet"/>
      <w:lvlText w:val=""/>
      <w:lvlJc w:val="left"/>
      <w:pPr>
        <w:ind w:left="4320" w:hanging="360"/>
      </w:pPr>
      <w:rPr>
        <w:rFonts w:ascii="Wingdings" w:hAnsi="Wingdings" w:hint="default"/>
      </w:rPr>
    </w:lvl>
    <w:lvl w:ilvl="6" w:tplc="81809576" w:tentative="1">
      <w:start w:val="1"/>
      <w:numFmt w:val="bullet"/>
      <w:lvlText w:val=""/>
      <w:lvlJc w:val="left"/>
      <w:pPr>
        <w:ind w:left="5040" w:hanging="360"/>
      </w:pPr>
      <w:rPr>
        <w:rFonts w:ascii="Symbol" w:hAnsi="Symbol" w:hint="default"/>
      </w:rPr>
    </w:lvl>
    <w:lvl w:ilvl="7" w:tplc="3F6C6DAA" w:tentative="1">
      <w:start w:val="1"/>
      <w:numFmt w:val="bullet"/>
      <w:lvlText w:val="o"/>
      <w:lvlJc w:val="left"/>
      <w:pPr>
        <w:ind w:left="5760" w:hanging="360"/>
      </w:pPr>
      <w:rPr>
        <w:rFonts w:ascii="Courier New" w:hAnsi="Courier New" w:cs="Courier New" w:hint="default"/>
      </w:rPr>
    </w:lvl>
    <w:lvl w:ilvl="8" w:tplc="B672BD48" w:tentative="1">
      <w:start w:val="1"/>
      <w:numFmt w:val="bullet"/>
      <w:lvlText w:val=""/>
      <w:lvlJc w:val="left"/>
      <w:pPr>
        <w:ind w:left="6480" w:hanging="360"/>
      </w:pPr>
      <w:rPr>
        <w:rFonts w:ascii="Wingdings" w:hAnsi="Wingdings" w:hint="default"/>
      </w:rPr>
    </w:lvl>
  </w:abstractNum>
  <w:abstractNum w:abstractNumId="38" w15:restartNumberingAfterBreak="0">
    <w:nsid w:val="5CD80EA6"/>
    <w:multiLevelType w:val="hybridMultilevel"/>
    <w:tmpl w:val="4FF853A4"/>
    <w:lvl w:ilvl="0" w:tplc="F34A0A98">
      <w:start w:val="1"/>
      <w:numFmt w:val="bullet"/>
      <w:lvlText w:val=""/>
      <w:lvlJc w:val="left"/>
      <w:pPr>
        <w:ind w:left="360" w:hanging="360"/>
      </w:pPr>
      <w:rPr>
        <w:rFonts w:ascii="Symbol" w:hAnsi="Symbol" w:hint="default"/>
      </w:rPr>
    </w:lvl>
    <w:lvl w:ilvl="1" w:tplc="D6FC24FE" w:tentative="1">
      <w:start w:val="1"/>
      <w:numFmt w:val="bullet"/>
      <w:lvlText w:val="o"/>
      <w:lvlJc w:val="left"/>
      <w:pPr>
        <w:ind w:left="1080" w:hanging="360"/>
      </w:pPr>
      <w:rPr>
        <w:rFonts w:ascii="Courier New" w:hAnsi="Courier New" w:cs="Courier New" w:hint="default"/>
      </w:rPr>
    </w:lvl>
    <w:lvl w:ilvl="2" w:tplc="7BDAFFE6" w:tentative="1">
      <w:start w:val="1"/>
      <w:numFmt w:val="bullet"/>
      <w:lvlText w:val=""/>
      <w:lvlJc w:val="left"/>
      <w:pPr>
        <w:ind w:left="1800" w:hanging="360"/>
      </w:pPr>
      <w:rPr>
        <w:rFonts w:ascii="Wingdings" w:hAnsi="Wingdings" w:hint="default"/>
      </w:rPr>
    </w:lvl>
    <w:lvl w:ilvl="3" w:tplc="D4041BA6" w:tentative="1">
      <w:start w:val="1"/>
      <w:numFmt w:val="bullet"/>
      <w:lvlText w:val=""/>
      <w:lvlJc w:val="left"/>
      <w:pPr>
        <w:ind w:left="2520" w:hanging="360"/>
      </w:pPr>
      <w:rPr>
        <w:rFonts w:ascii="Symbol" w:hAnsi="Symbol" w:hint="default"/>
      </w:rPr>
    </w:lvl>
    <w:lvl w:ilvl="4" w:tplc="00BA29E2" w:tentative="1">
      <w:start w:val="1"/>
      <w:numFmt w:val="bullet"/>
      <w:lvlText w:val="o"/>
      <w:lvlJc w:val="left"/>
      <w:pPr>
        <w:ind w:left="3240" w:hanging="360"/>
      </w:pPr>
      <w:rPr>
        <w:rFonts w:ascii="Courier New" w:hAnsi="Courier New" w:cs="Courier New" w:hint="default"/>
      </w:rPr>
    </w:lvl>
    <w:lvl w:ilvl="5" w:tplc="3104D2D2" w:tentative="1">
      <w:start w:val="1"/>
      <w:numFmt w:val="bullet"/>
      <w:lvlText w:val=""/>
      <w:lvlJc w:val="left"/>
      <w:pPr>
        <w:ind w:left="3960" w:hanging="360"/>
      </w:pPr>
      <w:rPr>
        <w:rFonts w:ascii="Wingdings" w:hAnsi="Wingdings" w:hint="default"/>
      </w:rPr>
    </w:lvl>
    <w:lvl w:ilvl="6" w:tplc="49EAF60A" w:tentative="1">
      <w:start w:val="1"/>
      <w:numFmt w:val="bullet"/>
      <w:lvlText w:val=""/>
      <w:lvlJc w:val="left"/>
      <w:pPr>
        <w:ind w:left="4680" w:hanging="360"/>
      </w:pPr>
      <w:rPr>
        <w:rFonts w:ascii="Symbol" w:hAnsi="Symbol" w:hint="default"/>
      </w:rPr>
    </w:lvl>
    <w:lvl w:ilvl="7" w:tplc="A88A4082" w:tentative="1">
      <w:start w:val="1"/>
      <w:numFmt w:val="bullet"/>
      <w:lvlText w:val="o"/>
      <w:lvlJc w:val="left"/>
      <w:pPr>
        <w:ind w:left="5400" w:hanging="360"/>
      </w:pPr>
      <w:rPr>
        <w:rFonts w:ascii="Courier New" w:hAnsi="Courier New" w:cs="Courier New" w:hint="default"/>
      </w:rPr>
    </w:lvl>
    <w:lvl w:ilvl="8" w:tplc="1C3C79B0" w:tentative="1">
      <w:start w:val="1"/>
      <w:numFmt w:val="bullet"/>
      <w:lvlText w:val=""/>
      <w:lvlJc w:val="left"/>
      <w:pPr>
        <w:ind w:left="6120" w:hanging="360"/>
      </w:pPr>
      <w:rPr>
        <w:rFonts w:ascii="Wingdings" w:hAnsi="Wingdings" w:hint="default"/>
      </w:rPr>
    </w:lvl>
  </w:abstractNum>
  <w:abstractNum w:abstractNumId="39" w15:restartNumberingAfterBreak="0">
    <w:nsid w:val="5F021C78"/>
    <w:multiLevelType w:val="hybridMultilevel"/>
    <w:tmpl w:val="D2580F6E"/>
    <w:lvl w:ilvl="0" w:tplc="1ABAA9F4">
      <w:start w:val="1"/>
      <w:numFmt w:val="bullet"/>
      <w:lvlText w:val=""/>
      <w:lvlJc w:val="left"/>
      <w:pPr>
        <w:ind w:left="720" w:hanging="360"/>
      </w:pPr>
      <w:rPr>
        <w:rFonts w:ascii="Symbol" w:hAnsi="Symbol" w:hint="default"/>
      </w:rPr>
    </w:lvl>
    <w:lvl w:ilvl="1" w:tplc="9E2EE9FC" w:tentative="1">
      <w:start w:val="1"/>
      <w:numFmt w:val="bullet"/>
      <w:lvlText w:val="o"/>
      <w:lvlJc w:val="left"/>
      <w:pPr>
        <w:ind w:left="1440" w:hanging="360"/>
      </w:pPr>
      <w:rPr>
        <w:rFonts w:ascii="Courier New" w:hAnsi="Courier New" w:cs="Courier New" w:hint="default"/>
      </w:rPr>
    </w:lvl>
    <w:lvl w:ilvl="2" w:tplc="11263684" w:tentative="1">
      <w:start w:val="1"/>
      <w:numFmt w:val="bullet"/>
      <w:lvlText w:val=""/>
      <w:lvlJc w:val="left"/>
      <w:pPr>
        <w:ind w:left="2160" w:hanging="360"/>
      </w:pPr>
      <w:rPr>
        <w:rFonts w:ascii="Wingdings" w:hAnsi="Wingdings" w:hint="default"/>
      </w:rPr>
    </w:lvl>
    <w:lvl w:ilvl="3" w:tplc="EC2CDCD4" w:tentative="1">
      <w:start w:val="1"/>
      <w:numFmt w:val="bullet"/>
      <w:lvlText w:val=""/>
      <w:lvlJc w:val="left"/>
      <w:pPr>
        <w:ind w:left="2880" w:hanging="360"/>
      </w:pPr>
      <w:rPr>
        <w:rFonts w:ascii="Symbol" w:hAnsi="Symbol" w:hint="default"/>
      </w:rPr>
    </w:lvl>
    <w:lvl w:ilvl="4" w:tplc="70C8184A" w:tentative="1">
      <w:start w:val="1"/>
      <w:numFmt w:val="bullet"/>
      <w:lvlText w:val="o"/>
      <w:lvlJc w:val="left"/>
      <w:pPr>
        <w:ind w:left="3600" w:hanging="360"/>
      </w:pPr>
      <w:rPr>
        <w:rFonts w:ascii="Courier New" w:hAnsi="Courier New" w:cs="Courier New" w:hint="default"/>
      </w:rPr>
    </w:lvl>
    <w:lvl w:ilvl="5" w:tplc="1C6A9978" w:tentative="1">
      <w:start w:val="1"/>
      <w:numFmt w:val="bullet"/>
      <w:lvlText w:val=""/>
      <w:lvlJc w:val="left"/>
      <w:pPr>
        <w:ind w:left="4320" w:hanging="360"/>
      </w:pPr>
      <w:rPr>
        <w:rFonts w:ascii="Wingdings" w:hAnsi="Wingdings" w:hint="default"/>
      </w:rPr>
    </w:lvl>
    <w:lvl w:ilvl="6" w:tplc="2BE092A2" w:tentative="1">
      <w:start w:val="1"/>
      <w:numFmt w:val="bullet"/>
      <w:lvlText w:val=""/>
      <w:lvlJc w:val="left"/>
      <w:pPr>
        <w:ind w:left="5040" w:hanging="360"/>
      </w:pPr>
      <w:rPr>
        <w:rFonts w:ascii="Symbol" w:hAnsi="Symbol" w:hint="default"/>
      </w:rPr>
    </w:lvl>
    <w:lvl w:ilvl="7" w:tplc="CA64090E" w:tentative="1">
      <w:start w:val="1"/>
      <w:numFmt w:val="bullet"/>
      <w:lvlText w:val="o"/>
      <w:lvlJc w:val="left"/>
      <w:pPr>
        <w:ind w:left="5760" w:hanging="360"/>
      </w:pPr>
      <w:rPr>
        <w:rFonts w:ascii="Courier New" w:hAnsi="Courier New" w:cs="Courier New" w:hint="default"/>
      </w:rPr>
    </w:lvl>
    <w:lvl w:ilvl="8" w:tplc="C01EE580" w:tentative="1">
      <w:start w:val="1"/>
      <w:numFmt w:val="bullet"/>
      <w:lvlText w:val=""/>
      <w:lvlJc w:val="left"/>
      <w:pPr>
        <w:ind w:left="6480" w:hanging="360"/>
      </w:pPr>
      <w:rPr>
        <w:rFonts w:ascii="Wingdings" w:hAnsi="Wingdings" w:hint="default"/>
      </w:rPr>
    </w:lvl>
  </w:abstractNum>
  <w:abstractNum w:abstractNumId="40" w15:restartNumberingAfterBreak="0">
    <w:nsid w:val="5F7274B3"/>
    <w:multiLevelType w:val="hybridMultilevel"/>
    <w:tmpl w:val="B43E5FCC"/>
    <w:lvl w:ilvl="0" w:tplc="46E42D94">
      <w:start w:val="1"/>
      <w:numFmt w:val="bullet"/>
      <w:lvlText w:val=""/>
      <w:lvlJc w:val="left"/>
      <w:pPr>
        <w:ind w:left="360" w:hanging="360"/>
      </w:pPr>
      <w:rPr>
        <w:rFonts w:ascii="Symbol" w:hAnsi="Symbol" w:hint="default"/>
      </w:rPr>
    </w:lvl>
    <w:lvl w:ilvl="1" w:tplc="CB4843FE" w:tentative="1">
      <w:start w:val="1"/>
      <w:numFmt w:val="bullet"/>
      <w:lvlText w:val="o"/>
      <w:lvlJc w:val="left"/>
      <w:pPr>
        <w:ind w:left="1080" w:hanging="360"/>
      </w:pPr>
      <w:rPr>
        <w:rFonts w:ascii="Courier New" w:hAnsi="Courier New" w:cs="Courier New" w:hint="default"/>
      </w:rPr>
    </w:lvl>
    <w:lvl w:ilvl="2" w:tplc="F6C804E8" w:tentative="1">
      <w:start w:val="1"/>
      <w:numFmt w:val="bullet"/>
      <w:lvlText w:val=""/>
      <w:lvlJc w:val="left"/>
      <w:pPr>
        <w:ind w:left="1800" w:hanging="360"/>
      </w:pPr>
      <w:rPr>
        <w:rFonts w:ascii="Wingdings" w:hAnsi="Wingdings" w:hint="default"/>
      </w:rPr>
    </w:lvl>
    <w:lvl w:ilvl="3" w:tplc="8ABCE5AC" w:tentative="1">
      <w:start w:val="1"/>
      <w:numFmt w:val="bullet"/>
      <w:lvlText w:val=""/>
      <w:lvlJc w:val="left"/>
      <w:pPr>
        <w:ind w:left="2520" w:hanging="360"/>
      </w:pPr>
      <w:rPr>
        <w:rFonts w:ascii="Symbol" w:hAnsi="Symbol" w:hint="default"/>
      </w:rPr>
    </w:lvl>
    <w:lvl w:ilvl="4" w:tplc="905CAE7E" w:tentative="1">
      <w:start w:val="1"/>
      <w:numFmt w:val="bullet"/>
      <w:lvlText w:val="o"/>
      <w:lvlJc w:val="left"/>
      <w:pPr>
        <w:ind w:left="3240" w:hanging="360"/>
      </w:pPr>
      <w:rPr>
        <w:rFonts w:ascii="Courier New" w:hAnsi="Courier New" w:cs="Courier New" w:hint="default"/>
      </w:rPr>
    </w:lvl>
    <w:lvl w:ilvl="5" w:tplc="C80C2A3A" w:tentative="1">
      <w:start w:val="1"/>
      <w:numFmt w:val="bullet"/>
      <w:lvlText w:val=""/>
      <w:lvlJc w:val="left"/>
      <w:pPr>
        <w:ind w:left="3960" w:hanging="360"/>
      </w:pPr>
      <w:rPr>
        <w:rFonts w:ascii="Wingdings" w:hAnsi="Wingdings" w:hint="default"/>
      </w:rPr>
    </w:lvl>
    <w:lvl w:ilvl="6" w:tplc="3C447FF8" w:tentative="1">
      <w:start w:val="1"/>
      <w:numFmt w:val="bullet"/>
      <w:lvlText w:val=""/>
      <w:lvlJc w:val="left"/>
      <w:pPr>
        <w:ind w:left="4680" w:hanging="360"/>
      </w:pPr>
      <w:rPr>
        <w:rFonts w:ascii="Symbol" w:hAnsi="Symbol" w:hint="default"/>
      </w:rPr>
    </w:lvl>
    <w:lvl w:ilvl="7" w:tplc="C9BA5D72" w:tentative="1">
      <w:start w:val="1"/>
      <w:numFmt w:val="bullet"/>
      <w:lvlText w:val="o"/>
      <w:lvlJc w:val="left"/>
      <w:pPr>
        <w:ind w:left="5400" w:hanging="360"/>
      </w:pPr>
      <w:rPr>
        <w:rFonts w:ascii="Courier New" w:hAnsi="Courier New" w:cs="Courier New" w:hint="default"/>
      </w:rPr>
    </w:lvl>
    <w:lvl w:ilvl="8" w:tplc="5D645300" w:tentative="1">
      <w:start w:val="1"/>
      <w:numFmt w:val="bullet"/>
      <w:lvlText w:val=""/>
      <w:lvlJc w:val="left"/>
      <w:pPr>
        <w:ind w:left="6120" w:hanging="360"/>
      </w:pPr>
      <w:rPr>
        <w:rFonts w:ascii="Wingdings" w:hAnsi="Wingdings" w:hint="default"/>
      </w:rPr>
    </w:lvl>
  </w:abstractNum>
  <w:abstractNum w:abstractNumId="41" w15:restartNumberingAfterBreak="0">
    <w:nsid w:val="619A2ECA"/>
    <w:multiLevelType w:val="hybridMultilevel"/>
    <w:tmpl w:val="86BE90B0"/>
    <w:lvl w:ilvl="0" w:tplc="247069C2">
      <w:start w:val="1"/>
      <w:numFmt w:val="bullet"/>
      <w:lvlText w:val=""/>
      <w:lvlJc w:val="left"/>
      <w:pPr>
        <w:ind w:left="360" w:hanging="360"/>
      </w:pPr>
      <w:rPr>
        <w:rFonts w:ascii="Symbol" w:hAnsi="Symbol" w:hint="default"/>
      </w:rPr>
    </w:lvl>
    <w:lvl w:ilvl="1" w:tplc="8D7EB996" w:tentative="1">
      <w:start w:val="1"/>
      <w:numFmt w:val="bullet"/>
      <w:lvlText w:val="o"/>
      <w:lvlJc w:val="left"/>
      <w:pPr>
        <w:ind w:left="1080" w:hanging="360"/>
      </w:pPr>
      <w:rPr>
        <w:rFonts w:ascii="Courier New" w:hAnsi="Courier New" w:cs="Courier New" w:hint="default"/>
      </w:rPr>
    </w:lvl>
    <w:lvl w:ilvl="2" w:tplc="542C80E2" w:tentative="1">
      <w:start w:val="1"/>
      <w:numFmt w:val="bullet"/>
      <w:lvlText w:val=""/>
      <w:lvlJc w:val="left"/>
      <w:pPr>
        <w:ind w:left="1800" w:hanging="360"/>
      </w:pPr>
      <w:rPr>
        <w:rFonts w:ascii="Wingdings" w:hAnsi="Wingdings" w:hint="default"/>
      </w:rPr>
    </w:lvl>
    <w:lvl w:ilvl="3" w:tplc="033EA35C" w:tentative="1">
      <w:start w:val="1"/>
      <w:numFmt w:val="bullet"/>
      <w:lvlText w:val=""/>
      <w:lvlJc w:val="left"/>
      <w:pPr>
        <w:ind w:left="2520" w:hanging="360"/>
      </w:pPr>
      <w:rPr>
        <w:rFonts w:ascii="Symbol" w:hAnsi="Symbol" w:hint="default"/>
      </w:rPr>
    </w:lvl>
    <w:lvl w:ilvl="4" w:tplc="8EEEAAA8" w:tentative="1">
      <w:start w:val="1"/>
      <w:numFmt w:val="bullet"/>
      <w:lvlText w:val="o"/>
      <w:lvlJc w:val="left"/>
      <w:pPr>
        <w:ind w:left="3240" w:hanging="360"/>
      </w:pPr>
      <w:rPr>
        <w:rFonts w:ascii="Courier New" w:hAnsi="Courier New" w:cs="Courier New" w:hint="default"/>
      </w:rPr>
    </w:lvl>
    <w:lvl w:ilvl="5" w:tplc="84DA06FE" w:tentative="1">
      <w:start w:val="1"/>
      <w:numFmt w:val="bullet"/>
      <w:lvlText w:val=""/>
      <w:lvlJc w:val="left"/>
      <w:pPr>
        <w:ind w:left="3960" w:hanging="360"/>
      </w:pPr>
      <w:rPr>
        <w:rFonts w:ascii="Wingdings" w:hAnsi="Wingdings" w:hint="default"/>
      </w:rPr>
    </w:lvl>
    <w:lvl w:ilvl="6" w:tplc="B59A5506" w:tentative="1">
      <w:start w:val="1"/>
      <w:numFmt w:val="bullet"/>
      <w:lvlText w:val=""/>
      <w:lvlJc w:val="left"/>
      <w:pPr>
        <w:ind w:left="4680" w:hanging="360"/>
      </w:pPr>
      <w:rPr>
        <w:rFonts w:ascii="Symbol" w:hAnsi="Symbol" w:hint="default"/>
      </w:rPr>
    </w:lvl>
    <w:lvl w:ilvl="7" w:tplc="2C5E802C" w:tentative="1">
      <w:start w:val="1"/>
      <w:numFmt w:val="bullet"/>
      <w:lvlText w:val="o"/>
      <w:lvlJc w:val="left"/>
      <w:pPr>
        <w:ind w:left="5400" w:hanging="360"/>
      </w:pPr>
      <w:rPr>
        <w:rFonts w:ascii="Courier New" w:hAnsi="Courier New" w:cs="Courier New" w:hint="default"/>
      </w:rPr>
    </w:lvl>
    <w:lvl w:ilvl="8" w:tplc="76D2F78E" w:tentative="1">
      <w:start w:val="1"/>
      <w:numFmt w:val="bullet"/>
      <w:lvlText w:val=""/>
      <w:lvlJc w:val="left"/>
      <w:pPr>
        <w:ind w:left="6120" w:hanging="360"/>
      </w:pPr>
      <w:rPr>
        <w:rFonts w:ascii="Wingdings" w:hAnsi="Wingdings" w:hint="default"/>
      </w:rPr>
    </w:lvl>
  </w:abstractNum>
  <w:abstractNum w:abstractNumId="42" w15:restartNumberingAfterBreak="0">
    <w:nsid w:val="64B70406"/>
    <w:multiLevelType w:val="hybridMultilevel"/>
    <w:tmpl w:val="F9F4BFD4"/>
    <w:lvl w:ilvl="0" w:tplc="3760C428">
      <w:start w:val="1"/>
      <w:numFmt w:val="bullet"/>
      <w:lvlText w:val=""/>
      <w:lvlJc w:val="left"/>
      <w:pPr>
        <w:ind w:left="360" w:hanging="360"/>
      </w:pPr>
      <w:rPr>
        <w:rFonts w:ascii="Symbol" w:hAnsi="Symbol" w:hint="default"/>
      </w:rPr>
    </w:lvl>
    <w:lvl w:ilvl="1" w:tplc="CB3E7D7C" w:tentative="1">
      <w:start w:val="1"/>
      <w:numFmt w:val="bullet"/>
      <w:lvlText w:val="o"/>
      <w:lvlJc w:val="left"/>
      <w:pPr>
        <w:ind w:left="1440" w:hanging="360"/>
      </w:pPr>
      <w:rPr>
        <w:rFonts w:ascii="Courier New" w:hAnsi="Courier New" w:cs="Courier New" w:hint="default"/>
      </w:rPr>
    </w:lvl>
    <w:lvl w:ilvl="2" w:tplc="A4060016" w:tentative="1">
      <w:start w:val="1"/>
      <w:numFmt w:val="bullet"/>
      <w:lvlText w:val=""/>
      <w:lvlJc w:val="left"/>
      <w:pPr>
        <w:ind w:left="2160" w:hanging="360"/>
      </w:pPr>
      <w:rPr>
        <w:rFonts w:ascii="Wingdings" w:hAnsi="Wingdings" w:hint="default"/>
      </w:rPr>
    </w:lvl>
    <w:lvl w:ilvl="3" w:tplc="870E86FE" w:tentative="1">
      <w:start w:val="1"/>
      <w:numFmt w:val="bullet"/>
      <w:lvlText w:val=""/>
      <w:lvlJc w:val="left"/>
      <w:pPr>
        <w:ind w:left="2880" w:hanging="360"/>
      </w:pPr>
      <w:rPr>
        <w:rFonts w:ascii="Symbol" w:hAnsi="Symbol" w:hint="default"/>
      </w:rPr>
    </w:lvl>
    <w:lvl w:ilvl="4" w:tplc="356CCC48" w:tentative="1">
      <w:start w:val="1"/>
      <w:numFmt w:val="bullet"/>
      <w:lvlText w:val="o"/>
      <w:lvlJc w:val="left"/>
      <w:pPr>
        <w:ind w:left="3600" w:hanging="360"/>
      </w:pPr>
      <w:rPr>
        <w:rFonts w:ascii="Courier New" w:hAnsi="Courier New" w:cs="Courier New" w:hint="default"/>
      </w:rPr>
    </w:lvl>
    <w:lvl w:ilvl="5" w:tplc="8586E576" w:tentative="1">
      <w:start w:val="1"/>
      <w:numFmt w:val="bullet"/>
      <w:lvlText w:val=""/>
      <w:lvlJc w:val="left"/>
      <w:pPr>
        <w:ind w:left="4320" w:hanging="360"/>
      </w:pPr>
      <w:rPr>
        <w:rFonts w:ascii="Wingdings" w:hAnsi="Wingdings" w:hint="default"/>
      </w:rPr>
    </w:lvl>
    <w:lvl w:ilvl="6" w:tplc="A74C999C" w:tentative="1">
      <w:start w:val="1"/>
      <w:numFmt w:val="bullet"/>
      <w:lvlText w:val=""/>
      <w:lvlJc w:val="left"/>
      <w:pPr>
        <w:ind w:left="5040" w:hanging="360"/>
      </w:pPr>
      <w:rPr>
        <w:rFonts w:ascii="Symbol" w:hAnsi="Symbol" w:hint="default"/>
      </w:rPr>
    </w:lvl>
    <w:lvl w:ilvl="7" w:tplc="9DF41508" w:tentative="1">
      <w:start w:val="1"/>
      <w:numFmt w:val="bullet"/>
      <w:lvlText w:val="o"/>
      <w:lvlJc w:val="left"/>
      <w:pPr>
        <w:ind w:left="5760" w:hanging="360"/>
      </w:pPr>
      <w:rPr>
        <w:rFonts w:ascii="Courier New" w:hAnsi="Courier New" w:cs="Courier New" w:hint="default"/>
      </w:rPr>
    </w:lvl>
    <w:lvl w:ilvl="8" w:tplc="30F22DDE" w:tentative="1">
      <w:start w:val="1"/>
      <w:numFmt w:val="bullet"/>
      <w:lvlText w:val=""/>
      <w:lvlJc w:val="left"/>
      <w:pPr>
        <w:ind w:left="6480" w:hanging="360"/>
      </w:pPr>
      <w:rPr>
        <w:rFonts w:ascii="Wingdings" w:hAnsi="Wingdings" w:hint="default"/>
      </w:rPr>
    </w:lvl>
  </w:abstractNum>
  <w:abstractNum w:abstractNumId="43" w15:restartNumberingAfterBreak="0">
    <w:nsid w:val="6C3D2EDD"/>
    <w:multiLevelType w:val="hybridMultilevel"/>
    <w:tmpl w:val="3486641C"/>
    <w:lvl w:ilvl="0" w:tplc="D5560472">
      <w:start w:val="1"/>
      <w:numFmt w:val="bullet"/>
      <w:lvlText w:val=""/>
      <w:lvlJc w:val="left"/>
      <w:pPr>
        <w:ind w:left="720" w:hanging="360"/>
      </w:pPr>
      <w:rPr>
        <w:rFonts w:ascii="Symbol" w:hAnsi="Symbol" w:hint="default"/>
      </w:rPr>
    </w:lvl>
    <w:lvl w:ilvl="1" w:tplc="C63A41EC" w:tentative="1">
      <w:start w:val="1"/>
      <w:numFmt w:val="bullet"/>
      <w:lvlText w:val="o"/>
      <w:lvlJc w:val="left"/>
      <w:pPr>
        <w:ind w:left="1440" w:hanging="360"/>
      </w:pPr>
      <w:rPr>
        <w:rFonts w:ascii="Courier New" w:hAnsi="Courier New" w:cs="Courier New" w:hint="default"/>
      </w:rPr>
    </w:lvl>
    <w:lvl w:ilvl="2" w:tplc="805840EC" w:tentative="1">
      <w:start w:val="1"/>
      <w:numFmt w:val="bullet"/>
      <w:lvlText w:val=""/>
      <w:lvlJc w:val="left"/>
      <w:pPr>
        <w:ind w:left="2160" w:hanging="360"/>
      </w:pPr>
      <w:rPr>
        <w:rFonts w:ascii="Wingdings" w:hAnsi="Wingdings" w:hint="default"/>
      </w:rPr>
    </w:lvl>
    <w:lvl w:ilvl="3" w:tplc="1FC4EFB6" w:tentative="1">
      <w:start w:val="1"/>
      <w:numFmt w:val="bullet"/>
      <w:lvlText w:val=""/>
      <w:lvlJc w:val="left"/>
      <w:pPr>
        <w:ind w:left="2880" w:hanging="360"/>
      </w:pPr>
      <w:rPr>
        <w:rFonts w:ascii="Symbol" w:hAnsi="Symbol" w:hint="default"/>
      </w:rPr>
    </w:lvl>
    <w:lvl w:ilvl="4" w:tplc="D672688E" w:tentative="1">
      <w:start w:val="1"/>
      <w:numFmt w:val="bullet"/>
      <w:lvlText w:val="o"/>
      <w:lvlJc w:val="left"/>
      <w:pPr>
        <w:ind w:left="3600" w:hanging="360"/>
      </w:pPr>
      <w:rPr>
        <w:rFonts w:ascii="Courier New" w:hAnsi="Courier New" w:cs="Courier New" w:hint="default"/>
      </w:rPr>
    </w:lvl>
    <w:lvl w:ilvl="5" w:tplc="737AACFC" w:tentative="1">
      <w:start w:val="1"/>
      <w:numFmt w:val="bullet"/>
      <w:lvlText w:val=""/>
      <w:lvlJc w:val="left"/>
      <w:pPr>
        <w:ind w:left="4320" w:hanging="360"/>
      </w:pPr>
      <w:rPr>
        <w:rFonts w:ascii="Wingdings" w:hAnsi="Wingdings" w:hint="default"/>
      </w:rPr>
    </w:lvl>
    <w:lvl w:ilvl="6" w:tplc="D396BDAC" w:tentative="1">
      <w:start w:val="1"/>
      <w:numFmt w:val="bullet"/>
      <w:lvlText w:val=""/>
      <w:lvlJc w:val="left"/>
      <w:pPr>
        <w:ind w:left="5040" w:hanging="360"/>
      </w:pPr>
      <w:rPr>
        <w:rFonts w:ascii="Symbol" w:hAnsi="Symbol" w:hint="default"/>
      </w:rPr>
    </w:lvl>
    <w:lvl w:ilvl="7" w:tplc="27EA818C" w:tentative="1">
      <w:start w:val="1"/>
      <w:numFmt w:val="bullet"/>
      <w:lvlText w:val="o"/>
      <w:lvlJc w:val="left"/>
      <w:pPr>
        <w:ind w:left="5760" w:hanging="360"/>
      </w:pPr>
      <w:rPr>
        <w:rFonts w:ascii="Courier New" w:hAnsi="Courier New" w:cs="Courier New" w:hint="default"/>
      </w:rPr>
    </w:lvl>
    <w:lvl w:ilvl="8" w:tplc="448E7A06" w:tentative="1">
      <w:start w:val="1"/>
      <w:numFmt w:val="bullet"/>
      <w:lvlText w:val=""/>
      <w:lvlJc w:val="left"/>
      <w:pPr>
        <w:ind w:left="6480" w:hanging="360"/>
      </w:pPr>
      <w:rPr>
        <w:rFonts w:ascii="Wingdings" w:hAnsi="Wingdings" w:hint="default"/>
      </w:rPr>
    </w:lvl>
  </w:abstractNum>
  <w:abstractNum w:abstractNumId="44" w15:restartNumberingAfterBreak="0">
    <w:nsid w:val="6C7E76DE"/>
    <w:multiLevelType w:val="hybridMultilevel"/>
    <w:tmpl w:val="94D8BB38"/>
    <w:lvl w:ilvl="0" w:tplc="03A66AD4">
      <w:start w:val="1"/>
      <w:numFmt w:val="bullet"/>
      <w:lvlText w:val=""/>
      <w:lvlJc w:val="left"/>
      <w:pPr>
        <w:ind w:left="720" w:hanging="360"/>
      </w:pPr>
      <w:rPr>
        <w:rFonts w:ascii="Symbol" w:hAnsi="Symbol" w:hint="default"/>
      </w:rPr>
    </w:lvl>
    <w:lvl w:ilvl="1" w:tplc="A8729F4E" w:tentative="1">
      <w:start w:val="1"/>
      <w:numFmt w:val="bullet"/>
      <w:lvlText w:val="o"/>
      <w:lvlJc w:val="left"/>
      <w:pPr>
        <w:ind w:left="1440" w:hanging="360"/>
      </w:pPr>
      <w:rPr>
        <w:rFonts w:ascii="Courier New" w:hAnsi="Courier New" w:cs="Courier New" w:hint="default"/>
      </w:rPr>
    </w:lvl>
    <w:lvl w:ilvl="2" w:tplc="ECC4D512" w:tentative="1">
      <w:start w:val="1"/>
      <w:numFmt w:val="bullet"/>
      <w:lvlText w:val=""/>
      <w:lvlJc w:val="left"/>
      <w:pPr>
        <w:ind w:left="2160" w:hanging="360"/>
      </w:pPr>
      <w:rPr>
        <w:rFonts w:ascii="Wingdings" w:hAnsi="Wingdings" w:hint="default"/>
      </w:rPr>
    </w:lvl>
    <w:lvl w:ilvl="3" w:tplc="A18E5A76" w:tentative="1">
      <w:start w:val="1"/>
      <w:numFmt w:val="bullet"/>
      <w:lvlText w:val=""/>
      <w:lvlJc w:val="left"/>
      <w:pPr>
        <w:ind w:left="2880" w:hanging="360"/>
      </w:pPr>
      <w:rPr>
        <w:rFonts w:ascii="Symbol" w:hAnsi="Symbol" w:hint="default"/>
      </w:rPr>
    </w:lvl>
    <w:lvl w:ilvl="4" w:tplc="C3B206E0" w:tentative="1">
      <w:start w:val="1"/>
      <w:numFmt w:val="bullet"/>
      <w:lvlText w:val="o"/>
      <w:lvlJc w:val="left"/>
      <w:pPr>
        <w:ind w:left="3600" w:hanging="360"/>
      </w:pPr>
      <w:rPr>
        <w:rFonts w:ascii="Courier New" w:hAnsi="Courier New" w:cs="Courier New" w:hint="default"/>
      </w:rPr>
    </w:lvl>
    <w:lvl w:ilvl="5" w:tplc="F9B2A9C8" w:tentative="1">
      <w:start w:val="1"/>
      <w:numFmt w:val="bullet"/>
      <w:lvlText w:val=""/>
      <w:lvlJc w:val="left"/>
      <w:pPr>
        <w:ind w:left="4320" w:hanging="360"/>
      </w:pPr>
      <w:rPr>
        <w:rFonts w:ascii="Wingdings" w:hAnsi="Wingdings" w:hint="default"/>
      </w:rPr>
    </w:lvl>
    <w:lvl w:ilvl="6" w:tplc="DEF61CFC" w:tentative="1">
      <w:start w:val="1"/>
      <w:numFmt w:val="bullet"/>
      <w:lvlText w:val=""/>
      <w:lvlJc w:val="left"/>
      <w:pPr>
        <w:ind w:left="5040" w:hanging="360"/>
      </w:pPr>
      <w:rPr>
        <w:rFonts w:ascii="Symbol" w:hAnsi="Symbol" w:hint="default"/>
      </w:rPr>
    </w:lvl>
    <w:lvl w:ilvl="7" w:tplc="6E02BC82" w:tentative="1">
      <w:start w:val="1"/>
      <w:numFmt w:val="bullet"/>
      <w:lvlText w:val="o"/>
      <w:lvlJc w:val="left"/>
      <w:pPr>
        <w:ind w:left="5760" w:hanging="360"/>
      </w:pPr>
      <w:rPr>
        <w:rFonts w:ascii="Courier New" w:hAnsi="Courier New" w:cs="Courier New" w:hint="default"/>
      </w:rPr>
    </w:lvl>
    <w:lvl w:ilvl="8" w:tplc="6A640026" w:tentative="1">
      <w:start w:val="1"/>
      <w:numFmt w:val="bullet"/>
      <w:lvlText w:val=""/>
      <w:lvlJc w:val="left"/>
      <w:pPr>
        <w:ind w:left="6480" w:hanging="360"/>
      </w:pPr>
      <w:rPr>
        <w:rFonts w:ascii="Wingdings" w:hAnsi="Wingdings" w:hint="default"/>
      </w:rPr>
    </w:lvl>
  </w:abstractNum>
  <w:abstractNum w:abstractNumId="45" w15:restartNumberingAfterBreak="0">
    <w:nsid w:val="6CBE7724"/>
    <w:multiLevelType w:val="hybridMultilevel"/>
    <w:tmpl w:val="C88C18DA"/>
    <w:lvl w:ilvl="0" w:tplc="4E2C7682">
      <w:start w:val="1"/>
      <w:numFmt w:val="bullet"/>
      <w:lvlText w:val=""/>
      <w:lvlJc w:val="left"/>
      <w:pPr>
        <w:ind w:left="720" w:hanging="360"/>
      </w:pPr>
      <w:rPr>
        <w:rFonts w:ascii="Symbol" w:hAnsi="Symbol" w:hint="default"/>
      </w:rPr>
    </w:lvl>
    <w:lvl w:ilvl="1" w:tplc="F4C23F78" w:tentative="1">
      <w:start w:val="1"/>
      <w:numFmt w:val="bullet"/>
      <w:lvlText w:val="o"/>
      <w:lvlJc w:val="left"/>
      <w:pPr>
        <w:ind w:left="1440" w:hanging="360"/>
      </w:pPr>
      <w:rPr>
        <w:rFonts w:ascii="Courier New" w:hAnsi="Courier New" w:cs="Courier New" w:hint="default"/>
      </w:rPr>
    </w:lvl>
    <w:lvl w:ilvl="2" w:tplc="50380790" w:tentative="1">
      <w:start w:val="1"/>
      <w:numFmt w:val="bullet"/>
      <w:lvlText w:val=""/>
      <w:lvlJc w:val="left"/>
      <w:pPr>
        <w:ind w:left="2160" w:hanging="360"/>
      </w:pPr>
      <w:rPr>
        <w:rFonts w:ascii="Wingdings" w:hAnsi="Wingdings" w:hint="default"/>
      </w:rPr>
    </w:lvl>
    <w:lvl w:ilvl="3" w:tplc="74DA3694" w:tentative="1">
      <w:start w:val="1"/>
      <w:numFmt w:val="bullet"/>
      <w:lvlText w:val=""/>
      <w:lvlJc w:val="left"/>
      <w:pPr>
        <w:ind w:left="2880" w:hanging="360"/>
      </w:pPr>
      <w:rPr>
        <w:rFonts w:ascii="Symbol" w:hAnsi="Symbol" w:hint="default"/>
      </w:rPr>
    </w:lvl>
    <w:lvl w:ilvl="4" w:tplc="562E9352" w:tentative="1">
      <w:start w:val="1"/>
      <w:numFmt w:val="bullet"/>
      <w:lvlText w:val="o"/>
      <w:lvlJc w:val="left"/>
      <w:pPr>
        <w:ind w:left="3600" w:hanging="360"/>
      </w:pPr>
      <w:rPr>
        <w:rFonts w:ascii="Courier New" w:hAnsi="Courier New" w:cs="Courier New" w:hint="default"/>
      </w:rPr>
    </w:lvl>
    <w:lvl w:ilvl="5" w:tplc="3BACC018" w:tentative="1">
      <w:start w:val="1"/>
      <w:numFmt w:val="bullet"/>
      <w:lvlText w:val=""/>
      <w:lvlJc w:val="left"/>
      <w:pPr>
        <w:ind w:left="4320" w:hanging="360"/>
      </w:pPr>
      <w:rPr>
        <w:rFonts w:ascii="Wingdings" w:hAnsi="Wingdings" w:hint="default"/>
      </w:rPr>
    </w:lvl>
    <w:lvl w:ilvl="6" w:tplc="120CC1BC" w:tentative="1">
      <w:start w:val="1"/>
      <w:numFmt w:val="bullet"/>
      <w:lvlText w:val=""/>
      <w:lvlJc w:val="left"/>
      <w:pPr>
        <w:ind w:left="5040" w:hanging="360"/>
      </w:pPr>
      <w:rPr>
        <w:rFonts w:ascii="Symbol" w:hAnsi="Symbol" w:hint="default"/>
      </w:rPr>
    </w:lvl>
    <w:lvl w:ilvl="7" w:tplc="D5662C30" w:tentative="1">
      <w:start w:val="1"/>
      <w:numFmt w:val="bullet"/>
      <w:lvlText w:val="o"/>
      <w:lvlJc w:val="left"/>
      <w:pPr>
        <w:ind w:left="5760" w:hanging="360"/>
      </w:pPr>
      <w:rPr>
        <w:rFonts w:ascii="Courier New" w:hAnsi="Courier New" w:cs="Courier New" w:hint="default"/>
      </w:rPr>
    </w:lvl>
    <w:lvl w:ilvl="8" w:tplc="BB74CA44" w:tentative="1">
      <w:start w:val="1"/>
      <w:numFmt w:val="bullet"/>
      <w:lvlText w:val=""/>
      <w:lvlJc w:val="left"/>
      <w:pPr>
        <w:ind w:left="6480" w:hanging="360"/>
      </w:pPr>
      <w:rPr>
        <w:rFonts w:ascii="Wingdings" w:hAnsi="Wingdings" w:hint="default"/>
      </w:rPr>
    </w:lvl>
  </w:abstractNum>
  <w:abstractNum w:abstractNumId="46" w15:restartNumberingAfterBreak="0">
    <w:nsid w:val="7A1F3A91"/>
    <w:multiLevelType w:val="hybridMultilevel"/>
    <w:tmpl w:val="27788A14"/>
    <w:lvl w:ilvl="0" w:tplc="76EC9A18">
      <w:start w:val="1"/>
      <w:numFmt w:val="bullet"/>
      <w:lvlText w:val=""/>
      <w:lvlJc w:val="left"/>
      <w:pPr>
        <w:ind w:left="720" w:hanging="360"/>
      </w:pPr>
      <w:rPr>
        <w:rFonts w:ascii="Symbol" w:hAnsi="Symbol" w:hint="default"/>
      </w:rPr>
    </w:lvl>
    <w:lvl w:ilvl="1" w:tplc="26AE5BC8" w:tentative="1">
      <w:start w:val="1"/>
      <w:numFmt w:val="bullet"/>
      <w:lvlText w:val="o"/>
      <w:lvlJc w:val="left"/>
      <w:pPr>
        <w:ind w:left="1440" w:hanging="360"/>
      </w:pPr>
      <w:rPr>
        <w:rFonts w:ascii="Courier New" w:hAnsi="Courier New" w:cs="Courier New" w:hint="default"/>
      </w:rPr>
    </w:lvl>
    <w:lvl w:ilvl="2" w:tplc="A126BB84" w:tentative="1">
      <w:start w:val="1"/>
      <w:numFmt w:val="bullet"/>
      <w:lvlText w:val=""/>
      <w:lvlJc w:val="left"/>
      <w:pPr>
        <w:ind w:left="2160" w:hanging="360"/>
      </w:pPr>
      <w:rPr>
        <w:rFonts w:ascii="Wingdings" w:hAnsi="Wingdings" w:hint="default"/>
      </w:rPr>
    </w:lvl>
    <w:lvl w:ilvl="3" w:tplc="3DC4E794" w:tentative="1">
      <w:start w:val="1"/>
      <w:numFmt w:val="bullet"/>
      <w:lvlText w:val=""/>
      <w:lvlJc w:val="left"/>
      <w:pPr>
        <w:ind w:left="2880" w:hanging="360"/>
      </w:pPr>
      <w:rPr>
        <w:rFonts w:ascii="Symbol" w:hAnsi="Symbol" w:hint="default"/>
      </w:rPr>
    </w:lvl>
    <w:lvl w:ilvl="4" w:tplc="CF7EA3F2" w:tentative="1">
      <w:start w:val="1"/>
      <w:numFmt w:val="bullet"/>
      <w:lvlText w:val="o"/>
      <w:lvlJc w:val="left"/>
      <w:pPr>
        <w:ind w:left="3600" w:hanging="360"/>
      </w:pPr>
      <w:rPr>
        <w:rFonts w:ascii="Courier New" w:hAnsi="Courier New" w:cs="Courier New" w:hint="default"/>
      </w:rPr>
    </w:lvl>
    <w:lvl w:ilvl="5" w:tplc="F01C149E" w:tentative="1">
      <w:start w:val="1"/>
      <w:numFmt w:val="bullet"/>
      <w:lvlText w:val=""/>
      <w:lvlJc w:val="left"/>
      <w:pPr>
        <w:ind w:left="4320" w:hanging="360"/>
      </w:pPr>
      <w:rPr>
        <w:rFonts w:ascii="Wingdings" w:hAnsi="Wingdings" w:hint="default"/>
      </w:rPr>
    </w:lvl>
    <w:lvl w:ilvl="6" w:tplc="65107618" w:tentative="1">
      <w:start w:val="1"/>
      <w:numFmt w:val="bullet"/>
      <w:lvlText w:val=""/>
      <w:lvlJc w:val="left"/>
      <w:pPr>
        <w:ind w:left="5040" w:hanging="360"/>
      </w:pPr>
      <w:rPr>
        <w:rFonts w:ascii="Symbol" w:hAnsi="Symbol" w:hint="default"/>
      </w:rPr>
    </w:lvl>
    <w:lvl w:ilvl="7" w:tplc="DA56AAAA" w:tentative="1">
      <w:start w:val="1"/>
      <w:numFmt w:val="bullet"/>
      <w:lvlText w:val="o"/>
      <w:lvlJc w:val="left"/>
      <w:pPr>
        <w:ind w:left="5760" w:hanging="360"/>
      </w:pPr>
      <w:rPr>
        <w:rFonts w:ascii="Courier New" w:hAnsi="Courier New" w:cs="Courier New" w:hint="default"/>
      </w:rPr>
    </w:lvl>
    <w:lvl w:ilvl="8" w:tplc="D71AB0AE" w:tentative="1">
      <w:start w:val="1"/>
      <w:numFmt w:val="bullet"/>
      <w:lvlText w:val=""/>
      <w:lvlJc w:val="left"/>
      <w:pPr>
        <w:ind w:left="6480" w:hanging="360"/>
      </w:pPr>
      <w:rPr>
        <w:rFonts w:ascii="Wingdings" w:hAnsi="Wingdings" w:hint="default"/>
      </w:rPr>
    </w:lvl>
  </w:abstractNum>
  <w:abstractNum w:abstractNumId="47" w15:restartNumberingAfterBreak="0">
    <w:nsid w:val="7B8C01AD"/>
    <w:multiLevelType w:val="hybridMultilevel"/>
    <w:tmpl w:val="0FA0D9A0"/>
    <w:lvl w:ilvl="0" w:tplc="FEEA17EA">
      <w:start w:val="1"/>
      <w:numFmt w:val="bullet"/>
      <w:lvlText w:val=""/>
      <w:lvlJc w:val="left"/>
      <w:pPr>
        <w:ind w:left="720" w:hanging="360"/>
      </w:pPr>
      <w:rPr>
        <w:rFonts w:ascii="Symbol" w:hAnsi="Symbol" w:hint="default"/>
      </w:rPr>
    </w:lvl>
    <w:lvl w:ilvl="1" w:tplc="DCC4D0B0" w:tentative="1">
      <w:start w:val="1"/>
      <w:numFmt w:val="bullet"/>
      <w:lvlText w:val="o"/>
      <w:lvlJc w:val="left"/>
      <w:pPr>
        <w:ind w:left="1440" w:hanging="360"/>
      </w:pPr>
      <w:rPr>
        <w:rFonts w:ascii="Courier New" w:hAnsi="Courier New" w:cs="Courier New" w:hint="default"/>
      </w:rPr>
    </w:lvl>
    <w:lvl w:ilvl="2" w:tplc="76EA51A8" w:tentative="1">
      <w:start w:val="1"/>
      <w:numFmt w:val="bullet"/>
      <w:lvlText w:val=""/>
      <w:lvlJc w:val="left"/>
      <w:pPr>
        <w:ind w:left="2160" w:hanging="360"/>
      </w:pPr>
      <w:rPr>
        <w:rFonts w:ascii="Wingdings" w:hAnsi="Wingdings" w:hint="default"/>
      </w:rPr>
    </w:lvl>
    <w:lvl w:ilvl="3" w:tplc="FEB613E6" w:tentative="1">
      <w:start w:val="1"/>
      <w:numFmt w:val="bullet"/>
      <w:lvlText w:val=""/>
      <w:lvlJc w:val="left"/>
      <w:pPr>
        <w:ind w:left="2880" w:hanging="360"/>
      </w:pPr>
      <w:rPr>
        <w:rFonts w:ascii="Symbol" w:hAnsi="Symbol" w:hint="default"/>
      </w:rPr>
    </w:lvl>
    <w:lvl w:ilvl="4" w:tplc="C5DAC6B0" w:tentative="1">
      <w:start w:val="1"/>
      <w:numFmt w:val="bullet"/>
      <w:lvlText w:val="o"/>
      <w:lvlJc w:val="left"/>
      <w:pPr>
        <w:ind w:left="3600" w:hanging="360"/>
      </w:pPr>
      <w:rPr>
        <w:rFonts w:ascii="Courier New" w:hAnsi="Courier New" w:cs="Courier New" w:hint="default"/>
      </w:rPr>
    </w:lvl>
    <w:lvl w:ilvl="5" w:tplc="DA1AA1F6" w:tentative="1">
      <w:start w:val="1"/>
      <w:numFmt w:val="bullet"/>
      <w:lvlText w:val=""/>
      <w:lvlJc w:val="left"/>
      <w:pPr>
        <w:ind w:left="4320" w:hanging="360"/>
      </w:pPr>
      <w:rPr>
        <w:rFonts w:ascii="Wingdings" w:hAnsi="Wingdings" w:hint="default"/>
      </w:rPr>
    </w:lvl>
    <w:lvl w:ilvl="6" w:tplc="D578E3B8" w:tentative="1">
      <w:start w:val="1"/>
      <w:numFmt w:val="bullet"/>
      <w:lvlText w:val=""/>
      <w:lvlJc w:val="left"/>
      <w:pPr>
        <w:ind w:left="5040" w:hanging="360"/>
      </w:pPr>
      <w:rPr>
        <w:rFonts w:ascii="Symbol" w:hAnsi="Symbol" w:hint="default"/>
      </w:rPr>
    </w:lvl>
    <w:lvl w:ilvl="7" w:tplc="A3A20FDA" w:tentative="1">
      <w:start w:val="1"/>
      <w:numFmt w:val="bullet"/>
      <w:lvlText w:val="o"/>
      <w:lvlJc w:val="left"/>
      <w:pPr>
        <w:ind w:left="5760" w:hanging="360"/>
      </w:pPr>
      <w:rPr>
        <w:rFonts w:ascii="Courier New" w:hAnsi="Courier New" w:cs="Courier New" w:hint="default"/>
      </w:rPr>
    </w:lvl>
    <w:lvl w:ilvl="8" w:tplc="5BA0A41C" w:tentative="1">
      <w:start w:val="1"/>
      <w:numFmt w:val="bullet"/>
      <w:lvlText w:val=""/>
      <w:lvlJc w:val="left"/>
      <w:pPr>
        <w:ind w:left="6480" w:hanging="360"/>
      </w:pPr>
      <w:rPr>
        <w:rFonts w:ascii="Wingdings" w:hAnsi="Wingdings" w:hint="default"/>
      </w:rPr>
    </w:lvl>
  </w:abstractNum>
  <w:num w:numId="1" w16cid:durableId="814643284">
    <w:abstractNumId w:val="35"/>
  </w:num>
  <w:num w:numId="2" w16cid:durableId="997490464">
    <w:abstractNumId w:val="11"/>
  </w:num>
  <w:num w:numId="3" w16cid:durableId="252250773">
    <w:abstractNumId w:val="28"/>
  </w:num>
  <w:num w:numId="4" w16cid:durableId="983198354">
    <w:abstractNumId w:val="23"/>
  </w:num>
  <w:num w:numId="5" w16cid:durableId="801654944">
    <w:abstractNumId w:val="16"/>
  </w:num>
  <w:num w:numId="6" w16cid:durableId="861355377">
    <w:abstractNumId w:val="44"/>
  </w:num>
  <w:num w:numId="7" w16cid:durableId="1936400523">
    <w:abstractNumId w:val="13"/>
  </w:num>
  <w:num w:numId="8" w16cid:durableId="1820342767">
    <w:abstractNumId w:val="3"/>
  </w:num>
  <w:num w:numId="9" w16cid:durableId="776484512">
    <w:abstractNumId w:val="29"/>
  </w:num>
  <w:num w:numId="10" w16cid:durableId="1446919798">
    <w:abstractNumId w:val="47"/>
  </w:num>
  <w:num w:numId="11" w16cid:durableId="473378738">
    <w:abstractNumId w:val="8"/>
  </w:num>
  <w:num w:numId="12" w16cid:durableId="797650887">
    <w:abstractNumId w:val="39"/>
  </w:num>
  <w:num w:numId="13" w16cid:durableId="2091193808">
    <w:abstractNumId w:val="40"/>
  </w:num>
  <w:num w:numId="14" w16cid:durableId="1539586157">
    <w:abstractNumId w:val="33"/>
  </w:num>
  <w:num w:numId="15" w16cid:durableId="636374257">
    <w:abstractNumId w:val="30"/>
  </w:num>
  <w:num w:numId="16" w16cid:durableId="220949700">
    <w:abstractNumId w:val="17"/>
  </w:num>
  <w:num w:numId="17" w16cid:durableId="1422678817">
    <w:abstractNumId w:val="7"/>
  </w:num>
  <w:num w:numId="18" w16cid:durableId="1774864280">
    <w:abstractNumId w:val="42"/>
  </w:num>
  <w:num w:numId="19" w16cid:durableId="658314157">
    <w:abstractNumId w:val="15"/>
  </w:num>
  <w:num w:numId="20" w16cid:durableId="1338577440">
    <w:abstractNumId w:val="5"/>
  </w:num>
  <w:num w:numId="21" w16cid:durableId="935862161">
    <w:abstractNumId w:val="12"/>
  </w:num>
  <w:num w:numId="22" w16cid:durableId="1358045924">
    <w:abstractNumId w:val="34"/>
  </w:num>
  <w:num w:numId="23" w16cid:durableId="479806122">
    <w:abstractNumId w:val="36"/>
  </w:num>
  <w:num w:numId="24" w16cid:durableId="1498426519">
    <w:abstractNumId w:val="43"/>
  </w:num>
  <w:num w:numId="25" w16cid:durableId="1848052662">
    <w:abstractNumId w:val="20"/>
  </w:num>
  <w:num w:numId="26" w16cid:durableId="425544031">
    <w:abstractNumId w:val="21"/>
  </w:num>
  <w:num w:numId="27" w16cid:durableId="1391198647">
    <w:abstractNumId w:val="24"/>
  </w:num>
  <w:num w:numId="28" w16cid:durableId="676421230">
    <w:abstractNumId w:val="41"/>
  </w:num>
  <w:num w:numId="29" w16cid:durableId="1774786880">
    <w:abstractNumId w:val="0"/>
  </w:num>
  <w:num w:numId="30" w16cid:durableId="670452066">
    <w:abstractNumId w:val="1"/>
  </w:num>
  <w:num w:numId="31" w16cid:durableId="1275021106">
    <w:abstractNumId w:val="10"/>
  </w:num>
  <w:num w:numId="32" w16cid:durableId="705905381">
    <w:abstractNumId w:val="46"/>
  </w:num>
  <w:num w:numId="33" w16cid:durableId="655456721">
    <w:abstractNumId w:val="19"/>
  </w:num>
  <w:num w:numId="34" w16cid:durableId="36665766">
    <w:abstractNumId w:val="38"/>
  </w:num>
  <w:num w:numId="35" w16cid:durableId="895121751">
    <w:abstractNumId w:val="25"/>
  </w:num>
  <w:num w:numId="36" w16cid:durableId="480659804">
    <w:abstractNumId w:val="14"/>
  </w:num>
  <w:num w:numId="37" w16cid:durableId="1816607809">
    <w:abstractNumId w:val="9"/>
  </w:num>
  <w:num w:numId="38" w16cid:durableId="80108090">
    <w:abstractNumId w:val="4"/>
  </w:num>
  <w:num w:numId="39" w16cid:durableId="1499999229">
    <w:abstractNumId w:val="2"/>
  </w:num>
  <w:num w:numId="40" w16cid:durableId="237403596">
    <w:abstractNumId w:val="27"/>
  </w:num>
  <w:num w:numId="41" w16cid:durableId="1898590709">
    <w:abstractNumId w:val="45"/>
  </w:num>
  <w:num w:numId="42" w16cid:durableId="1060983986">
    <w:abstractNumId w:val="6"/>
  </w:num>
  <w:num w:numId="43" w16cid:durableId="854265853">
    <w:abstractNumId w:val="37"/>
  </w:num>
  <w:num w:numId="44" w16cid:durableId="656542105">
    <w:abstractNumId w:val="32"/>
  </w:num>
  <w:num w:numId="45" w16cid:durableId="1604532098">
    <w:abstractNumId w:val="31"/>
  </w:num>
  <w:num w:numId="46" w16cid:durableId="1267343557">
    <w:abstractNumId w:val="18"/>
  </w:num>
  <w:num w:numId="47" w16cid:durableId="637612142">
    <w:abstractNumId w:val="22"/>
  </w:num>
  <w:num w:numId="48" w16cid:durableId="379477333">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15A"/>
    <w:rsid w:val="000140F8"/>
    <w:rsid w:val="00021927"/>
    <w:rsid w:val="0002468B"/>
    <w:rsid w:val="00030393"/>
    <w:rsid w:val="0003121C"/>
    <w:rsid w:val="00036011"/>
    <w:rsid w:val="00043345"/>
    <w:rsid w:val="00044A45"/>
    <w:rsid w:val="00044B76"/>
    <w:rsid w:val="00044FFF"/>
    <w:rsid w:val="00052385"/>
    <w:rsid w:val="000552BF"/>
    <w:rsid w:val="00060345"/>
    <w:rsid w:val="000647CE"/>
    <w:rsid w:val="000678F4"/>
    <w:rsid w:val="00071234"/>
    <w:rsid w:val="0008037E"/>
    <w:rsid w:val="000808A4"/>
    <w:rsid w:val="000823C3"/>
    <w:rsid w:val="000933B0"/>
    <w:rsid w:val="000A184C"/>
    <w:rsid w:val="000A20C7"/>
    <w:rsid w:val="000C2896"/>
    <w:rsid w:val="000C3D2E"/>
    <w:rsid w:val="000E0829"/>
    <w:rsid w:val="000F0949"/>
    <w:rsid w:val="000F4BE1"/>
    <w:rsid w:val="000F6C43"/>
    <w:rsid w:val="00103DB9"/>
    <w:rsid w:val="00105D9D"/>
    <w:rsid w:val="0011560F"/>
    <w:rsid w:val="00123075"/>
    <w:rsid w:val="001248C8"/>
    <w:rsid w:val="00134686"/>
    <w:rsid w:val="00135E89"/>
    <w:rsid w:val="00142FC9"/>
    <w:rsid w:val="00147566"/>
    <w:rsid w:val="00155B59"/>
    <w:rsid w:val="00164B0D"/>
    <w:rsid w:val="00172C66"/>
    <w:rsid w:val="0018230B"/>
    <w:rsid w:val="00187F32"/>
    <w:rsid w:val="00193AA6"/>
    <w:rsid w:val="001A07A6"/>
    <w:rsid w:val="001A10CA"/>
    <w:rsid w:val="001A6740"/>
    <w:rsid w:val="001B40E8"/>
    <w:rsid w:val="001B5456"/>
    <w:rsid w:val="001C0978"/>
    <w:rsid w:val="001C24D6"/>
    <w:rsid w:val="001D0F44"/>
    <w:rsid w:val="001D1842"/>
    <w:rsid w:val="001E664C"/>
    <w:rsid w:val="001E7E00"/>
    <w:rsid w:val="001F133E"/>
    <w:rsid w:val="002009B6"/>
    <w:rsid w:val="0020245B"/>
    <w:rsid w:val="0020309C"/>
    <w:rsid w:val="0021152C"/>
    <w:rsid w:val="00211A7F"/>
    <w:rsid w:val="00213837"/>
    <w:rsid w:val="002204D1"/>
    <w:rsid w:val="0023125F"/>
    <w:rsid w:val="002319F5"/>
    <w:rsid w:val="00231AC8"/>
    <w:rsid w:val="0023742E"/>
    <w:rsid w:val="00240618"/>
    <w:rsid w:val="0024650B"/>
    <w:rsid w:val="0025496A"/>
    <w:rsid w:val="0027242C"/>
    <w:rsid w:val="0028074C"/>
    <w:rsid w:val="002934BA"/>
    <w:rsid w:val="002A5361"/>
    <w:rsid w:val="002B151B"/>
    <w:rsid w:val="002B501A"/>
    <w:rsid w:val="002C0AF5"/>
    <w:rsid w:val="002C7C5A"/>
    <w:rsid w:val="002D0989"/>
    <w:rsid w:val="002D4666"/>
    <w:rsid w:val="002E4BD0"/>
    <w:rsid w:val="002E6C57"/>
    <w:rsid w:val="002E76B3"/>
    <w:rsid w:val="002F0643"/>
    <w:rsid w:val="002F3A5E"/>
    <w:rsid w:val="002F6C26"/>
    <w:rsid w:val="003051B0"/>
    <w:rsid w:val="00305D9F"/>
    <w:rsid w:val="00307382"/>
    <w:rsid w:val="00332D0E"/>
    <w:rsid w:val="00341825"/>
    <w:rsid w:val="003525DA"/>
    <w:rsid w:val="00353008"/>
    <w:rsid w:val="00361730"/>
    <w:rsid w:val="00362B96"/>
    <w:rsid w:val="0037294E"/>
    <w:rsid w:val="003756BE"/>
    <w:rsid w:val="0037754B"/>
    <w:rsid w:val="003776EA"/>
    <w:rsid w:val="00381F07"/>
    <w:rsid w:val="00390314"/>
    <w:rsid w:val="00397AC3"/>
    <w:rsid w:val="003A1CD0"/>
    <w:rsid w:val="003A33B0"/>
    <w:rsid w:val="003B1C4A"/>
    <w:rsid w:val="003B4383"/>
    <w:rsid w:val="003B7634"/>
    <w:rsid w:val="003C23BA"/>
    <w:rsid w:val="003E4165"/>
    <w:rsid w:val="003F0BB2"/>
    <w:rsid w:val="003F1583"/>
    <w:rsid w:val="00414220"/>
    <w:rsid w:val="00435A0A"/>
    <w:rsid w:val="00465DC0"/>
    <w:rsid w:val="00485F08"/>
    <w:rsid w:val="00486583"/>
    <w:rsid w:val="00486D91"/>
    <w:rsid w:val="00495A00"/>
    <w:rsid w:val="004A0CF6"/>
    <w:rsid w:val="004B1F2D"/>
    <w:rsid w:val="004B4176"/>
    <w:rsid w:val="004B4E6B"/>
    <w:rsid w:val="004D07DE"/>
    <w:rsid w:val="004D1D36"/>
    <w:rsid w:val="004D41CD"/>
    <w:rsid w:val="004D4646"/>
    <w:rsid w:val="004E4CA6"/>
    <w:rsid w:val="004F0245"/>
    <w:rsid w:val="00514250"/>
    <w:rsid w:val="00546D12"/>
    <w:rsid w:val="00555ECC"/>
    <w:rsid w:val="00561D4E"/>
    <w:rsid w:val="00562C4C"/>
    <w:rsid w:val="0056377E"/>
    <w:rsid w:val="00571545"/>
    <w:rsid w:val="0057565F"/>
    <w:rsid w:val="0059341E"/>
    <w:rsid w:val="00595C5C"/>
    <w:rsid w:val="005A6245"/>
    <w:rsid w:val="005A7EB2"/>
    <w:rsid w:val="005C26A9"/>
    <w:rsid w:val="005F0233"/>
    <w:rsid w:val="0060236F"/>
    <w:rsid w:val="00607EAC"/>
    <w:rsid w:val="006153D7"/>
    <w:rsid w:val="0062556A"/>
    <w:rsid w:val="006330D6"/>
    <w:rsid w:val="00637894"/>
    <w:rsid w:val="00647585"/>
    <w:rsid w:val="00651239"/>
    <w:rsid w:val="0066160F"/>
    <w:rsid w:val="0066544A"/>
    <w:rsid w:val="00665C2B"/>
    <w:rsid w:val="00672C0E"/>
    <w:rsid w:val="00673C5E"/>
    <w:rsid w:val="00690CA3"/>
    <w:rsid w:val="006B17D6"/>
    <w:rsid w:val="006C6018"/>
    <w:rsid w:val="006D58D1"/>
    <w:rsid w:val="006E0BC9"/>
    <w:rsid w:val="00701011"/>
    <w:rsid w:val="00712BB0"/>
    <w:rsid w:val="007175A2"/>
    <w:rsid w:val="00724787"/>
    <w:rsid w:val="00727808"/>
    <w:rsid w:val="007538AA"/>
    <w:rsid w:val="00764263"/>
    <w:rsid w:val="007848D1"/>
    <w:rsid w:val="00785B7C"/>
    <w:rsid w:val="0079174A"/>
    <w:rsid w:val="007927EC"/>
    <w:rsid w:val="007A093C"/>
    <w:rsid w:val="007A2E13"/>
    <w:rsid w:val="007A3E24"/>
    <w:rsid w:val="007A7AD0"/>
    <w:rsid w:val="007B7968"/>
    <w:rsid w:val="007D0E99"/>
    <w:rsid w:val="007D2F44"/>
    <w:rsid w:val="007D406C"/>
    <w:rsid w:val="007E06B5"/>
    <w:rsid w:val="007E660A"/>
    <w:rsid w:val="007F05DE"/>
    <w:rsid w:val="00803E34"/>
    <w:rsid w:val="00814E15"/>
    <w:rsid w:val="008242AF"/>
    <w:rsid w:val="0082688A"/>
    <w:rsid w:val="00827B0D"/>
    <w:rsid w:val="008301EB"/>
    <w:rsid w:val="00831865"/>
    <w:rsid w:val="00833BDC"/>
    <w:rsid w:val="00835067"/>
    <w:rsid w:val="00844AA8"/>
    <w:rsid w:val="00847102"/>
    <w:rsid w:val="00851545"/>
    <w:rsid w:val="00856668"/>
    <w:rsid w:val="00862428"/>
    <w:rsid w:val="00876C17"/>
    <w:rsid w:val="008B0EEB"/>
    <w:rsid w:val="008C361E"/>
    <w:rsid w:val="008C559A"/>
    <w:rsid w:val="008F61A2"/>
    <w:rsid w:val="008F6F3D"/>
    <w:rsid w:val="008F7D9D"/>
    <w:rsid w:val="0090247A"/>
    <w:rsid w:val="00902A05"/>
    <w:rsid w:val="00931A22"/>
    <w:rsid w:val="00934DA4"/>
    <w:rsid w:val="00965D03"/>
    <w:rsid w:val="0097469C"/>
    <w:rsid w:val="00975C29"/>
    <w:rsid w:val="00976BA9"/>
    <w:rsid w:val="0098014B"/>
    <w:rsid w:val="00986C20"/>
    <w:rsid w:val="009908A1"/>
    <w:rsid w:val="009B3D11"/>
    <w:rsid w:val="009C2BC9"/>
    <w:rsid w:val="009C4A84"/>
    <w:rsid w:val="009E1873"/>
    <w:rsid w:val="009E7815"/>
    <w:rsid w:val="009F2D9B"/>
    <w:rsid w:val="00A021A7"/>
    <w:rsid w:val="00A03468"/>
    <w:rsid w:val="00A07D25"/>
    <w:rsid w:val="00A20A4B"/>
    <w:rsid w:val="00A22233"/>
    <w:rsid w:val="00A224EC"/>
    <w:rsid w:val="00A3203B"/>
    <w:rsid w:val="00A33B13"/>
    <w:rsid w:val="00A66C44"/>
    <w:rsid w:val="00A8032E"/>
    <w:rsid w:val="00A8039A"/>
    <w:rsid w:val="00A81623"/>
    <w:rsid w:val="00A82FB4"/>
    <w:rsid w:val="00A85ED1"/>
    <w:rsid w:val="00A86345"/>
    <w:rsid w:val="00AA20DE"/>
    <w:rsid w:val="00AA6D49"/>
    <w:rsid w:val="00AB0F2F"/>
    <w:rsid w:val="00AD01FD"/>
    <w:rsid w:val="00AD5BB2"/>
    <w:rsid w:val="00AE19AB"/>
    <w:rsid w:val="00AF60EF"/>
    <w:rsid w:val="00B018BF"/>
    <w:rsid w:val="00B0491C"/>
    <w:rsid w:val="00B0593E"/>
    <w:rsid w:val="00B23822"/>
    <w:rsid w:val="00B33273"/>
    <w:rsid w:val="00B36889"/>
    <w:rsid w:val="00B373CA"/>
    <w:rsid w:val="00B455F7"/>
    <w:rsid w:val="00B466BD"/>
    <w:rsid w:val="00B47723"/>
    <w:rsid w:val="00B527A7"/>
    <w:rsid w:val="00B54262"/>
    <w:rsid w:val="00B562C0"/>
    <w:rsid w:val="00B825EB"/>
    <w:rsid w:val="00B8684E"/>
    <w:rsid w:val="00B87F06"/>
    <w:rsid w:val="00B90187"/>
    <w:rsid w:val="00B9333D"/>
    <w:rsid w:val="00B9511E"/>
    <w:rsid w:val="00B95FB5"/>
    <w:rsid w:val="00BA376C"/>
    <w:rsid w:val="00BB0CB4"/>
    <w:rsid w:val="00BB4177"/>
    <w:rsid w:val="00BC3CB1"/>
    <w:rsid w:val="00BD294A"/>
    <w:rsid w:val="00BD30BA"/>
    <w:rsid w:val="00BF2940"/>
    <w:rsid w:val="00C10749"/>
    <w:rsid w:val="00C17139"/>
    <w:rsid w:val="00C206DA"/>
    <w:rsid w:val="00C216C9"/>
    <w:rsid w:val="00C24144"/>
    <w:rsid w:val="00C34046"/>
    <w:rsid w:val="00C43DF5"/>
    <w:rsid w:val="00C50910"/>
    <w:rsid w:val="00C5417A"/>
    <w:rsid w:val="00C54CF3"/>
    <w:rsid w:val="00C54FA8"/>
    <w:rsid w:val="00C643CF"/>
    <w:rsid w:val="00C649FA"/>
    <w:rsid w:val="00C66C5F"/>
    <w:rsid w:val="00C7219B"/>
    <w:rsid w:val="00C73576"/>
    <w:rsid w:val="00C84037"/>
    <w:rsid w:val="00C9344D"/>
    <w:rsid w:val="00CA0BD6"/>
    <w:rsid w:val="00CA138C"/>
    <w:rsid w:val="00CB3A35"/>
    <w:rsid w:val="00CB7314"/>
    <w:rsid w:val="00CD25BC"/>
    <w:rsid w:val="00CE3F19"/>
    <w:rsid w:val="00CE455F"/>
    <w:rsid w:val="00D0469A"/>
    <w:rsid w:val="00D069E9"/>
    <w:rsid w:val="00D254D5"/>
    <w:rsid w:val="00D2597E"/>
    <w:rsid w:val="00D3313D"/>
    <w:rsid w:val="00D33305"/>
    <w:rsid w:val="00D33701"/>
    <w:rsid w:val="00D346CD"/>
    <w:rsid w:val="00D50A2E"/>
    <w:rsid w:val="00D529E7"/>
    <w:rsid w:val="00D75AA0"/>
    <w:rsid w:val="00D763D8"/>
    <w:rsid w:val="00D811DE"/>
    <w:rsid w:val="00DA16C0"/>
    <w:rsid w:val="00DA21B1"/>
    <w:rsid w:val="00DA6D27"/>
    <w:rsid w:val="00DC642B"/>
    <w:rsid w:val="00DD5ABB"/>
    <w:rsid w:val="00DD79FA"/>
    <w:rsid w:val="00DE1611"/>
    <w:rsid w:val="00DE2DED"/>
    <w:rsid w:val="00DE4579"/>
    <w:rsid w:val="00E006F7"/>
    <w:rsid w:val="00E162E4"/>
    <w:rsid w:val="00E219C7"/>
    <w:rsid w:val="00E2523D"/>
    <w:rsid w:val="00E35B99"/>
    <w:rsid w:val="00E42156"/>
    <w:rsid w:val="00E553F5"/>
    <w:rsid w:val="00E61ED1"/>
    <w:rsid w:val="00E65525"/>
    <w:rsid w:val="00E71CD7"/>
    <w:rsid w:val="00E90C88"/>
    <w:rsid w:val="00E96050"/>
    <w:rsid w:val="00EB67EF"/>
    <w:rsid w:val="00ED0350"/>
    <w:rsid w:val="00ED0879"/>
    <w:rsid w:val="00ED16E3"/>
    <w:rsid w:val="00ED602B"/>
    <w:rsid w:val="00EE0177"/>
    <w:rsid w:val="00F14A8B"/>
    <w:rsid w:val="00F2435A"/>
    <w:rsid w:val="00F3334B"/>
    <w:rsid w:val="00F356A8"/>
    <w:rsid w:val="00F436F3"/>
    <w:rsid w:val="00F455B4"/>
    <w:rsid w:val="00F62F61"/>
    <w:rsid w:val="00F752DB"/>
    <w:rsid w:val="00F77928"/>
    <w:rsid w:val="00F81DE9"/>
    <w:rsid w:val="00F82585"/>
    <w:rsid w:val="00F905BC"/>
    <w:rsid w:val="00F96EBB"/>
    <w:rsid w:val="00FA7541"/>
    <w:rsid w:val="00FB5E0F"/>
    <w:rsid w:val="00FC2AB2"/>
    <w:rsid w:val="00FC3EF1"/>
    <w:rsid w:val="00FC46F9"/>
    <w:rsid w:val="00FD0CF1"/>
    <w:rsid w:val="00FD1A44"/>
    <w:rsid w:val="00FF453A"/>
    <w:rsid w:val="00FF4B6C"/>
    <w:rsid w:val="00FF5E2C"/>
    <w:rsid w:val="32006D69"/>
    <w:rsid w:val="3B6D591C"/>
    <w:rsid w:val="75B74EB8"/>
    <w:rsid w:val="7AC8C7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2D5C9"/>
  <w15:chartTrackingRefBased/>
  <w15:docId w15:val="{71745A6A-4922-4586-A132-7AE5C718F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BE1"/>
    <w:pPr>
      <w:spacing w:line="260" w:lineRule="exact"/>
    </w:pPr>
    <w:rPr>
      <w:rFonts w:ascii="Arial" w:hAnsi="Arial"/>
      <w:sz w:val="20"/>
    </w:rPr>
  </w:style>
  <w:style w:type="paragraph" w:styleId="Heading1">
    <w:name w:val="heading 1"/>
    <w:basedOn w:val="Normal"/>
    <w:next w:val="Normal"/>
    <w:link w:val="Heading1Char"/>
    <w:uiPriority w:val="9"/>
    <w:qFormat/>
    <w:rsid w:val="000C2896"/>
    <w:pPr>
      <w:keepNext/>
      <w:keepLines/>
      <w:spacing w:before="360" w:after="120" w:line="240" w:lineRule="auto"/>
      <w:outlineLvl w:val="0"/>
    </w:pPr>
    <w:rPr>
      <w:rFonts w:eastAsiaTheme="majorEastAsia" w:cstheme="majorBidi"/>
      <w:b/>
      <w:color w:val="A91D37"/>
      <w:sz w:val="32"/>
      <w:szCs w:val="32"/>
    </w:rPr>
  </w:style>
  <w:style w:type="paragraph" w:styleId="Heading2">
    <w:name w:val="heading 2"/>
    <w:basedOn w:val="Normal"/>
    <w:next w:val="Normal"/>
    <w:link w:val="Heading2Char"/>
    <w:uiPriority w:val="9"/>
    <w:unhideWhenUsed/>
    <w:qFormat/>
    <w:rsid w:val="00B373CA"/>
    <w:pPr>
      <w:keepNext/>
      <w:keepLines/>
      <w:spacing w:before="120" w:after="120" w:line="240" w:lineRule="auto"/>
      <w:outlineLvl w:val="1"/>
    </w:pPr>
    <w:rPr>
      <w:rFonts w:eastAsiaTheme="majorEastAsia" w:cstheme="majorBidi"/>
      <w:color w:val="60605D"/>
      <w:sz w:val="32"/>
      <w:szCs w:val="26"/>
    </w:rPr>
  </w:style>
  <w:style w:type="paragraph" w:styleId="Heading3">
    <w:name w:val="heading 3"/>
    <w:basedOn w:val="Normal"/>
    <w:next w:val="Normal"/>
    <w:link w:val="Heading3Char"/>
    <w:uiPriority w:val="9"/>
    <w:unhideWhenUsed/>
    <w:qFormat/>
    <w:rsid w:val="00DE1611"/>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0C2896"/>
    <w:pPr>
      <w:keepNext/>
      <w:keepLines/>
      <w:spacing w:before="120" w:after="120" w:line="240" w:lineRule="auto"/>
      <w:outlineLvl w:val="3"/>
    </w:pPr>
    <w:rPr>
      <w:rFonts w:eastAsiaTheme="majorEastAsia" w:cstheme="majorBidi"/>
      <w:iCs/>
      <w:color w:val="A91D37"/>
      <w:sz w:val="24"/>
    </w:rPr>
  </w:style>
  <w:style w:type="paragraph" w:styleId="Heading5">
    <w:name w:val="heading 5"/>
    <w:basedOn w:val="Normal"/>
    <w:next w:val="Normal"/>
    <w:link w:val="Heading5Char"/>
    <w:uiPriority w:val="9"/>
    <w:unhideWhenUsed/>
    <w:qFormat/>
    <w:rsid w:val="00B373CA"/>
    <w:pPr>
      <w:keepNext/>
      <w:keepLines/>
      <w:spacing w:before="120" w:after="120" w:line="240" w:lineRule="auto"/>
      <w:outlineLvl w:val="4"/>
    </w:pPr>
    <w:rPr>
      <w:rFonts w:eastAsiaTheme="majorEastAsia" w:cstheme="majorBidi"/>
      <w:b/>
      <w:color w:val="3736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0F4BE1"/>
    <w:pPr>
      <w:spacing w:after="60"/>
      <w:ind w:left="720"/>
    </w:pPr>
  </w:style>
  <w:style w:type="character" w:customStyle="1" w:styleId="Heading1Char">
    <w:name w:val="Heading 1 Char"/>
    <w:basedOn w:val="DefaultParagraphFont"/>
    <w:link w:val="Heading1"/>
    <w:uiPriority w:val="9"/>
    <w:rsid w:val="000C2896"/>
    <w:rPr>
      <w:rFonts w:ascii="Arial" w:eastAsiaTheme="majorEastAsia" w:hAnsi="Arial" w:cstheme="majorBidi"/>
      <w:b/>
      <w:color w:val="A91D37"/>
      <w:sz w:val="32"/>
      <w:szCs w:val="32"/>
    </w:rPr>
  </w:style>
  <w:style w:type="character" w:customStyle="1" w:styleId="Heading2Char">
    <w:name w:val="Heading 2 Char"/>
    <w:basedOn w:val="DefaultParagraphFont"/>
    <w:link w:val="Heading2"/>
    <w:uiPriority w:val="9"/>
    <w:rsid w:val="00B373CA"/>
    <w:rPr>
      <w:rFonts w:ascii="Arial" w:eastAsiaTheme="majorEastAsia" w:hAnsi="Arial" w:cstheme="majorBidi"/>
      <w:color w:val="60605D"/>
      <w:sz w:val="32"/>
      <w:szCs w:val="26"/>
    </w:rPr>
  </w:style>
  <w:style w:type="character" w:customStyle="1" w:styleId="Heading3Char">
    <w:name w:val="Heading 3 Char"/>
    <w:basedOn w:val="DefaultParagraphFont"/>
    <w:link w:val="Heading3"/>
    <w:uiPriority w:val="9"/>
    <w:rsid w:val="00DE1611"/>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0C2896"/>
    <w:rPr>
      <w:rFonts w:ascii="Arial" w:eastAsiaTheme="majorEastAsia" w:hAnsi="Arial" w:cstheme="majorBidi"/>
      <w:iCs/>
      <w:color w:val="A91D37"/>
      <w:sz w:val="24"/>
    </w:rPr>
  </w:style>
  <w:style w:type="character" w:customStyle="1" w:styleId="Heading5Char">
    <w:name w:val="Heading 5 Char"/>
    <w:basedOn w:val="DefaultParagraphFont"/>
    <w:link w:val="Heading5"/>
    <w:uiPriority w:val="9"/>
    <w:rsid w:val="00B373CA"/>
    <w:rPr>
      <w:rFonts w:ascii="Arial" w:eastAsiaTheme="majorEastAsia" w:hAnsi="Arial" w:cstheme="majorBidi"/>
      <w:b/>
      <w:color w:val="373636"/>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1E7E00"/>
    <w:pPr>
      <w:spacing w:after="0" w:line="240" w:lineRule="auto"/>
      <w:contextualSpacing/>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7E00"/>
    <w:rPr>
      <w:rFonts w:ascii="Arial" w:eastAsiaTheme="majorEastAsia" w:hAnsi="Arial" w:cstheme="majorBidi"/>
      <w:b/>
      <w:color w:val="FFFFFF" w:themeColor="background1"/>
      <w:spacing w:val="-10"/>
      <w:kern w:val="28"/>
      <w:sz w:val="72"/>
      <w:szCs w:val="56"/>
    </w:rPr>
  </w:style>
  <w:style w:type="paragraph" w:styleId="Subtitle">
    <w:name w:val="Subtitle"/>
    <w:basedOn w:val="Normal"/>
    <w:next w:val="Normal"/>
    <w:link w:val="SubtitleChar"/>
    <w:uiPriority w:val="11"/>
    <w:qFormat/>
    <w:rsid w:val="001E7E00"/>
    <w:pPr>
      <w:numPr>
        <w:ilvl w:val="1"/>
      </w:numPr>
      <w:spacing w:before="240" w:after="240" w:line="380" w:lineRule="exact"/>
    </w:pPr>
    <w:rPr>
      <w:rFonts w:eastAsiaTheme="minorEastAsia"/>
      <w:color w:val="FFFFFF" w:themeColor="background1"/>
      <w:spacing w:val="15"/>
      <w:sz w:val="36"/>
    </w:rPr>
  </w:style>
  <w:style w:type="character" w:customStyle="1" w:styleId="SubtitleChar">
    <w:name w:val="Subtitle Char"/>
    <w:basedOn w:val="DefaultParagraphFont"/>
    <w:link w:val="Subtitle"/>
    <w:uiPriority w:val="11"/>
    <w:rsid w:val="001E7E00"/>
    <w:rPr>
      <w:rFonts w:ascii="Arial" w:eastAsiaTheme="minorEastAsia" w:hAnsi="Arial"/>
      <w:color w:val="FFFFFF" w:themeColor="background1"/>
      <w:spacing w:val="15"/>
      <w:sz w:val="36"/>
    </w:rPr>
  </w:style>
  <w:style w:type="paragraph" w:styleId="IntenseQuote">
    <w:name w:val="Intense Quote"/>
    <w:basedOn w:val="Normal"/>
    <w:next w:val="Normal"/>
    <w:link w:val="IntenseQuoteChar"/>
    <w:uiPriority w:val="30"/>
    <w:qFormat/>
    <w:rsid w:val="00211A7F"/>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211A7F"/>
    <w:rPr>
      <w:rFonts w:ascii="Arial" w:hAnsi="Arial"/>
      <w:iCs/>
      <w:color w:val="A70240"/>
      <w:sz w:val="20"/>
    </w:rPr>
  </w:style>
  <w:style w:type="character" w:styleId="Hyperlink">
    <w:name w:val="Hyperlink"/>
    <w:basedOn w:val="DefaultParagraphFont"/>
    <w:uiPriority w:val="99"/>
    <w:unhideWhenUsed/>
    <w:rsid w:val="002A5361"/>
    <w:rPr>
      <w:color w:val="007681" w:themeColor="hyperlink"/>
      <w:u w:val="single"/>
    </w:rPr>
  </w:style>
  <w:style w:type="character" w:customStyle="1" w:styleId="UnresolvedMention1">
    <w:name w:val="Unresolved Mention1"/>
    <w:basedOn w:val="DefaultParagraphFont"/>
    <w:uiPriority w:val="99"/>
    <w:semiHidden/>
    <w:unhideWhenUsed/>
    <w:rsid w:val="002A5361"/>
    <w:rPr>
      <w:color w:val="605E5C"/>
      <w:shd w:val="clear" w:color="auto" w:fill="E1DFDD"/>
    </w:rPr>
  </w:style>
  <w:style w:type="paragraph" w:styleId="TOC1">
    <w:name w:val="toc 1"/>
    <w:basedOn w:val="Heading1"/>
    <w:next w:val="Normal"/>
    <w:uiPriority w:val="39"/>
    <w:rsid w:val="00307382"/>
    <w:pPr>
      <w:keepNext w:val="0"/>
      <w:keepLines w:val="0"/>
      <w:tabs>
        <w:tab w:val="right" w:leader="dot" w:pos="9639"/>
      </w:tabs>
      <w:autoSpaceDE w:val="0"/>
      <w:autoSpaceDN w:val="0"/>
      <w:adjustRightInd w:val="0"/>
      <w:spacing w:before="240" w:after="0" w:line="264" w:lineRule="auto"/>
    </w:pPr>
    <w:rPr>
      <w:rFonts w:eastAsia="Times New Roman" w:cs="Arial"/>
      <w:bCs/>
      <w:color w:val="A70236"/>
      <w:sz w:val="22"/>
      <w:szCs w:val="20"/>
      <w:lang w:eastAsia="en-AU"/>
    </w:rPr>
  </w:style>
  <w:style w:type="table" w:styleId="TableGridLight">
    <w:name w:val="Grid Table Light"/>
    <w:basedOn w:val="TableNormal"/>
    <w:uiPriority w:val="40"/>
    <w:rsid w:val="003073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Text">
    <w:name w:val="annotation text"/>
    <w:basedOn w:val="Normal"/>
    <w:link w:val="CommentTextChar"/>
    <w:uiPriority w:val="99"/>
    <w:unhideWhenUsed/>
    <w:rsid w:val="00307382"/>
    <w:pPr>
      <w:spacing w:line="240" w:lineRule="auto"/>
    </w:pPr>
    <w:rPr>
      <w:szCs w:val="20"/>
    </w:rPr>
  </w:style>
  <w:style w:type="character" w:customStyle="1" w:styleId="CommentTextChar">
    <w:name w:val="Comment Text Char"/>
    <w:basedOn w:val="DefaultParagraphFont"/>
    <w:link w:val="CommentText"/>
    <w:uiPriority w:val="99"/>
    <w:rsid w:val="00307382"/>
    <w:rPr>
      <w:rFonts w:ascii="Arial" w:hAnsi="Arial"/>
      <w:sz w:val="20"/>
      <w:szCs w:val="20"/>
    </w:rPr>
  </w:style>
  <w:style w:type="character" w:styleId="CommentReference">
    <w:name w:val="annotation reference"/>
    <w:basedOn w:val="DefaultParagraphFont"/>
    <w:rsid w:val="00307382"/>
    <w:rPr>
      <w:sz w:val="16"/>
      <w:szCs w:val="16"/>
    </w:rPr>
  </w:style>
  <w:style w:type="paragraph" w:styleId="FootnoteText">
    <w:name w:val="footnote text"/>
    <w:basedOn w:val="Normal"/>
    <w:link w:val="FootnoteTextChar"/>
    <w:uiPriority w:val="99"/>
    <w:semiHidden/>
    <w:unhideWhenUsed/>
    <w:rsid w:val="00307382"/>
    <w:pPr>
      <w:spacing w:after="0" w:line="240" w:lineRule="auto"/>
    </w:pPr>
    <w:rPr>
      <w:szCs w:val="20"/>
    </w:rPr>
  </w:style>
  <w:style w:type="character" w:customStyle="1" w:styleId="FootnoteTextChar">
    <w:name w:val="Footnote Text Char"/>
    <w:basedOn w:val="DefaultParagraphFont"/>
    <w:link w:val="FootnoteText"/>
    <w:uiPriority w:val="99"/>
    <w:semiHidden/>
    <w:rsid w:val="00307382"/>
    <w:rPr>
      <w:rFonts w:ascii="Arial" w:hAnsi="Arial"/>
      <w:sz w:val="20"/>
      <w:szCs w:val="20"/>
    </w:rPr>
  </w:style>
  <w:style w:type="character" w:styleId="FootnoteReference">
    <w:name w:val="footnote reference"/>
    <w:rsid w:val="00307382"/>
    <w:rPr>
      <w:vertAlign w:val="superscript"/>
    </w:rPr>
  </w:style>
  <w:style w:type="character" w:styleId="FollowedHyperlink">
    <w:name w:val="FollowedHyperlink"/>
    <w:basedOn w:val="DefaultParagraphFont"/>
    <w:uiPriority w:val="99"/>
    <w:semiHidden/>
    <w:unhideWhenUsed/>
    <w:rsid w:val="004D41CD"/>
    <w:rPr>
      <w:color w:val="44546A" w:themeColor="followedHyperlink"/>
      <w:u w:val="single"/>
    </w:rPr>
  </w:style>
  <w:style w:type="paragraph" w:styleId="TOCHeading">
    <w:name w:val="TOC Heading"/>
    <w:basedOn w:val="Heading1"/>
    <w:next w:val="Normal"/>
    <w:uiPriority w:val="39"/>
    <w:unhideWhenUsed/>
    <w:qFormat/>
    <w:rsid w:val="002204D1"/>
    <w:pPr>
      <w:spacing w:before="240" w:after="0" w:line="259" w:lineRule="auto"/>
      <w:outlineLvl w:val="9"/>
    </w:pPr>
    <w:rPr>
      <w:rFonts w:asciiTheme="majorHAnsi" w:hAnsiTheme="majorHAnsi"/>
      <w:b w:val="0"/>
      <w:color w:val="7C012F" w:themeColor="accent1" w:themeShade="BF"/>
      <w:lang w:val="en-US"/>
    </w:rPr>
  </w:style>
  <w:style w:type="paragraph" w:styleId="TOC2">
    <w:name w:val="toc 2"/>
    <w:basedOn w:val="Normal"/>
    <w:next w:val="Normal"/>
    <w:autoRedefine/>
    <w:uiPriority w:val="39"/>
    <w:unhideWhenUsed/>
    <w:rsid w:val="00332D0E"/>
    <w:pPr>
      <w:tabs>
        <w:tab w:val="right" w:leader="dot" w:pos="9346"/>
      </w:tabs>
      <w:spacing w:after="100"/>
      <w:ind w:left="200"/>
    </w:pPr>
  </w:style>
  <w:style w:type="paragraph" w:styleId="TOC3">
    <w:name w:val="toc 3"/>
    <w:basedOn w:val="Normal"/>
    <w:next w:val="Normal"/>
    <w:autoRedefine/>
    <w:uiPriority w:val="39"/>
    <w:unhideWhenUsed/>
    <w:rsid w:val="002204D1"/>
    <w:pPr>
      <w:spacing w:after="100"/>
      <w:ind w:left="400"/>
    </w:pPr>
  </w:style>
  <w:style w:type="paragraph" w:styleId="CommentSubject">
    <w:name w:val="annotation subject"/>
    <w:basedOn w:val="CommentText"/>
    <w:next w:val="CommentText"/>
    <w:link w:val="CommentSubjectChar"/>
    <w:uiPriority w:val="99"/>
    <w:semiHidden/>
    <w:unhideWhenUsed/>
    <w:rsid w:val="00B0491C"/>
    <w:rPr>
      <w:b/>
      <w:bCs/>
    </w:rPr>
  </w:style>
  <w:style w:type="character" w:customStyle="1" w:styleId="CommentSubjectChar">
    <w:name w:val="Comment Subject Char"/>
    <w:basedOn w:val="CommentTextChar"/>
    <w:link w:val="CommentSubject"/>
    <w:uiPriority w:val="99"/>
    <w:semiHidden/>
    <w:rsid w:val="00B0491C"/>
    <w:rPr>
      <w:rFonts w:ascii="Arial" w:hAnsi="Arial"/>
      <w:b/>
      <w:bCs/>
      <w:sz w:val="20"/>
      <w:szCs w:val="20"/>
    </w:rPr>
  </w:style>
  <w:style w:type="paragraph" w:styleId="Revision">
    <w:name w:val="Revision"/>
    <w:hidden/>
    <w:uiPriority w:val="99"/>
    <w:semiHidden/>
    <w:rsid w:val="00F82585"/>
    <w:pPr>
      <w:spacing w:after="0" w:line="240" w:lineRule="auto"/>
    </w:pPr>
    <w:rPr>
      <w:rFonts w:ascii="Arial" w:hAnsi="Arial"/>
      <w:sz w:val="20"/>
    </w:rPr>
  </w:style>
  <w:style w:type="character" w:styleId="UnresolvedMention">
    <w:name w:val="Unresolved Mention"/>
    <w:basedOn w:val="DefaultParagraphFont"/>
    <w:uiPriority w:val="99"/>
    <w:rsid w:val="002E4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forgov.qld.gov.au/search-procurement-resources/guidelines-ethical-supplier-mandate" TargetMode="External"/><Relationship Id="rId26" Type="http://schemas.openxmlformats.org/officeDocument/2006/relationships/hyperlink" Target="https://www.forgov.qld.gov.au/search-procurement-resources/probity-and-integrity-procurement" TargetMode="External"/><Relationship Id="rId39" Type="http://schemas.openxmlformats.org/officeDocument/2006/relationships/header" Target="header1.xml"/><Relationship Id="rId21" Type="http://schemas.openxmlformats.org/officeDocument/2006/relationships/hyperlink" Target="https://www.forgov.qld.gov.au/property-land-and-infrastructure/manage-government-buildings-and-assets/building-frameworks/building-policy-framework" TargetMode="External"/><Relationship Id="rId34" Type="http://schemas.openxmlformats.org/officeDocument/2006/relationships/hyperlink" Target="mailto:betterprocurement@epw.qld.gov.au"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orgov.qld.gov.au/search-procurement-resources/local-benefits-test" TargetMode="External"/><Relationship Id="rId20" Type="http://schemas.openxmlformats.org/officeDocument/2006/relationships/hyperlink" Target="https://www.worksafe.qld.gov.au/laws-and-compliance/prosecutions" TargetMode="External"/><Relationship Id="rId29" Type="http://schemas.openxmlformats.org/officeDocument/2006/relationships/hyperlink" Target="mailto:QPPCompliance@epw.qld.gov.au"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forgov.qld.gov.au/search-procurement-resources/guidelines-ethical-supplier-mandate" TargetMode="External"/><Relationship Id="rId32" Type="http://schemas.openxmlformats.org/officeDocument/2006/relationships/hyperlink" Target="mailto:bcmsecretariat@epw.qld.gov.au" TargetMode="External"/><Relationship Id="rId37" Type="http://schemas.openxmlformats.org/officeDocument/2006/relationships/hyperlink" Target="https://www.legislation.qld.gov.au/view/html/inforce/current/sl-2011-0240" TargetMode="External"/><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hyperlink" Target="https://www.forgov.qld.gov.au/search-procurement-resources/ethical-supplier-mandate" TargetMode="External"/><Relationship Id="rId28" Type="http://schemas.openxmlformats.org/officeDocument/2006/relationships/hyperlink" Target="http://www.qld.gov.au/ethicalsupplier" TargetMode="External"/><Relationship Id="rId36" Type="http://schemas.openxmlformats.org/officeDocument/2006/relationships/hyperlink" Target="https://www.forgov.qld.gov.au/procurement-governance-framework" TargetMode="External"/><Relationship Id="rId10" Type="http://schemas.openxmlformats.org/officeDocument/2006/relationships/endnotes" Target="endnotes.xml"/><Relationship Id="rId19" Type="http://schemas.openxmlformats.org/officeDocument/2006/relationships/hyperlink" Target="http://www.fairwork.gov.au/about-us/our-role/enforcing-the-legislation/litigation" TargetMode="External"/><Relationship Id="rId31" Type="http://schemas.openxmlformats.org/officeDocument/2006/relationships/hyperlink" Target="mailto:ethicalsupply@epw.qld.gov.a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deed.en" TargetMode="External"/><Relationship Id="rId22" Type="http://schemas.openxmlformats.org/officeDocument/2006/relationships/hyperlink" Target="https://www.housing.qld.gov.au/initiatives/new-building-policy-framework" TargetMode="External"/><Relationship Id="rId27" Type="http://schemas.openxmlformats.org/officeDocument/2006/relationships/hyperlink" Target="http://www.epw.qld.gov.au/about/strategy/buy-qld/compliance-complaints" TargetMode="External"/><Relationship Id="rId30" Type="http://schemas.openxmlformats.org/officeDocument/2006/relationships/hyperlink" Target="mailto:BuyQLDAudit@epw.qld.gov.au" TargetMode="External"/><Relationship Id="rId35" Type="http://schemas.openxmlformats.org/officeDocument/2006/relationships/hyperlink" Target="https://www.forgov.qld.gov.au/procurement-governance-framework"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forgov.qld.gov.au/search-procurement-resources/evaluating-offers" TargetMode="External"/><Relationship Id="rId25" Type="http://schemas.openxmlformats.org/officeDocument/2006/relationships/hyperlink" Target="https://www.forgov.qld.gov.au/search-procurement-resources/guidelines-ethical-supplier-threshold" TargetMode="External"/><Relationship Id="rId33" Type="http://schemas.openxmlformats.org/officeDocument/2006/relationships/hyperlink" Target="mailto:infrastructuretransactions@tmr.qld.gov.au" TargetMode="External"/><Relationship Id="rId38" Type="http://schemas.openxmlformats.org/officeDocument/2006/relationships/hyperlink" Target="https://www.statedevelopment.qld.gov.au/industry/industry-support/qld-charter-for-local-cont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D0BA81E14B948E4869F40BDA51A39BE"/>
        <w:category>
          <w:name w:val="General"/>
          <w:gallery w:val="placeholder"/>
        </w:category>
        <w:types>
          <w:type w:val="bbPlcHdr"/>
        </w:types>
        <w:behaviors>
          <w:behavior w:val="content"/>
        </w:behaviors>
        <w:guid w:val="{4EB60580-1C12-42AD-A5C0-63A5B13F83F2}"/>
      </w:docPartPr>
      <w:docPartBody>
        <w:p w:rsidR="00EE0177" w:rsidRDefault="004E4CA6" w:rsidP="00D0469A">
          <w:pPr>
            <w:pStyle w:val="4D0BA81E14B948E4869F40BDA51A39BE"/>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02468B"/>
    <w:rsid w:val="00044FFF"/>
    <w:rsid w:val="000541A0"/>
    <w:rsid w:val="000924DE"/>
    <w:rsid w:val="00122C62"/>
    <w:rsid w:val="001E3357"/>
    <w:rsid w:val="001E664C"/>
    <w:rsid w:val="00200397"/>
    <w:rsid w:val="0020245B"/>
    <w:rsid w:val="00287E24"/>
    <w:rsid w:val="002D0989"/>
    <w:rsid w:val="002F04FD"/>
    <w:rsid w:val="00341825"/>
    <w:rsid w:val="0037754B"/>
    <w:rsid w:val="003853D0"/>
    <w:rsid w:val="00414220"/>
    <w:rsid w:val="00425581"/>
    <w:rsid w:val="004E4CA6"/>
    <w:rsid w:val="004F3A0B"/>
    <w:rsid w:val="005E1C35"/>
    <w:rsid w:val="00676845"/>
    <w:rsid w:val="006A158C"/>
    <w:rsid w:val="006D58D1"/>
    <w:rsid w:val="007E1268"/>
    <w:rsid w:val="00800599"/>
    <w:rsid w:val="00827C27"/>
    <w:rsid w:val="00850B3B"/>
    <w:rsid w:val="00867A8E"/>
    <w:rsid w:val="008F5145"/>
    <w:rsid w:val="009D210A"/>
    <w:rsid w:val="009E0CC1"/>
    <w:rsid w:val="00A22233"/>
    <w:rsid w:val="00A9401E"/>
    <w:rsid w:val="00AD2A17"/>
    <w:rsid w:val="00B864CF"/>
    <w:rsid w:val="00B87853"/>
    <w:rsid w:val="00C90D56"/>
    <w:rsid w:val="00C969B5"/>
    <w:rsid w:val="00D0469A"/>
    <w:rsid w:val="00D507AB"/>
    <w:rsid w:val="00D75AA0"/>
    <w:rsid w:val="00DE4579"/>
    <w:rsid w:val="00E219C7"/>
    <w:rsid w:val="00E90904"/>
    <w:rsid w:val="00EE0177"/>
    <w:rsid w:val="00F0531D"/>
    <w:rsid w:val="00F14A8B"/>
    <w:rsid w:val="00FA75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0BA81E14B948E4869F40BDA51A39BE">
    <w:name w:val="4D0BA81E14B948E4869F40BDA51A39BE"/>
    <w:rsid w:val="00D04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B2A59F4C49FD4687D4B785FF98269E" ma:contentTypeVersion="4" ma:contentTypeDescription="Create a new document." ma:contentTypeScope="" ma:versionID="ba146b2f4a789551f2e3e8b7aa01928d">
  <xsd:schema xmlns:xsd="http://www.w3.org/2001/XMLSchema" xmlns:xs="http://www.w3.org/2001/XMLSchema" xmlns:p="http://schemas.microsoft.com/office/2006/metadata/properties" xmlns:ns2="32d6c6f8-801e-44b4-8720-d90a74778644" targetNamespace="http://schemas.microsoft.com/office/2006/metadata/properties" ma:root="true" ma:fieldsID="27804f609856d5706e7e7de8b6bbceb4" ns2:_="">
    <xsd:import namespace="32d6c6f8-801e-44b4-8720-d90a747786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6c6f8-801e-44b4-8720-d90a74778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C3CA8-0A9E-4E7E-A853-664FA40B6F6E}">
  <ds:schemaRefs>
    <ds:schemaRef ds:uri="http://schemas.openxmlformats.org/officeDocument/2006/bibliography"/>
  </ds:schemaRefs>
</ds:datastoreItem>
</file>

<file path=customXml/itemProps2.xml><?xml version="1.0" encoding="utf-8"?>
<ds:datastoreItem xmlns:ds="http://schemas.openxmlformats.org/officeDocument/2006/customXml" ds:itemID="{759BE38B-354B-4F6A-ABA4-7F193E38D039}">
  <ds:schemaRefs>
    <ds:schemaRef ds:uri="http://schemas.microsoft.com/sharepoint/v3/contenttype/forms"/>
  </ds:schemaRefs>
</ds:datastoreItem>
</file>

<file path=customXml/itemProps3.xml><?xml version="1.0" encoding="utf-8"?>
<ds:datastoreItem xmlns:ds="http://schemas.openxmlformats.org/officeDocument/2006/customXml" ds:itemID="{3F436119-4BBD-41EB-B4C9-9DE6F8D322B5}">
  <ds:schemaRefs>
    <ds:schemaRef ds:uri="32d6c6f8-801e-44b4-8720-d90a74778644"/>
    <ds:schemaRef ds:uri="http://purl.org/dc/terms/"/>
    <ds:schemaRef ds:uri="http://schemas.microsoft.com/office/2006/documentManagement/types"/>
    <ds:schemaRef ds:uri="http://purl.org/dc/elements/1.1/"/>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9AEF7D8-DBA6-4393-89C6-C77654E00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6c6f8-801e-44b4-8720-d90a74778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11266</Words>
  <Characters>64217</Characters>
  <Application>Microsoft Office Word</Application>
  <DocSecurity>0</DocSecurity>
  <Lines>535</Lines>
  <Paragraphs>150</Paragraphs>
  <ScaleCrop>false</ScaleCrop>
  <Company>Department of Housing and Public Works</Company>
  <LinksUpToDate>false</LinksUpToDate>
  <CharactersWithSpaces>75333</CharactersWithSpaces>
  <SharedDoc>false</SharedDoc>
  <HLinks>
    <vt:vector size="444" baseType="variant">
      <vt:variant>
        <vt:i4>7667744</vt:i4>
      </vt:variant>
      <vt:variant>
        <vt:i4>378</vt:i4>
      </vt:variant>
      <vt:variant>
        <vt:i4>0</vt:i4>
      </vt:variant>
      <vt:variant>
        <vt:i4>5</vt:i4>
      </vt:variant>
      <vt:variant>
        <vt:lpwstr>https://www.statedevelopment.qld.gov.au/industry/industry-support/qld-charter-for-local-content</vt:lpwstr>
      </vt:variant>
      <vt:variant>
        <vt:lpwstr/>
      </vt:variant>
      <vt:variant>
        <vt:i4>786523</vt:i4>
      </vt:variant>
      <vt:variant>
        <vt:i4>375</vt:i4>
      </vt:variant>
      <vt:variant>
        <vt:i4>0</vt:i4>
      </vt:variant>
      <vt:variant>
        <vt:i4>5</vt:i4>
      </vt:variant>
      <vt:variant>
        <vt:lpwstr>https://www.legislation.qld.gov.au/view/html/inforce/current/sl-2011-0240</vt:lpwstr>
      </vt:variant>
      <vt:variant>
        <vt:lpwstr/>
      </vt:variant>
      <vt:variant>
        <vt:i4>3670059</vt:i4>
      </vt:variant>
      <vt:variant>
        <vt:i4>372</vt:i4>
      </vt:variant>
      <vt:variant>
        <vt:i4>0</vt:i4>
      </vt:variant>
      <vt:variant>
        <vt:i4>5</vt:i4>
      </vt:variant>
      <vt:variant>
        <vt:lpwstr>https://www.forgov.qld.gov.au/procurement-governance-framework</vt:lpwstr>
      </vt:variant>
      <vt:variant>
        <vt:lpwstr/>
      </vt:variant>
      <vt:variant>
        <vt:i4>3670059</vt:i4>
      </vt:variant>
      <vt:variant>
        <vt:i4>369</vt:i4>
      </vt:variant>
      <vt:variant>
        <vt:i4>0</vt:i4>
      </vt:variant>
      <vt:variant>
        <vt:i4>5</vt:i4>
      </vt:variant>
      <vt:variant>
        <vt:lpwstr>https://www.forgov.qld.gov.au/procurement-governance-framework</vt:lpwstr>
      </vt:variant>
      <vt:variant>
        <vt:lpwstr/>
      </vt:variant>
      <vt:variant>
        <vt:i4>7864404</vt:i4>
      </vt:variant>
      <vt:variant>
        <vt:i4>366</vt:i4>
      </vt:variant>
      <vt:variant>
        <vt:i4>0</vt:i4>
      </vt:variant>
      <vt:variant>
        <vt:i4>5</vt:i4>
      </vt:variant>
      <vt:variant>
        <vt:lpwstr>mailto:betterprocurement@epw.qld.gov.au</vt:lpwstr>
      </vt:variant>
      <vt:variant>
        <vt:lpwstr/>
      </vt:variant>
      <vt:variant>
        <vt:i4>6357078</vt:i4>
      </vt:variant>
      <vt:variant>
        <vt:i4>363</vt:i4>
      </vt:variant>
      <vt:variant>
        <vt:i4>0</vt:i4>
      </vt:variant>
      <vt:variant>
        <vt:i4>5</vt:i4>
      </vt:variant>
      <vt:variant>
        <vt:lpwstr>mailto:infrastructureproc@tmr.qld.gov.au</vt:lpwstr>
      </vt:variant>
      <vt:variant>
        <vt:lpwstr/>
      </vt:variant>
      <vt:variant>
        <vt:i4>7667799</vt:i4>
      </vt:variant>
      <vt:variant>
        <vt:i4>360</vt:i4>
      </vt:variant>
      <vt:variant>
        <vt:i4>0</vt:i4>
      </vt:variant>
      <vt:variant>
        <vt:i4>5</vt:i4>
      </vt:variant>
      <vt:variant>
        <vt:lpwstr>mailto:bcmsecretariat@epw.qld.gov.au</vt:lpwstr>
      </vt:variant>
      <vt:variant>
        <vt:lpwstr/>
      </vt:variant>
      <vt:variant>
        <vt:i4>7012420</vt:i4>
      </vt:variant>
      <vt:variant>
        <vt:i4>357</vt:i4>
      </vt:variant>
      <vt:variant>
        <vt:i4>0</vt:i4>
      </vt:variant>
      <vt:variant>
        <vt:i4>5</vt:i4>
      </vt:variant>
      <vt:variant>
        <vt:lpwstr>mailto:ethicalsupply@epw.qld.gov.au</vt:lpwstr>
      </vt:variant>
      <vt:variant>
        <vt:lpwstr/>
      </vt:variant>
      <vt:variant>
        <vt:i4>1245227</vt:i4>
      </vt:variant>
      <vt:variant>
        <vt:i4>351</vt:i4>
      </vt:variant>
      <vt:variant>
        <vt:i4>0</vt:i4>
      </vt:variant>
      <vt:variant>
        <vt:i4>5</vt:i4>
      </vt:variant>
      <vt:variant>
        <vt:lpwstr>mailto:BuyQLDAudit@epw.qld.gov.au</vt:lpwstr>
      </vt:variant>
      <vt:variant>
        <vt:lpwstr/>
      </vt:variant>
      <vt:variant>
        <vt:i4>6881351</vt:i4>
      </vt:variant>
      <vt:variant>
        <vt:i4>348</vt:i4>
      </vt:variant>
      <vt:variant>
        <vt:i4>0</vt:i4>
      </vt:variant>
      <vt:variant>
        <vt:i4>5</vt:i4>
      </vt:variant>
      <vt:variant>
        <vt:lpwstr>mailto:QPPCompliance@epw.qld.gov.au</vt:lpwstr>
      </vt:variant>
      <vt:variant>
        <vt:lpwstr/>
      </vt:variant>
      <vt:variant>
        <vt:i4>1507400</vt:i4>
      </vt:variant>
      <vt:variant>
        <vt:i4>345</vt:i4>
      </vt:variant>
      <vt:variant>
        <vt:i4>0</vt:i4>
      </vt:variant>
      <vt:variant>
        <vt:i4>5</vt:i4>
      </vt:variant>
      <vt:variant>
        <vt:lpwstr>http://www.qld.gov.au/ethicalsupplier</vt:lpwstr>
      </vt:variant>
      <vt:variant>
        <vt:lpwstr/>
      </vt:variant>
      <vt:variant>
        <vt:i4>6422566</vt:i4>
      </vt:variant>
      <vt:variant>
        <vt:i4>342</vt:i4>
      </vt:variant>
      <vt:variant>
        <vt:i4>0</vt:i4>
      </vt:variant>
      <vt:variant>
        <vt:i4>5</vt:i4>
      </vt:variant>
      <vt:variant>
        <vt:lpwstr>http://www.epw.qld.gov.au/about/strategy/buy-qld/compliance-complaints</vt:lpwstr>
      </vt:variant>
      <vt:variant>
        <vt:lpwstr/>
      </vt:variant>
      <vt:variant>
        <vt:i4>458762</vt:i4>
      </vt:variant>
      <vt:variant>
        <vt:i4>339</vt:i4>
      </vt:variant>
      <vt:variant>
        <vt:i4>0</vt:i4>
      </vt:variant>
      <vt:variant>
        <vt:i4>5</vt:i4>
      </vt:variant>
      <vt:variant>
        <vt:lpwstr>https://www.forgov.qld.gov.au/search-procurement-resources/probity-and-integrity-procurement</vt:lpwstr>
      </vt:variant>
      <vt:variant>
        <vt:lpwstr/>
      </vt:variant>
      <vt:variant>
        <vt:i4>131084</vt:i4>
      </vt:variant>
      <vt:variant>
        <vt:i4>336</vt:i4>
      </vt:variant>
      <vt:variant>
        <vt:i4>0</vt:i4>
      </vt:variant>
      <vt:variant>
        <vt:i4>5</vt:i4>
      </vt:variant>
      <vt:variant>
        <vt:lpwstr>https://www.forgov.qld.gov.au/search-procurement-resources/guidelines-ethical-supplier-threshold</vt:lpwstr>
      </vt:variant>
      <vt:variant>
        <vt:lpwstr/>
      </vt:variant>
      <vt:variant>
        <vt:i4>8061044</vt:i4>
      </vt:variant>
      <vt:variant>
        <vt:i4>333</vt:i4>
      </vt:variant>
      <vt:variant>
        <vt:i4>0</vt:i4>
      </vt:variant>
      <vt:variant>
        <vt:i4>5</vt:i4>
      </vt:variant>
      <vt:variant>
        <vt:lpwstr>https://www.forgov.qld.gov.au/search-procurement-resources/guidelines-ethical-supplier-mandate</vt:lpwstr>
      </vt:variant>
      <vt:variant>
        <vt:lpwstr/>
      </vt:variant>
      <vt:variant>
        <vt:i4>2949229</vt:i4>
      </vt:variant>
      <vt:variant>
        <vt:i4>330</vt:i4>
      </vt:variant>
      <vt:variant>
        <vt:i4>0</vt:i4>
      </vt:variant>
      <vt:variant>
        <vt:i4>5</vt:i4>
      </vt:variant>
      <vt:variant>
        <vt:lpwstr>https://www.forgov.qld.gov.au/search-procurement-resources/ethical-supplier-mandate</vt:lpwstr>
      </vt:variant>
      <vt:variant>
        <vt:lpwstr/>
      </vt:variant>
      <vt:variant>
        <vt:i4>5636182</vt:i4>
      </vt:variant>
      <vt:variant>
        <vt:i4>324</vt:i4>
      </vt:variant>
      <vt:variant>
        <vt:i4>0</vt:i4>
      </vt:variant>
      <vt:variant>
        <vt:i4>5</vt:i4>
      </vt:variant>
      <vt:variant>
        <vt:lpwstr>https://www.housing.qld.gov.au/initiatives/new-building-policy-framework</vt:lpwstr>
      </vt:variant>
      <vt:variant>
        <vt:lpwstr/>
      </vt:variant>
      <vt:variant>
        <vt:i4>7602217</vt:i4>
      </vt:variant>
      <vt:variant>
        <vt:i4>321</vt:i4>
      </vt:variant>
      <vt:variant>
        <vt:i4>0</vt:i4>
      </vt:variant>
      <vt:variant>
        <vt:i4>5</vt:i4>
      </vt:variant>
      <vt:variant>
        <vt:lpwstr>https://www.forgov.qld.gov.au/property-land-and-infrastructure/manage-government-buildings-and-assets/building-frameworks/building-policy-framework</vt:lpwstr>
      </vt:variant>
      <vt:variant>
        <vt:lpwstr/>
      </vt:variant>
      <vt:variant>
        <vt:i4>5242888</vt:i4>
      </vt:variant>
      <vt:variant>
        <vt:i4>315</vt:i4>
      </vt:variant>
      <vt:variant>
        <vt:i4>0</vt:i4>
      </vt:variant>
      <vt:variant>
        <vt:i4>5</vt:i4>
      </vt:variant>
      <vt:variant>
        <vt:lpwstr>https://www.worksafe.qld.gov.au/laws-and-compliance/prosecutions</vt:lpwstr>
      </vt:variant>
      <vt:variant>
        <vt:lpwstr/>
      </vt:variant>
      <vt:variant>
        <vt:i4>6094917</vt:i4>
      </vt:variant>
      <vt:variant>
        <vt:i4>312</vt:i4>
      </vt:variant>
      <vt:variant>
        <vt:i4>0</vt:i4>
      </vt:variant>
      <vt:variant>
        <vt:i4>5</vt:i4>
      </vt:variant>
      <vt:variant>
        <vt:lpwstr>http://www.fairwork.gov.au/about-us/our-role/enforcing-the-legislation/litigation</vt:lpwstr>
      </vt:variant>
      <vt:variant>
        <vt:lpwstr/>
      </vt:variant>
      <vt:variant>
        <vt:i4>8061044</vt:i4>
      </vt:variant>
      <vt:variant>
        <vt:i4>309</vt:i4>
      </vt:variant>
      <vt:variant>
        <vt:i4>0</vt:i4>
      </vt:variant>
      <vt:variant>
        <vt:i4>5</vt:i4>
      </vt:variant>
      <vt:variant>
        <vt:lpwstr>https://www.forgov.qld.gov.au/search-procurement-resources/guidelines-ethical-supplier-mandate</vt:lpwstr>
      </vt:variant>
      <vt:variant>
        <vt:lpwstr/>
      </vt:variant>
      <vt:variant>
        <vt:i4>5177422</vt:i4>
      </vt:variant>
      <vt:variant>
        <vt:i4>306</vt:i4>
      </vt:variant>
      <vt:variant>
        <vt:i4>0</vt:i4>
      </vt:variant>
      <vt:variant>
        <vt:i4>5</vt:i4>
      </vt:variant>
      <vt:variant>
        <vt:lpwstr>https://www.forgov.qld.gov.au/search-procurement-resources/evaluating-offers</vt:lpwstr>
      </vt:variant>
      <vt:variant>
        <vt:lpwstr/>
      </vt:variant>
      <vt:variant>
        <vt:i4>3670142</vt:i4>
      </vt:variant>
      <vt:variant>
        <vt:i4>303</vt:i4>
      </vt:variant>
      <vt:variant>
        <vt:i4>0</vt:i4>
      </vt:variant>
      <vt:variant>
        <vt:i4>5</vt:i4>
      </vt:variant>
      <vt:variant>
        <vt:lpwstr>https://www.forgov.qld.gov.au/search-procurement-resources/local-benefits-test</vt:lpwstr>
      </vt:variant>
      <vt:variant>
        <vt:lpwstr/>
      </vt:variant>
      <vt:variant>
        <vt:i4>1114174</vt:i4>
      </vt:variant>
      <vt:variant>
        <vt:i4>296</vt:i4>
      </vt:variant>
      <vt:variant>
        <vt:i4>0</vt:i4>
      </vt:variant>
      <vt:variant>
        <vt:i4>5</vt:i4>
      </vt:variant>
      <vt:variant>
        <vt:lpwstr/>
      </vt:variant>
      <vt:variant>
        <vt:lpwstr>_Toc181882645</vt:lpwstr>
      </vt:variant>
      <vt:variant>
        <vt:i4>1114174</vt:i4>
      </vt:variant>
      <vt:variant>
        <vt:i4>290</vt:i4>
      </vt:variant>
      <vt:variant>
        <vt:i4>0</vt:i4>
      </vt:variant>
      <vt:variant>
        <vt:i4>5</vt:i4>
      </vt:variant>
      <vt:variant>
        <vt:lpwstr/>
      </vt:variant>
      <vt:variant>
        <vt:lpwstr>_Toc181882644</vt:lpwstr>
      </vt:variant>
      <vt:variant>
        <vt:i4>1114174</vt:i4>
      </vt:variant>
      <vt:variant>
        <vt:i4>284</vt:i4>
      </vt:variant>
      <vt:variant>
        <vt:i4>0</vt:i4>
      </vt:variant>
      <vt:variant>
        <vt:i4>5</vt:i4>
      </vt:variant>
      <vt:variant>
        <vt:lpwstr/>
      </vt:variant>
      <vt:variant>
        <vt:lpwstr>_Toc181882643</vt:lpwstr>
      </vt:variant>
      <vt:variant>
        <vt:i4>1114174</vt:i4>
      </vt:variant>
      <vt:variant>
        <vt:i4>278</vt:i4>
      </vt:variant>
      <vt:variant>
        <vt:i4>0</vt:i4>
      </vt:variant>
      <vt:variant>
        <vt:i4>5</vt:i4>
      </vt:variant>
      <vt:variant>
        <vt:lpwstr/>
      </vt:variant>
      <vt:variant>
        <vt:lpwstr>_Toc181882642</vt:lpwstr>
      </vt:variant>
      <vt:variant>
        <vt:i4>1114174</vt:i4>
      </vt:variant>
      <vt:variant>
        <vt:i4>272</vt:i4>
      </vt:variant>
      <vt:variant>
        <vt:i4>0</vt:i4>
      </vt:variant>
      <vt:variant>
        <vt:i4>5</vt:i4>
      </vt:variant>
      <vt:variant>
        <vt:lpwstr/>
      </vt:variant>
      <vt:variant>
        <vt:lpwstr>_Toc181882641</vt:lpwstr>
      </vt:variant>
      <vt:variant>
        <vt:i4>1114174</vt:i4>
      </vt:variant>
      <vt:variant>
        <vt:i4>266</vt:i4>
      </vt:variant>
      <vt:variant>
        <vt:i4>0</vt:i4>
      </vt:variant>
      <vt:variant>
        <vt:i4>5</vt:i4>
      </vt:variant>
      <vt:variant>
        <vt:lpwstr/>
      </vt:variant>
      <vt:variant>
        <vt:lpwstr>_Toc181882640</vt:lpwstr>
      </vt:variant>
      <vt:variant>
        <vt:i4>1441854</vt:i4>
      </vt:variant>
      <vt:variant>
        <vt:i4>260</vt:i4>
      </vt:variant>
      <vt:variant>
        <vt:i4>0</vt:i4>
      </vt:variant>
      <vt:variant>
        <vt:i4>5</vt:i4>
      </vt:variant>
      <vt:variant>
        <vt:lpwstr/>
      </vt:variant>
      <vt:variant>
        <vt:lpwstr>_Toc181882639</vt:lpwstr>
      </vt:variant>
      <vt:variant>
        <vt:i4>1441854</vt:i4>
      </vt:variant>
      <vt:variant>
        <vt:i4>254</vt:i4>
      </vt:variant>
      <vt:variant>
        <vt:i4>0</vt:i4>
      </vt:variant>
      <vt:variant>
        <vt:i4>5</vt:i4>
      </vt:variant>
      <vt:variant>
        <vt:lpwstr/>
      </vt:variant>
      <vt:variant>
        <vt:lpwstr>_Toc181882638</vt:lpwstr>
      </vt:variant>
      <vt:variant>
        <vt:i4>1441854</vt:i4>
      </vt:variant>
      <vt:variant>
        <vt:i4>248</vt:i4>
      </vt:variant>
      <vt:variant>
        <vt:i4>0</vt:i4>
      </vt:variant>
      <vt:variant>
        <vt:i4>5</vt:i4>
      </vt:variant>
      <vt:variant>
        <vt:lpwstr/>
      </vt:variant>
      <vt:variant>
        <vt:lpwstr>_Toc181882637</vt:lpwstr>
      </vt:variant>
      <vt:variant>
        <vt:i4>1441854</vt:i4>
      </vt:variant>
      <vt:variant>
        <vt:i4>242</vt:i4>
      </vt:variant>
      <vt:variant>
        <vt:i4>0</vt:i4>
      </vt:variant>
      <vt:variant>
        <vt:i4>5</vt:i4>
      </vt:variant>
      <vt:variant>
        <vt:lpwstr/>
      </vt:variant>
      <vt:variant>
        <vt:lpwstr>_Toc181882636</vt:lpwstr>
      </vt:variant>
      <vt:variant>
        <vt:i4>1441854</vt:i4>
      </vt:variant>
      <vt:variant>
        <vt:i4>236</vt:i4>
      </vt:variant>
      <vt:variant>
        <vt:i4>0</vt:i4>
      </vt:variant>
      <vt:variant>
        <vt:i4>5</vt:i4>
      </vt:variant>
      <vt:variant>
        <vt:lpwstr/>
      </vt:variant>
      <vt:variant>
        <vt:lpwstr>_Toc181882635</vt:lpwstr>
      </vt:variant>
      <vt:variant>
        <vt:i4>1441854</vt:i4>
      </vt:variant>
      <vt:variant>
        <vt:i4>230</vt:i4>
      </vt:variant>
      <vt:variant>
        <vt:i4>0</vt:i4>
      </vt:variant>
      <vt:variant>
        <vt:i4>5</vt:i4>
      </vt:variant>
      <vt:variant>
        <vt:lpwstr/>
      </vt:variant>
      <vt:variant>
        <vt:lpwstr>_Toc181882634</vt:lpwstr>
      </vt:variant>
      <vt:variant>
        <vt:i4>1441854</vt:i4>
      </vt:variant>
      <vt:variant>
        <vt:i4>224</vt:i4>
      </vt:variant>
      <vt:variant>
        <vt:i4>0</vt:i4>
      </vt:variant>
      <vt:variant>
        <vt:i4>5</vt:i4>
      </vt:variant>
      <vt:variant>
        <vt:lpwstr/>
      </vt:variant>
      <vt:variant>
        <vt:lpwstr>_Toc181882633</vt:lpwstr>
      </vt:variant>
      <vt:variant>
        <vt:i4>1441854</vt:i4>
      </vt:variant>
      <vt:variant>
        <vt:i4>218</vt:i4>
      </vt:variant>
      <vt:variant>
        <vt:i4>0</vt:i4>
      </vt:variant>
      <vt:variant>
        <vt:i4>5</vt:i4>
      </vt:variant>
      <vt:variant>
        <vt:lpwstr/>
      </vt:variant>
      <vt:variant>
        <vt:lpwstr>_Toc181882632</vt:lpwstr>
      </vt:variant>
      <vt:variant>
        <vt:i4>1441854</vt:i4>
      </vt:variant>
      <vt:variant>
        <vt:i4>212</vt:i4>
      </vt:variant>
      <vt:variant>
        <vt:i4>0</vt:i4>
      </vt:variant>
      <vt:variant>
        <vt:i4>5</vt:i4>
      </vt:variant>
      <vt:variant>
        <vt:lpwstr/>
      </vt:variant>
      <vt:variant>
        <vt:lpwstr>_Toc181882631</vt:lpwstr>
      </vt:variant>
      <vt:variant>
        <vt:i4>1441854</vt:i4>
      </vt:variant>
      <vt:variant>
        <vt:i4>206</vt:i4>
      </vt:variant>
      <vt:variant>
        <vt:i4>0</vt:i4>
      </vt:variant>
      <vt:variant>
        <vt:i4>5</vt:i4>
      </vt:variant>
      <vt:variant>
        <vt:lpwstr/>
      </vt:variant>
      <vt:variant>
        <vt:lpwstr>_Toc181882630</vt:lpwstr>
      </vt:variant>
      <vt:variant>
        <vt:i4>1507390</vt:i4>
      </vt:variant>
      <vt:variant>
        <vt:i4>200</vt:i4>
      </vt:variant>
      <vt:variant>
        <vt:i4>0</vt:i4>
      </vt:variant>
      <vt:variant>
        <vt:i4>5</vt:i4>
      </vt:variant>
      <vt:variant>
        <vt:lpwstr/>
      </vt:variant>
      <vt:variant>
        <vt:lpwstr>_Toc181882629</vt:lpwstr>
      </vt:variant>
      <vt:variant>
        <vt:i4>1507390</vt:i4>
      </vt:variant>
      <vt:variant>
        <vt:i4>194</vt:i4>
      </vt:variant>
      <vt:variant>
        <vt:i4>0</vt:i4>
      </vt:variant>
      <vt:variant>
        <vt:i4>5</vt:i4>
      </vt:variant>
      <vt:variant>
        <vt:lpwstr/>
      </vt:variant>
      <vt:variant>
        <vt:lpwstr>_Toc181882628</vt:lpwstr>
      </vt:variant>
      <vt:variant>
        <vt:i4>1507390</vt:i4>
      </vt:variant>
      <vt:variant>
        <vt:i4>188</vt:i4>
      </vt:variant>
      <vt:variant>
        <vt:i4>0</vt:i4>
      </vt:variant>
      <vt:variant>
        <vt:i4>5</vt:i4>
      </vt:variant>
      <vt:variant>
        <vt:lpwstr/>
      </vt:variant>
      <vt:variant>
        <vt:lpwstr>_Toc181882627</vt:lpwstr>
      </vt:variant>
      <vt:variant>
        <vt:i4>1507390</vt:i4>
      </vt:variant>
      <vt:variant>
        <vt:i4>182</vt:i4>
      </vt:variant>
      <vt:variant>
        <vt:i4>0</vt:i4>
      </vt:variant>
      <vt:variant>
        <vt:i4>5</vt:i4>
      </vt:variant>
      <vt:variant>
        <vt:lpwstr/>
      </vt:variant>
      <vt:variant>
        <vt:lpwstr>_Toc181882626</vt:lpwstr>
      </vt:variant>
      <vt:variant>
        <vt:i4>1507390</vt:i4>
      </vt:variant>
      <vt:variant>
        <vt:i4>176</vt:i4>
      </vt:variant>
      <vt:variant>
        <vt:i4>0</vt:i4>
      </vt:variant>
      <vt:variant>
        <vt:i4>5</vt:i4>
      </vt:variant>
      <vt:variant>
        <vt:lpwstr/>
      </vt:variant>
      <vt:variant>
        <vt:lpwstr>_Toc181882625</vt:lpwstr>
      </vt:variant>
      <vt:variant>
        <vt:i4>1507390</vt:i4>
      </vt:variant>
      <vt:variant>
        <vt:i4>170</vt:i4>
      </vt:variant>
      <vt:variant>
        <vt:i4>0</vt:i4>
      </vt:variant>
      <vt:variant>
        <vt:i4>5</vt:i4>
      </vt:variant>
      <vt:variant>
        <vt:lpwstr/>
      </vt:variant>
      <vt:variant>
        <vt:lpwstr>_Toc181882624</vt:lpwstr>
      </vt:variant>
      <vt:variant>
        <vt:i4>1507390</vt:i4>
      </vt:variant>
      <vt:variant>
        <vt:i4>164</vt:i4>
      </vt:variant>
      <vt:variant>
        <vt:i4>0</vt:i4>
      </vt:variant>
      <vt:variant>
        <vt:i4>5</vt:i4>
      </vt:variant>
      <vt:variant>
        <vt:lpwstr/>
      </vt:variant>
      <vt:variant>
        <vt:lpwstr>_Toc181882623</vt:lpwstr>
      </vt:variant>
      <vt:variant>
        <vt:i4>1507390</vt:i4>
      </vt:variant>
      <vt:variant>
        <vt:i4>158</vt:i4>
      </vt:variant>
      <vt:variant>
        <vt:i4>0</vt:i4>
      </vt:variant>
      <vt:variant>
        <vt:i4>5</vt:i4>
      </vt:variant>
      <vt:variant>
        <vt:lpwstr/>
      </vt:variant>
      <vt:variant>
        <vt:lpwstr>_Toc181882622</vt:lpwstr>
      </vt:variant>
      <vt:variant>
        <vt:i4>1507390</vt:i4>
      </vt:variant>
      <vt:variant>
        <vt:i4>152</vt:i4>
      </vt:variant>
      <vt:variant>
        <vt:i4>0</vt:i4>
      </vt:variant>
      <vt:variant>
        <vt:i4>5</vt:i4>
      </vt:variant>
      <vt:variant>
        <vt:lpwstr/>
      </vt:variant>
      <vt:variant>
        <vt:lpwstr>_Toc181882621</vt:lpwstr>
      </vt:variant>
      <vt:variant>
        <vt:i4>1507390</vt:i4>
      </vt:variant>
      <vt:variant>
        <vt:i4>146</vt:i4>
      </vt:variant>
      <vt:variant>
        <vt:i4>0</vt:i4>
      </vt:variant>
      <vt:variant>
        <vt:i4>5</vt:i4>
      </vt:variant>
      <vt:variant>
        <vt:lpwstr/>
      </vt:variant>
      <vt:variant>
        <vt:lpwstr>_Toc181882620</vt:lpwstr>
      </vt:variant>
      <vt:variant>
        <vt:i4>1310782</vt:i4>
      </vt:variant>
      <vt:variant>
        <vt:i4>140</vt:i4>
      </vt:variant>
      <vt:variant>
        <vt:i4>0</vt:i4>
      </vt:variant>
      <vt:variant>
        <vt:i4>5</vt:i4>
      </vt:variant>
      <vt:variant>
        <vt:lpwstr/>
      </vt:variant>
      <vt:variant>
        <vt:lpwstr>_Toc181882619</vt:lpwstr>
      </vt:variant>
      <vt:variant>
        <vt:i4>1310782</vt:i4>
      </vt:variant>
      <vt:variant>
        <vt:i4>134</vt:i4>
      </vt:variant>
      <vt:variant>
        <vt:i4>0</vt:i4>
      </vt:variant>
      <vt:variant>
        <vt:i4>5</vt:i4>
      </vt:variant>
      <vt:variant>
        <vt:lpwstr/>
      </vt:variant>
      <vt:variant>
        <vt:lpwstr>_Toc181882618</vt:lpwstr>
      </vt:variant>
      <vt:variant>
        <vt:i4>1310782</vt:i4>
      </vt:variant>
      <vt:variant>
        <vt:i4>128</vt:i4>
      </vt:variant>
      <vt:variant>
        <vt:i4>0</vt:i4>
      </vt:variant>
      <vt:variant>
        <vt:i4>5</vt:i4>
      </vt:variant>
      <vt:variant>
        <vt:lpwstr/>
      </vt:variant>
      <vt:variant>
        <vt:lpwstr>_Toc181882617</vt:lpwstr>
      </vt:variant>
      <vt:variant>
        <vt:i4>1310782</vt:i4>
      </vt:variant>
      <vt:variant>
        <vt:i4>122</vt:i4>
      </vt:variant>
      <vt:variant>
        <vt:i4>0</vt:i4>
      </vt:variant>
      <vt:variant>
        <vt:i4>5</vt:i4>
      </vt:variant>
      <vt:variant>
        <vt:lpwstr/>
      </vt:variant>
      <vt:variant>
        <vt:lpwstr>_Toc181882616</vt:lpwstr>
      </vt:variant>
      <vt:variant>
        <vt:i4>1310782</vt:i4>
      </vt:variant>
      <vt:variant>
        <vt:i4>116</vt:i4>
      </vt:variant>
      <vt:variant>
        <vt:i4>0</vt:i4>
      </vt:variant>
      <vt:variant>
        <vt:i4>5</vt:i4>
      </vt:variant>
      <vt:variant>
        <vt:lpwstr/>
      </vt:variant>
      <vt:variant>
        <vt:lpwstr>_Toc181882615</vt:lpwstr>
      </vt:variant>
      <vt:variant>
        <vt:i4>1310782</vt:i4>
      </vt:variant>
      <vt:variant>
        <vt:i4>110</vt:i4>
      </vt:variant>
      <vt:variant>
        <vt:i4>0</vt:i4>
      </vt:variant>
      <vt:variant>
        <vt:i4>5</vt:i4>
      </vt:variant>
      <vt:variant>
        <vt:lpwstr/>
      </vt:variant>
      <vt:variant>
        <vt:lpwstr>_Toc181882614</vt:lpwstr>
      </vt:variant>
      <vt:variant>
        <vt:i4>1310782</vt:i4>
      </vt:variant>
      <vt:variant>
        <vt:i4>104</vt:i4>
      </vt:variant>
      <vt:variant>
        <vt:i4>0</vt:i4>
      </vt:variant>
      <vt:variant>
        <vt:i4>5</vt:i4>
      </vt:variant>
      <vt:variant>
        <vt:lpwstr/>
      </vt:variant>
      <vt:variant>
        <vt:lpwstr>_Toc181882613</vt:lpwstr>
      </vt:variant>
      <vt:variant>
        <vt:i4>1310782</vt:i4>
      </vt:variant>
      <vt:variant>
        <vt:i4>98</vt:i4>
      </vt:variant>
      <vt:variant>
        <vt:i4>0</vt:i4>
      </vt:variant>
      <vt:variant>
        <vt:i4>5</vt:i4>
      </vt:variant>
      <vt:variant>
        <vt:lpwstr/>
      </vt:variant>
      <vt:variant>
        <vt:lpwstr>_Toc181882612</vt:lpwstr>
      </vt:variant>
      <vt:variant>
        <vt:i4>1310782</vt:i4>
      </vt:variant>
      <vt:variant>
        <vt:i4>92</vt:i4>
      </vt:variant>
      <vt:variant>
        <vt:i4>0</vt:i4>
      </vt:variant>
      <vt:variant>
        <vt:i4>5</vt:i4>
      </vt:variant>
      <vt:variant>
        <vt:lpwstr/>
      </vt:variant>
      <vt:variant>
        <vt:lpwstr>_Toc181882611</vt:lpwstr>
      </vt:variant>
      <vt:variant>
        <vt:i4>1310782</vt:i4>
      </vt:variant>
      <vt:variant>
        <vt:i4>86</vt:i4>
      </vt:variant>
      <vt:variant>
        <vt:i4>0</vt:i4>
      </vt:variant>
      <vt:variant>
        <vt:i4>5</vt:i4>
      </vt:variant>
      <vt:variant>
        <vt:lpwstr/>
      </vt:variant>
      <vt:variant>
        <vt:lpwstr>_Toc181882610</vt:lpwstr>
      </vt:variant>
      <vt:variant>
        <vt:i4>1376318</vt:i4>
      </vt:variant>
      <vt:variant>
        <vt:i4>80</vt:i4>
      </vt:variant>
      <vt:variant>
        <vt:i4>0</vt:i4>
      </vt:variant>
      <vt:variant>
        <vt:i4>5</vt:i4>
      </vt:variant>
      <vt:variant>
        <vt:lpwstr/>
      </vt:variant>
      <vt:variant>
        <vt:lpwstr>_Toc181882609</vt:lpwstr>
      </vt:variant>
      <vt:variant>
        <vt:i4>1376318</vt:i4>
      </vt:variant>
      <vt:variant>
        <vt:i4>74</vt:i4>
      </vt:variant>
      <vt:variant>
        <vt:i4>0</vt:i4>
      </vt:variant>
      <vt:variant>
        <vt:i4>5</vt:i4>
      </vt:variant>
      <vt:variant>
        <vt:lpwstr/>
      </vt:variant>
      <vt:variant>
        <vt:lpwstr>_Toc181882608</vt:lpwstr>
      </vt:variant>
      <vt:variant>
        <vt:i4>1376318</vt:i4>
      </vt:variant>
      <vt:variant>
        <vt:i4>68</vt:i4>
      </vt:variant>
      <vt:variant>
        <vt:i4>0</vt:i4>
      </vt:variant>
      <vt:variant>
        <vt:i4>5</vt:i4>
      </vt:variant>
      <vt:variant>
        <vt:lpwstr/>
      </vt:variant>
      <vt:variant>
        <vt:lpwstr>_Toc181882607</vt:lpwstr>
      </vt:variant>
      <vt:variant>
        <vt:i4>1376318</vt:i4>
      </vt:variant>
      <vt:variant>
        <vt:i4>62</vt:i4>
      </vt:variant>
      <vt:variant>
        <vt:i4>0</vt:i4>
      </vt:variant>
      <vt:variant>
        <vt:i4>5</vt:i4>
      </vt:variant>
      <vt:variant>
        <vt:lpwstr/>
      </vt:variant>
      <vt:variant>
        <vt:lpwstr>_Toc181882606</vt:lpwstr>
      </vt:variant>
      <vt:variant>
        <vt:i4>1376318</vt:i4>
      </vt:variant>
      <vt:variant>
        <vt:i4>56</vt:i4>
      </vt:variant>
      <vt:variant>
        <vt:i4>0</vt:i4>
      </vt:variant>
      <vt:variant>
        <vt:i4>5</vt:i4>
      </vt:variant>
      <vt:variant>
        <vt:lpwstr/>
      </vt:variant>
      <vt:variant>
        <vt:lpwstr>_Toc181882605</vt:lpwstr>
      </vt:variant>
      <vt:variant>
        <vt:i4>1376318</vt:i4>
      </vt:variant>
      <vt:variant>
        <vt:i4>50</vt:i4>
      </vt:variant>
      <vt:variant>
        <vt:i4>0</vt:i4>
      </vt:variant>
      <vt:variant>
        <vt:i4>5</vt:i4>
      </vt:variant>
      <vt:variant>
        <vt:lpwstr/>
      </vt:variant>
      <vt:variant>
        <vt:lpwstr>_Toc181882604</vt:lpwstr>
      </vt:variant>
      <vt:variant>
        <vt:i4>1376318</vt:i4>
      </vt:variant>
      <vt:variant>
        <vt:i4>44</vt:i4>
      </vt:variant>
      <vt:variant>
        <vt:i4>0</vt:i4>
      </vt:variant>
      <vt:variant>
        <vt:i4>5</vt:i4>
      </vt:variant>
      <vt:variant>
        <vt:lpwstr/>
      </vt:variant>
      <vt:variant>
        <vt:lpwstr>_Toc181882603</vt:lpwstr>
      </vt:variant>
      <vt:variant>
        <vt:i4>1376318</vt:i4>
      </vt:variant>
      <vt:variant>
        <vt:i4>38</vt:i4>
      </vt:variant>
      <vt:variant>
        <vt:i4>0</vt:i4>
      </vt:variant>
      <vt:variant>
        <vt:i4>5</vt:i4>
      </vt:variant>
      <vt:variant>
        <vt:lpwstr/>
      </vt:variant>
      <vt:variant>
        <vt:lpwstr>_Toc181882602</vt:lpwstr>
      </vt:variant>
      <vt:variant>
        <vt:i4>1376318</vt:i4>
      </vt:variant>
      <vt:variant>
        <vt:i4>32</vt:i4>
      </vt:variant>
      <vt:variant>
        <vt:i4>0</vt:i4>
      </vt:variant>
      <vt:variant>
        <vt:i4>5</vt:i4>
      </vt:variant>
      <vt:variant>
        <vt:lpwstr/>
      </vt:variant>
      <vt:variant>
        <vt:lpwstr>_Toc181882601</vt:lpwstr>
      </vt:variant>
      <vt:variant>
        <vt:i4>1376318</vt:i4>
      </vt:variant>
      <vt:variant>
        <vt:i4>26</vt:i4>
      </vt:variant>
      <vt:variant>
        <vt:i4>0</vt:i4>
      </vt:variant>
      <vt:variant>
        <vt:i4>5</vt:i4>
      </vt:variant>
      <vt:variant>
        <vt:lpwstr/>
      </vt:variant>
      <vt:variant>
        <vt:lpwstr>_Toc181882600</vt:lpwstr>
      </vt:variant>
      <vt:variant>
        <vt:i4>1835069</vt:i4>
      </vt:variant>
      <vt:variant>
        <vt:i4>20</vt:i4>
      </vt:variant>
      <vt:variant>
        <vt:i4>0</vt:i4>
      </vt:variant>
      <vt:variant>
        <vt:i4>5</vt:i4>
      </vt:variant>
      <vt:variant>
        <vt:lpwstr/>
      </vt:variant>
      <vt:variant>
        <vt:lpwstr>_Toc181882599</vt:lpwstr>
      </vt:variant>
      <vt:variant>
        <vt:i4>1835069</vt:i4>
      </vt:variant>
      <vt:variant>
        <vt:i4>14</vt:i4>
      </vt:variant>
      <vt:variant>
        <vt:i4>0</vt:i4>
      </vt:variant>
      <vt:variant>
        <vt:i4>5</vt:i4>
      </vt:variant>
      <vt:variant>
        <vt:lpwstr/>
      </vt:variant>
      <vt:variant>
        <vt:lpwstr>_Toc181882598</vt:lpwstr>
      </vt:variant>
      <vt:variant>
        <vt:i4>1835069</vt:i4>
      </vt:variant>
      <vt:variant>
        <vt:i4>8</vt:i4>
      </vt:variant>
      <vt:variant>
        <vt:i4>0</vt:i4>
      </vt:variant>
      <vt:variant>
        <vt:i4>5</vt:i4>
      </vt:variant>
      <vt:variant>
        <vt:lpwstr/>
      </vt:variant>
      <vt:variant>
        <vt:lpwstr>_Toc181882597</vt:lpwstr>
      </vt:variant>
      <vt:variant>
        <vt:i4>6422640</vt:i4>
      </vt:variant>
      <vt:variant>
        <vt:i4>3</vt:i4>
      </vt:variant>
      <vt:variant>
        <vt:i4>0</vt:i4>
      </vt:variant>
      <vt:variant>
        <vt:i4>5</vt:i4>
      </vt:variant>
      <vt:variant>
        <vt:lpwstr>mailto:</vt:lpwstr>
      </vt:variant>
      <vt:variant>
        <vt:lpwstr/>
      </vt:variant>
      <vt:variant>
        <vt:i4>2228269</vt:i4>
      </vt:variant>
      <vt:variant>
        <vt:i4>0</vt:i4>
      </vt:variant>
      <vt:variant>
        <vt:i4>0</vt:i4>
      </vt:variant>
      <vt:variant>
        <vt:i4>5</vt:i4>
      </vt:variant>
      <vt:variant>
        <vt:lpwstr>http://creativecommons.org/licenses/by/4.0/deed.en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 principles: Quality, safe workplaces</dc:title>
  <dc:subject/>
  <dc:creator>Department of Housing and Public Works</dc:creator>
  <cp:keywords/>
  <cp:lastModifiedBy>Susannah James</cp:lastModifiedBy>
  <cp:revision>3</cp:revision>
  <cp:lastPrinted>2024-11-12T21:00:00Z</cp:lastPrinted>
  <dcterms:created xsi:type="dcterms:W3CDTF">2024-11-20T22:13:00Z</dcterms:created>
  <dcterms:modified xsi:type="dcterms:W3CDTF">2024-11-20T22:13:00Z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0x01010086B2A59F4C49FD4687D4B785FF98269E</vt:lpwstr>
  </property>
  <property fmtid="{D5CDD505-2E9C-101B-9397-08002B2CF9AE}" pid="3" name="Number">
    <vt:lpwstr/>
  </property>
  <property fmtid="{D5CDD505-2E9C-101B-9397-08002B2CF9AE}" pid="4" name="Order">
    <vt:r8>542700</vt:r8>
  </property>
  <property fmtid="{D5CDD505-2E9C-101B-9397-08002B2CF9AE}" pid="5" name="Status">
    <vt:lpwstr/>
  </property>
  <property fmtid="{D5CDD505-2E9C-101B-9397-08002B2CF9AE}" pid="6" name="TaxKeyword">
    <vt:lpwstr>216;#cover|a0e29c38-ede7-4d93-984f-904627b60d9f;#116;#a4|28079928-679d-48a2-8883-835d1d514c3f;#316;#document|0560fe81-d13d-4d41-b61f-4823a1e8cbd2;#91;#Template|4cae74c2-1c99-4c44-96e5-6902aebf4c10</vt:lpwstr>
  </property>
</Properties>
</file>