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3EB3B" w14:textId="77777777" w:rsidR="00213557" w:rsidRPr="00213557" w:rsidRDefault="00213557" w:rsidP="00756155">
      <w:pPr>
        <w:pStyle w:val="Subtitle"/>
        <w:rPr>
          <w:rFonts w:eastAsiaTheme="majorEastAsia" w:cstheme="majorBidi"/>
          <w:bCs/>
          <w:caps w:val="0"/>
          <w:spacing w:val="-10"/>
          <w:kern w:val="28"/>
          <w:sz w:val="56"/>
          <w:szCs w:val="56"/>
        </w:rPr>
      </w:pPr>
      <w:r w:rsidRPr="00213557">
        <w:rPr>
          <w:rFonts w:eastAsiaTheme="majorEastAsia" w:cstheme="majorBidi"/>
          <w:bCs/>
          <w:caps w:val="0"/>
          <w:spacing w:val="-10"/>
          <w:kern w:val="28"/>
          <w:sz w:val="56"/>
          <w:szCs w:val="56"/>
        </w:rPr>
        <w:t xml:space="preserve">Acknowledgement of Obligations </w:t>
      </w:r>
    </w:p>
    <w:p w14:paraId="2282B2A8" w14:textId="77777777" w:rsidR="00213557" w:rsidRDefault="00213557" w:rsidP="00213557">
      <w:pPr>
        <w:pStyle w:val="Subtitle"/>
        <w:spacing w:before="120" w:after="0"/>
      </w:pPr>
      <w:bookmarkStart w:id="0" w:name="_Hlk20839838"/>
      <w:r>
        <w:t xml:space="preserve">Confidentiality, Privacy and Conflicts of Interest </w:t>
      </w:r>
      <w:r>
        <w:br/>
        <w:t>(for non-Queensland Government Employees)</w:t>
      </w:r>
    </w:p>
    <w:bookmarkEnd w:id="0"/>
    <w:p w14:paraId="46BACE21" w14:textId="77777777" w:rsidR="00A8611D" w:rsidRDefault="00A8611D" w:rsidP="00751905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51905" w14:paraId="4F6B5C66" w14:textId="77777777" w:rsidTr="00642112">
        <w:tc>
          <w:tcPr>
            <w:tcW w:w="9351" w:type="dxa"/>
          </w:tcPr>
          <w:p w14:paraId="12CD797A" w14:textId="251763A4" w:rsidR="00C07CBF" w:rsidRDefault="00C07CBF" w:rsidP="006F4D11">
            <w:pPr>
              <w:spacing w:before="120"/>
              <w:rPr>
                <w:rStyle w:val="SubtleEmphasis"/>
                <w:b/>
                <w:bCs/>
                <w:i w:val="0"/>
                <w:iCs w:val="0"/>
                <w:szCs w:val="22"/>
                <w:lang w:val="en-AU"/>
              </w:rPr>
            </w:pPr>
            <w:r w:rsidRPr="00C07CBF">
              <w:rPr>
                <w:rStyle w:val="SubtleEmphasis"/>
                <w:b/>
                <w:bCs/>
                <w:i w:val="0"/>
                <w:iCs w:val="0"/>
              </w:rPr>
              <w:t>Agencies please note:</w:t>
            </w:r>
          </w:p>
          <w:p w14:paraId="26242BBC" w14:textId="51E89D69" w:rsidR="001446EE" w:rsidRDefault="00AE2169" w:rsidP="00D06380">
            <w:pPr>
              <w:pStyle w:val="ListParagraph"/>
              <w:numPr>
                <w:ilvl w:val="0"/>
                <w:numId w:val="14"/>
              </w:numPr>
              <w:spacing w:after="0"/>
              <w:ind w:left="447" w:hanging="425"/>
              <w:rPr>
                <w:rStyle w:val="SubtleEmphasis"/>
              </w:rPr>
            </w:pPr>
            <w:r w:rsidRPr="00AE2169">
              <w:rPr>
                <w:rStyle w:val="SubtleEmphasis"/>
              </w:rPr>
              <w:t xml:space="preserve">This is a </w:t>
            </w:r>
            <w:r w:rsidR="00D06380">
              <w:rPr>
                <w:rStyle w:val="SubtleEmphasis"/>
              </w:rPr>
              <w:t>template</w:t>
            </w:r>
            <w:r w:rsidR="00D06380" w:rsidRPr="00AE2169">
              <w:rPr>
                <w:rStyle w:val="SubtleEmphasis"/>
              </w:rPr>
              <w:t xml:space="preserve"> </w:t>
            </w:r>
            <w:r w:rsidR="001446EE">
              <w:rPr>
                <w:rStyle w:val="SubtleEmphasis"/>
              </w:rPr>
              <w:t xml:space="preserve">only </w:t>
            </w:r>
            <w:r w:rsidRPr="00AE2169">
              <w:rPr>
                <w:rStyle w:val="SubtleEmphasis"/>
              </w:rPr>
              <w:t>for agencies</w:t>
            </w:r>
            <w:r w:rsidR="001446EE">
              <w:rPr>
                <w:rStyle w:val="SubtleEmphasis"/>
              </w:rPr>
              <w:t xml:space="preserve"> to use.</w:t>
            </w:r>
          </w:p>
          <w:p w14:paraId="4091B104" w14:textId="605EC54E" w:rsidR="00C07CBF" w:rsidRDefault="001446EE" w:rsidP="00D06380">
            <w:pPr>
              <w:pStyle w:val="ListParagraph"/>
              <w:numPr>
                <w:ilvl w:val="0"/>
                <w:numId w:val="14"/>
              </w:numPr>
              <w:spacing w:after="0"/>
              <w:ind w:left="447" w:hanging="425"/>
              <w:rPr>
                <w:rStyle w:val="SubtleEmphasis"/>
              </w:rPr>
            </w:pPr>
            <w:r>
              <w:rPr>
                <w:rStyle w:val="SubtleEmphasis"/>
              </w:rPr>
              <w:t>I</w:t>
            </w:r>
            <w:r w:rsidR="00AE2169" w:rsidRPr="00AE2169">
              <w:rPr>
                <w:rStyle w:val="SubtleEmphasis"/>
              </w:rPr>
              <w:t xml:space="preserve">t is ultimately up to the agency to </w:t>
            </w:r>
            <w:r w:rsidR="00D06380">
              <w:rPr>
                <w:rStyle w:val="SubtleEmphasis"/>
              </w:rPr>
              <w:t xml:space="preserve">determine and </w:t>
            </w:r>
            <w:r w:rsidR="00AE2169" w:rsidRPr="00AE2169">
              <w:rPr>
                <w:rStyle w:val="SubtleEmphasis"/>
              </w:rPr>
              <w:t xml:space="preserve">adopt its own requirements in conjunction with relevant </w:t>
            </w:r>
            <w:r w:rsidR="00AE2169">
              <w:rPr>
                <w:rStyle w:val="SubtleEmphasis"/>
              </w:rPr>
              <w:t xml:space="preserve">agency </w:t>
            </w:r>
            <w:r w:rsidR="00AE2169" w:rsidRPr="00AE2169">
              <w:rPr>
                <w:rStyle w:val="SubtleEmphasis"/>
              </w:rPr>
              <w:t>policies and procedures</w:t>
            </w:r>
            <w:r w:rsidR="00AE2169">
              <w:rPr>
                <w:rStyle w:val="SubtleEmphasis"/>
              </w:rPr>
              <w:t>, e.g., some agencies may require a more robust document</w:t>
            </w:r>
            <w:r w:rsidR="00D06380">
              <w:rPr>
                <w:rStyle w:val="SubtleEmphasis"/>
              </w:rPr>
              <w:t xml:space="preserve"> which aligns with the risk associated with the procurement activity</w:t>
            </w:r>
            <w:r w:rsidR="00AE2169">
              <w:rPr>
                <w:rStyle w:val="SubtleEmphasis"/>
              </w:rPr>
              <w:t>.</w:t>
            </w:r>
          </w:p>
          <w:p w14:paraId="0FC55520" w14:textId="19FB74E3" w:rsidR="00AE2169" w:rsidRPr="00AE2169" w:rsidRDefault="00AE2169" w:rsidP="006F4D11">
            <w:pPr>
              <w:pStyle w:val="ListParagraph"/>
              <w:numPr>
                <w:ilvl w:val="0"/>
                <w:numId w:val="14"/>
              </w:numPr>
              <w:spacing w:after="0"/>
              <w:ind w:left="447" w:hanging="425"/>
              <w:rPr>
                <w:rStyle w:val="SubtleEmphasis"/>
                <w:szCs w:val="22"/>
                <w:lang w:val="en-AU"/>
              </w:rPr>
            </w:pPr>
            <w:r w:rsidRPr="00AE2169">
              <w:rPr>
                <w:rStyle w:val="SubtleEmphasis"/>
              </w:rPr>
              <w:t xml:space="preserve">Contact your agency’s </w:t>
            </w:r>
            <w:r w:rsidR="00D06380">
              <w:rPr>
                <w:rStyle w:val="SubtleEmphasis"/>
              </w:rPr>
              <w:t>P</w:t>
            </w:r>
            <w:r w:rsidRPr="00AE2169">
              <w:rPr>
                <w:rStyle w:val="SubtleEmphasis"/>
              </w:rPr>
              <w:t>rocurement</w:t>
            </w:r>
            <w:r w:rsidR="00D06380">
              <w:rPr>
                <w:rStyle w:val="SubtleEmphasis"/>
              </w:rPr>
              <w:t xml:space="preserve"> and/or Legal</w:t>
            </w:r>
            <w:r w:rsidRPr="00AE2169">
              <w:rPr>
                <w:rStyle w:val="SubtleEmphasis"/>
              </w:rPr>
              <w:t xml:space="preserve"> team for assistance in using this template.</w:t>
            </w:r>
          </w:p>
          <w:p w14:paraId="21C891F9" w14:textId="58B7809A" w:rsidR="00C07CBF" w:rsidRDefault="00751905" w:rsidP="006F4D11">
            <w:pPr>
              <w:spacing w:before="120"/>
              <w:rPr>
                <w:rStyle w:val="SubtleEmphasis"/>
                <w:b/>
                <w:bCs/>
                <w:i w:val="0"/>
                <w:iCs w:val="0"/>
                <w:szCs w:val="22"/>
                <w:lang w:val="en-AU"/>
              </w:rPr>
            </w:pPr>
            <w:r w:rsidRPr="00C07CBF">
              <w:rPr>
                <w:rStyle w:val="SubtleEmphasis"/>
                <w:b/>
                <w:bCs/>
                <w:i w:val="0"/>
                <w:iCs w:val="0"/>
              </w:rPr>
              <w:t>When to use this form</w:t>
            </w:r>
            <w:r w:rsidR="00C07CBF">
              <w:rPr>
                <w:rStyle w:val="SubtleEmphasis"/>
                <w:b/>
                <w:bCs/>
                <w:i w:val="0"/>
                <w:iCs w:val="0"/>
              </w:rPr>
              <w:t>:</w:t>
            </w:r>
          </w:p>
          <w:p w14:paraId="3E472737" w14:textId="4BEEA3F8" w:rsidR="00213557" w:rsidRPr="002B687A" w:rsidRDefault="002B687A" w:rsidP="00D66F7D">
            <w:pPr>
              <w:pStyle w:val="ListParagraph"/>
              <w:numPr>
                <w:ilvl w:val="0"/>
                <w:numId w:val="14"/>
              </w:numPr>
              <w:spacing w:after="0"/>
              <w:ind w:left="447" w:hanging="425"/>
              <w:rPr>
                <w:rStyle w:val="SubtleEmphasis"/>
                <w:szCs w:val="22"/>
                <w:lang w:val="en-AU"/>
              </w:rPr>
            </w:pPr>
            <w:r w:rsidRPr="002B687A">
              <w:rPr>
                <w:rStyle w:val="SubtleEmphasis"/>
              </w:rPr>
              <w:t>F</w:t>
            </w:r>
            <w:r w:rsidR="00213557" w:rsidRPr="002B687A">
              <w:rPr>
                <w:rStyle w:val="SubtleEmphasis"/>
              </w:rPr>
              <w:t xml:space="preserve">or specific engagements of subject matter experts who are providing their time </w:t>
            </w:r>
            <w:r w:rsidR="00615535">
              <w:rPr>
                <w:rStyle w:val="SubtleEmphasis"/>
              </w:rPr>
              <w:t>free of charge</w:t>
            </w:r>
            <w:r w:rsidR="00213557" w:rsidRPr="002B687A">
              <w:rPr>
                <w:rStyle w:val="SubtleEmphasis"/>
              </w:rPr>
              <w:t xml:space="preserve"> and</w:t>
            </w:r>
            <w:r w:rsidR="00D06380">
              <w:rPr>
                <w:rStyle w:val="SubtleEmphasis"/>
              </w:rPr>
              <w:t>/or</w:t>
            </w:r>
            <w:r w:rsidR="00213557" w:rsidRPr="002B687A">
              <w:rPr>
                <w:rStyle w:val="SubtleEmphasis"/>
              </w:rPr>
              <w:t xml:space="preserve"> are not formally engaged</w:t>
            </w:r>
            <w:r w:rsidR="00D06380">
              <w:rPr>
                <w:rStyle w:val="SubtleEmphasis"/>
              </w:rPr>
              <w:t xml:space="preserve"> as a Supplier (Suppliers and their perso</w:t>
            </w:r>
            <w:r w:rsidR="00D06380" w:rsidRPr="00D06380">
              <w:rPr>
                <w:rStyle w:val="SubtleEmphasis"/>
              </w:rPr>
              <w:t xml:space="preserve">nnel should complete the </w:t>
            </w:r>
            <w:hyperlink r:id="rId8" w:history="1">
              <w:r w:rsidR="00D06380" w:rsidRPr="009463A8">
                <w:rPr>
                  <w:rStyle w:val="Hyperlink"/>
                </w:rPr>
                <w:t xml:space="preserve"> Confidentialit</w:t>
              </w:r>
              <w:r w:rsidR="005722E4">
                <w:rPr>
                  <w:rStyle w:val="Hyperlink"/>
                </w:rPr>
                <w:t>y,</w:t>
              </w:r>
              <w:r w:rsidR="00D06380" w:rsidRPr="009463A8">
                <w:rPr>
                  <w:rStyle w:val="Hyperlink"/>
                </w:rPr>
                <w:t xml:space="preserve"> Privacy</w:t>
              </w:r>
              <w:r w:rsidR="005722E4">
                <w:rPr>
                  <w:rStyle w:val="Hyperlink"/>
                </w:rPr>
                <w:t xml:space="preserve"> and C</w:t>
              </w:r>
              <w:r w:rsidR="00A8611D">
                <w:rPr>
                  <w:rStyle w:val="Hyperlink"/>
                </w:rPr>
                <w:t>onflict of Interest</w:t>
              </w:r>
              <w:r w:rsidR="005722E4">
                <w:rPr>
                  <w:rStyle w:val="Hyperlink"/>
                </w:rPr>
                <w:t xml:space="preserve"> Deed</w:t>
              </w:r>
            </w:hyperlink>
            <w:r w:rsidR="00D06380" w:rsidRPr="00D06380">
              <w:rPr>
                <w:rStyle w:val="SubtleEmphasis"/>
              </w:rPr>
              <w:t>).</w:t>
            </w:r>
          </w:p>
          <w:p w14:paraId="20F6AD85" w14:textId="1BBA1411" w:rsidR="00C07CBF" w:rsidRPr="003F7531" w:rsidRDefault="00C07CBF" w:rsidP="00C07CBF">
            <w:pPr>
              <w:spacing w:before="120"/>
              <w:rPr>
                <w:rStyle w:val="SubtleEmphasis"/>
                <w:b/>
                <w:bCs/>
                <w:i w:val="0"/>
                <w:iCs w:val="0"/>
              </w:rPr>
            </w:pPr>
            <w:r w:rsidRPr="003F7531">
              <w:rPr>
                <w:rStyle w:val="SubtleEmphasis"/>
                <w:b/>
                <w:bCs/>
                <w:i w:val="0"/>
                <w:iCs w:val="0"/>
              </w:rPr>
              <w:t>Before issuing</w:t>
            </w:r>
            <w:r>
              <w:rPr>
                <w:rStyle w:val="SubtleEmphasis"/>
                <w:b/>
                <w:bCs/>
                <w:i w:val="0"/>
                <w:iCs w:val="0"/>
              </w:rPr>
              <w:t>:</w:t>
            </w:r>
          </w:p>
          <w:p w14:paraId="1B63A6CE" w14:textId="2082E733" w:rsidR="00C07CBF" w:rsidRPr="00C07CBF" w:rsidRDefault="00C07CBF" w:rsidP="009463A8">
            <w:pPr>
              <w:pStyle w:val="ListParagraph"/>
              <w:numPr>
                <w:ilvl w:val="0"/>
                <w:numId w:val="14"/>
              </w:numPr>
              <w:spacing w:after="0"/>
              <w:ind w:left="447" w:hanging="425"/>
              <w:rPr>
                <w:rStyle w:val="SubtleEmphasis"/>
                <w:szCs w:val="22"/>
                <w:lang w:val="en-AU"/>
              </w:rPr>
            </w:pPr>
            <w:r w:rsidRPr="003F7531">
              <w:rPr>
                <w:rStyle w:val="SubtleEmphasis"/>
              </w:rPr>
              <w:t xml:space="preserve">Items in </w:t>
            </w:r>
            <w:r w:rsidRPr="00A619BF">
              <w:rPr>
                <w:rStyle w:val="SubtleEmphasis"/>
                <w:highlight w:val="yellow"/>
              </w:rPr>
              <w:t>yellow</w:t>
            </w:r>
            <w:r w:rsidRPr="003F7531">
              <w:rPr>
                <w:rStyle w:val="SubtleEmphasis"/>
              </w:rPr>
              <w:t xml:space="preserve"> are to be reviewed, </w:t>
            </w:r>
            <w:proofErr w:type="gramStart"/>
            <w:r w:rsidRPr="003F7531">
              <w:rPr>
                <w:rStyle w:val="SubtleEmphasis"/>
              </w:rPr>
              <w:t>updated</w:t>
            </w:r>
            <w:proofErr w:type="gramEnd"/>
            <w:r w:rsidRPr="003F7531">
              <w:rPr>
                <w:rStyle w:val="SubtleEmphasis"/>
              </w:rPr>
              <w:t xml:space="preserve"> or deleted</w:t>
            </w:r>
            <w:r w:rsidR="00D06380">
              <w:rPr>
                <w:rStyle w:val="SubtleEmphasis"/>
              </w:rPr>
              <w:t xml:space="preserve"> as appropriate.</w:t>
            </w:r>
          </w:p>
          <w:p w14:paraId="6BE7EF8D" w14:textId="2EC42943" w:rsidR="00213557" w:rsidRPr="00AE2169" w:rsidRDefault="00C07CBF" w:rsidP="009463A8">
            <w:pPr>
              <w:pStyle w:val="ListParagraph"/>
              <w:numPr>
                <w:ilvl w:val="0"/>
                <w:numId w:val="14"/>
              </w:numPr>
              <w:spacing w:after="0"/>
              <w:ind w:left="447" w:hanging="425"/>
              <w:rPr>
                <w:b/>
                <w:bCs/>
              </w:rPr>
            </w:pPr>
            <w:r w:rsidRPr="00967A29">
              <w:rPr>
                <w:rStyle w:val="SubtleEmphasis"/>
              </w:rPr>
              <w:t xml:space="preserve">This table </w:t>
            </w:r>
            <w:r w:rsidR="001446EE" w:rsidRPr="00642112">
              <w:rPr>
                <w:rStyle w:val="SubtleEmphasis"/>
                <w:b/>
                <w:bCs/>
              </w:rPr>
              <w:t>MUST</w:t>
            </w:r>
            <w:r w:rsidR="001446EE" w:rsidRPr="00967A29">
              <w:rPr>
                <w:rStyle w:val="SubtleEmphasis"/>
              </w:rPr>
              <w:t xml:space="preserve"> </w:t>
            </w:r>
            <w:r w:rsidRPr="00967A29">
              <w:rPr>
                <w:rStyle w:val="SubtleEmphasis"/>
              </w:rPr>
              <w:t>be deleted</w:t>
            </w:r>
            <w:r w:rsidR="00D06380">
              <w:rPr>
                <w:rStyle w:val="SubtleEmphasis"/>
              </w:rPr>
              <w:t>, prior to requesting the completion of this form</w:t>
            </w:r>
            <w:r w:rsidR="001446EE">
              <w:rPr>
                <w:rStyle w:val="SubtleEmphasis"/>
              </w:rPr>
              <w:t xml:space="preserve"> by the individual</w:t>
            </w:r>
            <w:r w:rsidRPr="00967A29">
              <w:rPr>
                <w:rStyle w:val="SubtleEmphasis"/>
              </w:rPr>
              <w:t>.</w:t>
            </w:r>
          </w:p>
          <w:p w14:paraId="1D7FEB1C" w14:textId="77777777" w:rsidR="00751905" w:rsidRDefault="00751905" w:rsidP="000B198B"/>
        </w:tc>
      </w:tr>
    </w:tbl>
    <w:p w14:paraId="65C7208C" w14:textId="77777777" w:rsidR="00751905" w:rsidRPr="008D0AC6" w:rsidRDefault="00751905" w:rsidP="00751905">
      <w:pPr>
        <w:pStyle w:val="Heading1"/>
        <w:spacing w:before="240"/>
        <w:rPr>
          <w:b w:val="0"/>
          <w:bCs/>
          <w:color w:val="B21936"/>
        </w:rPr>
      </w:pPr>
      <w:r w:rsidRPr="321D5E83">
        <w:rPr>
          <w:bCs/>
          <w:color w:val="B21936"/>
        </w:rPr>
        <w:t xml:space="preserve">Invitation to Offer / Request for Proposal number: </w:t>
      </w:r>
      <w:r w:rsidRPr="321D5E83">
        <w:rPr>
          <w:bCs/>
          <w:color w:val="B21936"/>
          <w:highlight w:val="yellow"/>
        </w:rPr>
        <w:t>[insert ITO/RFP ref. and title]</w:t>
      </w:r>
    </w:p>
    <w:p w14:paraId="2338931F" w14:textId="77777777" w:rsidR="00751905" w:rsidRPr="004B5901" w:rsidRDefault="00751905" w:rsidP="00751905">
      <w:pPr>
        <w:spacing w:after="0"/>
      </w:pPr>
      <w:bookmarkStart w:id="1" w:name="_Hlk136440258"/>
      <w:r w:rsidRPr="004B5901">
        <w:t>I,</w:t>
      </w:r>
      <w:r>
        <w:t xml:space="preserve"> </w:t>
      </w:r>
      <w:r>
        <w:fldChar w:fldCharType="begin">
          <w:ffData>
            <w:name w:val=""/>
            <w:enabled/>
            <w:calcOnExit w:val="0"/>
            <w:statusText w:type="text" w:val="Name of Purchasing officer on evaluation team"/>
            <w:textInput>
              <w:default w:val="......................................................."/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</w:t>
      </w:r>
      <w:r>
        <w:fldChar w:fldCharType="end"/>
      </w:r>
      <w:r w:rsidRPr="004B5901">
        <w:t xml:space="preserve">, </w:t>
      </w:r>
      <w:r>
        <w:fldChar w:fldCharType="begin">
          <w:ffData>
            <w:name w:val=""/>
            <w:enabled/>
            <w:calcOnExit w:val="0"/>
            <w:statusText w:type="text" w:val="Name of Purchasing officer on evaluation team"/>
            <w:textInput>
              <w:default w:val="......................................................."/>
              <w:format w:val="FIRST CAPITAL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</w:t>
      </w:r>
      <w:r>
        <w:fldChar w:fldCharType="end"/>
      </w:r>
      <w:r w:rsidRPr="004B5901">
        <w:t>, acknowledge the following:</w:t>
      </w:r>
    </w:p>
    <w:p w14:paraId="4C70D431" w14:textId="77777777" w:rsidR="00751905" w:rsidRPr="008D0AC6" w:rsidRDefault="00751905" w:rsidP="00751905">
      <w:pPr>
        <w:tabs>
          <w:tab w:val="left" w:pos="426"/>
          <w:tab w:val="left" w:pos="3686"/>
        </w:tabs>
        <w:spacing w:line="240" w:lineRule="auto"/>
        <w:rPr>
          <w:bCs/>
          <w:sz w:val="16"/>
          <w:szCs w:val="18"/>
        </w:rPr>
      </w:pPr>
      <w:r>
        <w:rPr>
          <w:bCs/>
          <w:sz w:val="16"/>
          <w:szCs w:val="18"/>
        </w:rPr>
        <w:tab/>
      </w:r>
      <w:r w:rsidRPr="008D0AC6">
        <w:rPr>
          <w:bCs/>
          <w:sz w:val="16"/>
          <w:szCs w:val="18"/>
        </w:rPr>
        <w:t>(Full Name)</w:t>
      </w:r>
      <w:r w:rsidRPr="008D0AC6">
        <w:rPr>
          <w:bCs/>
          <w:sz w:val="16"/>
          <w:szCs w:val="18"/>
        </w:rPr>
        <w:tab/>
        <w:t>(Position)</w:t>
      </w:r>
    </w:p>
    <w:p w14:paraId="1F894407" w14:textId="77777777" w:rsidR="00751905" w:rsidRPr="00351AE7" w:rsidRDefault="00751905" w:rsidP="00751905">
      <w:pPr>
        <w:pStyle w:val="Heading2"/>
        <w:rPr>
          <w:b/>
          <w:bCs/>
        </w:rPr>
      </w:pPr>
      <w:bookmarkStart w:id="2" w:name="_Toc456012592"/>
      <w:bookmarkStart w:id="3" w:name="_Toc308697038"/>
      <w:bookmarkEnd w:id="1"/>
      <w:r w:rsidRPr="00351AE7">
        <w:rPr>
          <w:b/>
          <w:bCs/>
        </w:rPr>
        <w:t>Background</w:t>
      </w:r>
    </w:p>
    <w:p w14:paraId="70038D6B" w14:textId="77777777" w:rsidR="00751905" w:rsidRDefault="00751905" w:rsidP="00751905">
      <w:pPr>
        <w:numPr>
          <w:ilvl w:val="1"/>
          <w:numId w:val="9"/>
        </w:numPr>
        <w:spacing w:before="60" w:after="60"/>
        <w:ind w:left="567" w:hanging="567"/>
      </w:pPr>
      <w:r w:rsidRPr="004B5901">
        <w:t xml:space="preserve">In the course of performing services for the </w:t>
      </w:r>
      <w:r>
        <w:t xml:space="preserve">State of </w:t>
      </w:r>
      <w:r w:rsidRPr="004B5901">
        <w:t>Queensland</w:t>
      </w:r>
      <w:r>
        <w:t xml:space="preserve"> (acting through</w:t>
      </w:r>
      <w:r w:rsidRPr="004B5901">
        <w:t xml:space="preserve"> Department of </w:t>
      </w:r>
      <w:r>
        <w:rPr>
          <w:highlight w:val="yellow"/>
        </w:rPr>
        <w:t>[</w:t>
      </w:r>
      <w:r w:rsidRPr="00963C4C">
        <w:rPr>
          <w:highlight w:val="yellow"/>
        </w:rPr>
        <w:t>Insert Department Name</w:t>
      </w:r>
      <w:r>
        <w:t>])</w:t>
      </w:r>
      <w:r w:rsidRPr="004B5901">
        <w:t xml:space="preserve"> ("the </w:t>
      </w:r>
      <w:r w:rsidRPr="00BC6DD6">
        <w:rPr>
          <w:b/>
          <w:bCs/>
        </w:rPr>
        <w:t>Department</w:t>
      </w:r>
      <w:r w:rsidRPr="004B5901">
        <w:t xml:space="preserve">"), relating to the procurement process for the </w:t>
      </w:r>
      <w:r>
        <w:t>[</w:t>
      </w:r>
      <w:r w:rsidRPr="00E36AAF">
        <w:rPr>
          <w:highlight w:val="yellow"/>
        </w:rPr>
        <w:t>Invitation to Offer (ITO) / Request for Proposal (RFP)</w:t>
      </w:r>
      <w:r>
        <w:t>]</w:t>
      </w:r>
      <w:r w:rsidRPr="004B5901">
        <w:t xml:space="preserve"> which may include but is not limited to the development of </w:t>
      </w:r>
      <w:r>
        <w:t>the ITO/RFP</w:t>
      </w:r>
      <w:r w:rsidRPr="004B5901">
        <w:t xml:space="preserve"> </w:t>
      </w:r>
      <w:r>
        <w:t xml:space="preserve">and its </w:t>
      </w:r>
      <w:r w:rsidRPr="004B5901">
        <w:t>specifications</w:t>
      </w:r>
      <w:r>
        <w:t>, communication with suppliers in relation to the ITO/RFP,</w:t>
      </w:r>
      <w:r w:rsidRPr="004B5901">
        <w:t xml:space="preserve"> </w:t>
      </w:r>
      <w:r>
        <w:t xml:space="preserve">inviting, </w:t>
      </w:r>
      <w:r w:rsidRPr="004B5901">
        <w:t>evaluati</w:t>
      </w:r>
      <w:r>
        <w:t>ng, negotiating</w:t>
      </w:r>
      <w:r w:rsidRPr="004B5901">
        <w:t xml:space="preserve"> offers</w:t>
      </w:r>
      <w:r>
        <w:t>/proposals and the subsequent acceptance or rejection of offers/proposals (‘Services’)</w:t>
      </w:r>
      <w:r w:rsidRPr="004B5901">
        <w:t>, I will or may have access to</w:t>
      </w:r>
      <w:r>
        <w:t>:</w:t>
      </w:r>
    </w:p>
    <w:p w14:paraId="535529A5" w14:textId="5733A470" w:rsidR="00751905" w:rsidRDefault="00751905" w:rsidP="00751905">
      <w:pPr>
        <w:numPr>
          <w:ilvl w:val="4"/>
          <w:numId w:val="9"/>
        </w:numPr>
        <w:spacing w:before="60" w:after="60"/>
      </w:pPr>
      <w:r w:rsidRPr="004B5901">
        <w:t xml:space="preserve">Confidential </w:t>
      </w:r>
      <w:proofErr w:type="gramStart"/>
      <w:r w:rsidRPr="004B5901">
        <w:t>Information</w:t>
      </w:r>
      <w:r>
        <w:t>;</w:t>
      </w:r>
      <w:proofErr w:type="gramEnd"/>
    </w:p>
    <w:p w14:paraId="052B8ED0" w14:textId="77777777" w:rsidR="00751905" w:rsidRDefault="00751905" w:rsidP="00751905">
      <w:pPr>
        <w:numPr>
          <w:ilvl w:val="4"/>
          <w:numId w:val="9"/>
        </w:numPr>
        <w:spacing w:before="60" w:after="60"/>
      </w:pPr>
      <w:r w:rsidRPr="004B5901">
        <w:t>Personal Information</w:t>
      </w:r>
      <w:r>
        <w:t>; and/or</w:t>
      </w:r>
    </w:p>
    <w:p w14:paraId="73127C4E" w14:textId="77777777" w:rsidR="00751905" w:rsidRPr="004B5901" w:rsidRDefault="00751905" w:rsidP="00751905">
      <w:pPr>
        <w:numPr>
          <w:ilvl w:val="4"/>
          <w:numId w:val="9"/>
        </w:numPr>
        <w:spacing w:before="60" w:after="60"/>
      </w:pPr>
      <w:r>
        <w:t>information that could give rise to a Conflict of Interest.</w:t>
      </w:r>
    </w:p>
    <w:p w14:paraId="2737A5C3" w14:textId="77777777" w:rsidR="00751905" w:rsidRDefault="00751905" w:rsidP="00751905">
      <w:pPr>
        <w:numPr>
          <w:ilvl w:val="1"/>
          <w:numId w:val="9"/>
        </w:numPr>
        <w:spacing w:before="60" w:after="60"/>
        <w:ind w:left="567" w:hanging="567"/>
      </w:pPr>
      <w:r w:rsidRPr="004B5901">
        <w:t xml:space="preserve">In performing the </w:t>
      </w:r>
      <w:r>
        <w:t>S</w:t>
      </w:r>
      <w:r w:rsidRPr="004B5901">
        <w:t xml:space="preserve">ervices, </w:t>
      </w:r>
      <w:r>
        <w:t xml:space="preserve">the improper use or disclosure by me of Confidential Information and/or Personal Information </w:t>
      </w:r>
      <w:r w:rsidRPr="004B5901">
        <w:t>could jeopardise or invalidate the procurement process, including the evaluation of offers</w:t>
      </w:r>
      <w:r>
        <w:t>/proposals</w:t>
      </w:r>
      <w:r w:rsidRPr="004B5901">
        <w:t>, and may adversely affect the Department's ability to perform its functions or exercise its powers</w:t>
      </w:r>
      <w:r>
        <w:t>, and has the potential to damage the Department’s reputation</w:t>
      </w:r>
      <w:r w:rsidRPr="004B5901">
        <w:t>.</w:t>
      </w:r>
    </w:p>
    <w:p w14:paraId="30249856" w14:textId="77777777" w:rsidR="00751905" w:rsidRPr="009463A8" w:rsidRDefault="00751905" w:rsidP="009463A8">
      <w:pPr>
        <w:pStyle w:val="Heading3"/>
        <w:rPr>
          <w:b w:val="0"/>
          <w:sz w:val="28"/>
          <w:szCs w:val="28"/>
        </w:rPr>
      </w:pPr>
      <w:r w:rsidRPr="009463A8">
        <w:rPr>
          <w:sz w:val="28"/>
          <w:szCs w:val="28"/>
        </w:rPr>
        <w:t xml:space="preserve">Acknowledgment of Obligations </w:t>
      </w:r>
    </w:p>
    <w:p w14:paraId="06F4E68D" w14:textId="77777777" w:rsidR="00751905" w:rsidRPr="004B5901" w:rsidRDefault="00751905" w:rsidP="00751905">
      <w:pPr>
        <w:numPr>
          <w:ilvl w:val="1"/>
          <w:numId w:val="9"/>
        </w:numPr>
        <w:spacing w:before="60" w:after="60"/>
        <w:ind w:left="567" w:hanging="567"/>
      </w:pPr>
      <w:r>
        <w:t xml:space="preserve">I am aware that the access, use and disclosure of Personal Information provided by or on behalf of the Department or a supplier is subject to the </w:t>
      </w:r>
      <w:r w:rsidRPr="00BC6DD6">
        <w:rPr>
          <w:i/>
          <w:iCs/>
        </w:rPr>
        <w:t>Information Privacy Act 2009</w:t>
      </w:r>
      <w:r>
        <w:t xml:space="preserve"> (Qld).</w:t>
      </w:r>
    </w:p>
    <w:p w14:paraId="7C3D5163" w14:textId="77777777" w:rsidR="00751905" w:rsidRPr="004B5901" w:rsidRDefault="00751905" w:rsidP="00751905">
      <w:pPr>
        <w:numPr>
          <w:ilvl w:val="1"/>
          <w:numId w:val="9"/>
        </w:numPr>
        <w:spacing w:before="60" w:after="0"/>
        <w:ind w:left="567" w:hanging="567"/>
      </w:pPr>
      <w:r>
        <w:t xml:space="preserve">While performing the Services, I acknowledge that I will: </w:t>
      </w:r>
    </w:p>
    <w:p w14:paraId="57683C93" w14:textId="77777777" w:rsidR="00751905" w:rsidRPr="004B5901" w:rsidRDefault="00751905" w:rsidP="00751905">
      <w:pPr>
        <w:numPr>
          <w:ilvl w:val="2"/>
          <w:numId w:val="10"/>
        </w:numPr>
        <w:spacing w:after="0"/>
        <w:ind w:left="992" w:hanging="425"/>
      </w:pPr>
      <w:r w:rsidRPr="004B5901">
        <w:t xml:space="preserve">act honestly and </w:t>
      </w:r>
      <w:proofErr w:type="gramStart"/>
      <w:r w:rsidRPr="004B5901">
        <w:t>impartially</w:t>
      </w:r>
      <w:r>
        <w:t>;</w:t>
      </w:r>
      <w:proofErr w:type="gramEnd"/>
    </w:p>
    <w:p w14:paraId="54E8A5BF" w14:textId="77777777" w:rsidR="00751905" w:rsidRPr="004B5901" w:rsidRDefault="00751905" w:rsidP="00751905">
      <w:pPr>
        <w:numPr>
          <w:ilvl w:val="2"/>
          <w:numId w:val="10"/>
        </w:numPr>
        <w:spacing w:after="0"/>
        <w:ind w:left="992" w:hanging="425"/>
      </w:pPr>
      <w:r w:rsidRPr="004B5901">
        <w:t>not breach any trust placed in me</w:t>
      </w:r>
      <w:r>
        <w:t>;</w:t>
      </w:r>
      <w:r w:rsidRPr="004B5901">
        <w:t xml:space="preserve"> and</w:t>
      </w:r>
    </w:p>
    <w:p w14:paraId="7C2B8220" w14:textId="77777777" w:rsidR="00751905" w:rsidRPr="004B5901" w:rsidRDefault="00751905" w:rsidP="00751905">
      <w:pPr>
        <w:numPr>
          <w:ilvl w:val="2"/>
          <w:numId w:val="10"/>
        </w:numPr>
        <w:spacing w:after="60"/>
        <w:ind w:left="992" w:hanging="425"/>
      </w:pPr>
      <w:r w:rsidRPr="004B5901">
        <w:lastRenderedPageBreak/>
        <w:t xml:space="preserve">not misuse Confidential Information </w:t>
      </w:r>
      <w:r>
        <w:t>and/</w:t>
      </w:r>
      <w:r w:rsidRPr="004B5901">
        <w:t>or Personal Information</w:t>
      </w:r>
      <w:r>
        <w:t xml:space="preserve"> and/or any other information/material obtained by me </w:t>
      </w:r>
      <w:proofErr w:type="gramStart"/>
      <w:r>
        <w:t>in the course of</w:t>
      </w:r>
      <w:proofErr w:type="gramEnd"/>
      <w:r>
        <w:t xml:space="preserve"> performing the Services</w:t>
      </w:r>
      <w:r w:rsidRPr="004B5901">
        <w:t>.</w:t>
      </w:r>
    </w:p>
    <w:p w14:paraId="2C2BFB7D" w14:textId="77777777" w:rsidR="00751905" w:rsidRDefault="00751905" w:rsidP="00751905">
      <w:pPr>
        <w:numPr>
          <w:ilvl w:val="1"/>
          <w:numId w:val="9"/>
        </w:numPr>
        <w:spacing w:before="60" w:after="60"/>
        <w:ind w:left="567" w:hanging="567"/>
      </w:pPr>
      <w:r>
        <w:t xml:space="preserve">I </w:t>
      </w:r>
      <w:r w:rsidRPr="007B6A15">
        <w:t xml:space="preserve">acknowledge </w:t>
      </w:r>
      <w:r w:rsidRPr="007623DB">
        <w:t xml:space="preserve">my obligations under the </w:t>
      </w:r>
      <w:bookmarkStart w:id="4" w:name="_Hlk158621941"/>
      <w:r w:rsidRPr="007623DB">
        <w:rPr>
          <w:i/>
          <w:iCs/>
        </w:rPr>
        <w:t>Code of Conduct for the Queensland Public Service</w:t>
      </w:r>
      <w:r>
        <w:rPr>
          <w:i/>
          <w:iCs/>
        </w:rPr>
        <w:t xml:space="preserve"> </w:t>
      </w:r>
      <w:bookmarkEnd w:id="4"/>
      <w:r w:rsidRPr="007623DB">
        <w:t>when performing the Services</w:t>
      </w:r>
      <w:r>
        <w:t>.</w:t>
      </w:r>
      <w:r w:rsidRPr="007623DB">
        <w:t xml:space="preserve"> </w:t>
      </w:r>
    </w:p>
    <w:p w14:paraId="2E5BB99C" w14:textId="77777777" w:rsidR="00751905" w:rsidRDefault="00751905" w:rsidP="00751905">
      <w:pPr>
        <w:numPr>
          <w:ilvl w:val="1"/>
          <w:numId w:val="9"/>
        </w:numPr>
        <w:spacing w:before="60" w:after="60"/>
        <w:ind w:left="567" w:hanging="567"/>
      </w:pPr>
      <w:r w:rsidRPr="004B5901">
        <w:t>I acknowledge that I have a continuing obligation not to disclose Confidential Information or Personal Information</w:t>
      </w:r>
      <w:r>
        <w:t xml:space="preserve"> that</w:t>
      </w:r>
      <w:r w:rsidRPr="004B5901">
        <w:t xml:space="preserve"> I obtain</w:t>
      </w:r>
      <w:r>
        <w:t>,</w:t>
      </w:r>
      <w:r w:rsidRPr="004B5901">
        <w:t xml:space="preserve"> to any </w:t>
      </w:r>
      <w:r>
        <w:t xml:space="preserve">entity or individual </w:t>
      </w:r>
      <w:r w:rsidRPr="004B5901">
        <w:t>during</w:t>
      </w:r>
      <w:r>
        <w:t xml:space="preserve"> or after</w:t>
      </w:r>
      <w:r w:rsidRPr="004B5901">
        <w:t xml:space="preserve"> the performance of the </w:t>
      </w:r>
      <w:r>
        <w:t>S</w:t>
      </w:r>
      <w:r w:rsidRPr="004B5901">
        <w:t>ervices</w:t>
      </w:r>
      <w:r>
        <w:t>,</w:t>
      </w:r>
      <w:r w:rsidRPr="004B5901">
        <w:t xml:space="preserve"> other than in pursuance of the discharge of my responsibilities to the Department</w:t>
      </w:r>
      <w:r>
        <w:t>,</w:t>
      </w:r>
      <w:r w:rsidRPr="004B5901">
        <w:t xml:space="preserve"> or where required or authorised by law to do so.</w:t>
      </w:r>
    </w:p>
    <w:p w14:paraId="0FEC6F4A" w14:textId="635ED199" w:rsidR="00751905" w:rsidRPr="00351AE7" w:rsidRDefault="00751905" w:rsidP="00751905">
      <w:pPr>
        <w:numPr>
          <w:ilvl w:val="1"/>
          <w:numId w:val="9"/>
        </w:numPr>
        <w:spacing w:before="60" w:after="60"/>
        <w:ind w:left="567" w:hanging="567"/>
      </w:pPr>
      <w:r w:rsidRPr="00351AE7">
        <w:rPr>
          <w:bCs/>
        </w:rPr>
        <w:t xml:space="preserve">I acknowledge that a Conflict of Interest involves a conflict between my duty </w:t>
      </w:r>
      <w:proofErr w:type="gramStart"/>
      <w:r w:rsidRPr="00351AE7">
        <w:rPr>
          <w:bCs/>
        </w:rPr>
        <w:t>in the course of</w:t>
      </w:r>
      <w:proofErr w:type="gramEnd"/>
      <w:r w:rsidRPr="00351AE7">
        <w:rPr>
          <w:bCs/>
        </w:rPr>
        <w:t xml:space="preserve"> performing </w:t>
      </w:r>
      <w:r>
        <w:rPr>
          <w:bCs/>
        </w:rPr>
        <w:t>the S</w:t>
      </w:r>
      <w:r w:rsidRPr="00351AE7">
        <w:rPr>
          <w:bCs/>
        </w:rPr>
        <w:t xml:space="preserve">ervices (including public interest) and my personal interests. </w:t>
      </w:r>
      <w:r w:rsidR="00271330">
        <w:rPr>
          <w:bCs/>
        </w:rPr>
        <w:t>A</w:t>
      </w:r>
      <w:r w:rsidR="00271330" w:rsidRPr="00351AE7">
        <w:rPr>
          <w:bCs/>
        </w:rPr>
        <w:t xml:space="preserve"> </w:t>
      </w:r>
      <w:r w:rsidRPr="00351AE7">
        <w:rPr>
          <w:bCs/>
        </w:rPr>
        <w:t>conflict may arise from a range of factors including</w:t>
      </w:r>
      <w:r>
        <w:rPr>
          <w:bCs/>
        </w:rPr>
        <w:t>, but not limited to,</w:t>
      </w:r>
      <w:r w:rsidRPr="00351AE7">
        <w:rPr>
          <w:bCs/>
        </w:rPr>
        <w:t xml:space="preserve"> my personal relationships, my employment, my membership of special interest group or my ownership of shares, companies </w:t>
      </w:r>
      <w:r w:rsidR="00271330">
        <w:rPr>
          <w:bCs/>
        </w:rPr>
        <w:t>and/</w:t>
      </w:r>
      <w:r w:rsidRPr="00351AE7">
        <w:rPr>
          <w:bCs/>
        </w:rPr>
        <w:t>or property.</w:t>
      </w:r>
    </w:p>
    <w:p w14:paraId="7C7626A5" w14:textId="77777777" w:rsidR="00751905" w:rsidRPr="007047E9" w:rsidRDefault="00751905" w:rsidP="00751905">
      <w:pPr>
        <w:numPr>
          <w:ilvl w:val="1"/>
          <w:numId w:val="9"/>
        </w:numPr>
        <w:spacing w:before="60" w:after="60"/>
        <w:ind w:left="567" w:hanging="567"/>
        <w:rPr>
          <w:bCs/>
        </w:rPr>
      </w:pPr>
      <w:r w:rsidRPr="007047E9">
        <w:rPr>
          <w:bCs/>
        </w:rPr>
        <w:t xml:space="preserve">I undertake that I shall not engage in any activity or obtain any interest likely to conflict with my duties in connection with the Services. </w:t>
      </w:r>
    </w:p>
    <w:p w14:paraId="5BB5940E" w14:textId="77777777" w:rsidR="00751905" w:rsidRPr="007623DB" w:rsidRDefault="00751905" w:rsidP="00751905">
      <w:pPr>
        <w:numPr>
          <w:ilvl w:val="1"/>
          <w:numId w:val="9"/>
        </w:numPr>
        <w:spacing w:before="60" w:after="60"/>
        <w:ind w:left="567" w:hanging="567"/>
        <w:rPr>
          <w:bCs/>
        </w:rPr>
      </w:pPr>
      <w:r w:rsidRPr="007623DB">
        <w:rPr>
          <w:bCs/>
        </w:rPr>
        <w:t xml:space="preserve">If a Conflict of Interest occurs or arises </w:t>
      </w:r>
      <w:proofErr w:type="gramStart"/>
      <w:r w:rsidRPr="007623DB">
        <w:rPr>
          <w:bCs/>
        </w:rPr>
        <w:t>during the course of</w:t>
      </w:r>
      <w:proofErr w:type="gramEnd"/>
      <w:r w:rsidRPr="007623DB">
        <w:rPr>
          <w:bCs/>
        </w:rPr>
        <w:t xml:space="preserve"> performing the Services, I </w:t>
      </w:r>
      <w:r w:rsidRPr="00481536">
        <w:rPr>
          <w:bCs/>
        </w:rPr>
        <w:t>acknowledge my obligation to</w:t>
      </w:r>
      <w:r w:rsidRPr="007623DB">
        <w:rPr>
          <w:bCs/>
        </w:rPr>
        <w:t>:</w:t>
      </w:r>
    </w:p>
    <w:p w14:paraId="5FFDD0B3" w14:textId="77777777" w:rsidR="00751905" w:rsidRPr="007623DB" w:rsidRDefault="00751905" w:rsidP="00751905">
      <w:pPr>
        <w:numPr>
          <w:ilvl w:val="2"/>
          <w:numId w:val="10"/>
        </w:numPr>
        <w:spacing w:after="0"/>
        <w:ind w:left="992" w:hanging="425"/>
        <w:rPr>
          <w:bCs/>
        </w:rPr>
      </w:pPr>
      <w:r w:rsidRPr="007623DB">
        <w:rPr>
          <w:bCs/>
        </w:rPr>
        <w:t>immediately disclose the conflict to the Department (through the nominated procurement officer</w:t>
      </w:r>
      <w:proofErr w:type="gramStart"/>
      <w:r w:rsidRPr="007623DB">
        <w:rPr>
          <w:bCs/>
        </w:rPr>
        <w:t>)</w:t>
      </w:r>
      <w:r>
        <w:rPr>
          <w:bCs/>
        </w:rPr>
        <w:t>;</w:t>
      </w:r>
      <w:proofErr w:type="gramEnd"/>
    </w:p>
    <w:p w14:paraId="273C4749" w14:textId="77F187E5" w:rsidR="00751905" w:rsidRPr="007623DB" w:rsidRDefault="00751905" w:rsidP="00751905">
      <w:pPr>
        <w:numPr>
          <w:ilvl w:val="2"/>
          <w:numId w:val="10"/>
        </w:numPr>
        <w:spacing w:after="0"/>
        <w:ind w:left="992" w:hanging="425"/>
      </w:pPr>
      <w:r w:rsidRPr="007623DB">
        <w:rPr>
          <w:bCs/>
        </w:rPr>
        <w:t>refrain from taking action or</w:t>
      </w:r>
      <w:r w:rsidRPr="00481536">
        <w:t xml:space="preserve"> further action in relation to the</w:t>
      </w:r>
      <w:r>
        <w:t xml:space="preserve"> matter the subject of the Conflict of Interest, </w:t>
      </w:r>
      <w:r w:rsidRPr="00481536">
        <w:t xml:space="preserve">unless authorised </w:t>
      </w:r>
      <w:r>
        <w:t xml:space="preserve">by the appropriate </w:t>
      </w:r>
      <w:r w:rsidR="00AA2126">
        <w:t xml:space="preserve">Departmental </w:t>
      </w:r>
      <w:proofErr w:type="gramStart"/>
      <w:r w:rsidRPr="00481536">
        <w:t>delegate</w:t>
      </w:r>
      <w:r>
        <w:t>;</w:t>
      </w:r>
      <w:proofErr w:type="gramEnd"/>
    </w:p>
    <w:p w14:paraId="4E877058" w14:textId="77777777" w:rsidR="00751905" w:rsidRDefault="00751905" w:rsidP="00751905">
      <w:pPr>
        <w:numPr>
          <w:ilvl w:val="2"/>
          <w:numId w:val="10"/>
        </w:numPr>
        <w:spacing w:after="0"/>
        <w:ind w:left="992" w:hanging="425"/>
        <w:rPr>
          <w:bCs/>
        </w:rPr>
      </w:pPr>
      <w:r w:rsidRPr="007623DB">
        <w:rPr>
          <w:bCs/>
        </w:rPr>
        <w:t xml:space="preserve">ensure that any Conflict of Interest is </w:t>
      </w:r>
      <w:r w:rsidRPr="00481536">
        <w:rPr>
          <w:bCs/>
        </w:rPr>
        <w:t>resolved and/or appropriately managed in favour of the public interest</w:t>
      </w:r>
      <w:r>
        <w:rPr>
          <w:bCs/>
        </w:rPr>
        <w:t>; and</w:t>
      </w:r>
    </w:p>
    <w:p w14:paraId="3CEDBBFB" w14:textId="77777777" w:rsidR="00751905" w:rsidRPr="00481536" w:rsidRDefault="00751905" w:rsidP="00751905">
      <w:pPr>
        <w:numPr>
          <w:ilvl w:val="2"/>
          <w:numId w:val="10"/>
        </w:numPr>
        <w:spacing w:after="0"/>
        <w:ind w:left="992" w:hanging="425"/>
        <w:rPr>
          <w:bCs/>
        </w:rPr>
      </w:pPr>
      <w:r>
        <w:rPr>
          <w:bCs/>
        </w:rPr>
        <w:t xml:space="preserve">monitor the Conflict of Interest and report any changes to the Department. </w:t>
      </w:r>
    </w:p>
    <w:p w14:paraId="07516820" w14:textId="77777777" w:rsidR="00751905" w:rsidRDefault="00751905" w:rsidP="00751905">
      <w:pPr>
        <w:numPr>
          <w:ilvl w:val="1"/>
          <w:numId w:val="9"/>
        </w:numPr>
        <w:spacing w:before="60" w:after="60"/>
        <w:ind w:left="567" w:hanging="567"/>
      </w:pPr>
      <w:r>
        <w:t>I agree to comply with all reasonable and lawful directions of the Department including, without limitation:</w:t>
      </w:r>
    </w:p>
    <w:p w14:paraId="5914423B" w14:textId="77777777" w:rsidR="00751905" w:rsidRDefault="00751905" w:rsidP="00751905">
      <w:pPr>
        <w:numPr>
          <w:ilvl w:val="2"/>
          <w:numId w:val="9"/>
        </w:numPr>
        <w:spacing w:before="60" w:after="60"/>
      </w:pPr>
      <w:r>
        <w:t xml:space="preserve">any directions regarding the accessing, use, handling, disclosure, storage, securing and return of Confidential Information and Personal Information; and </w:t>
      </w:r>
    </w:p>
    <w:p w14:paraId="793DAA85" w14:textId="77777777" w:rsidR="00751905" w:rsidRDefault="00751905" w:rsidP="00751905">
      <w:pPr>
        <w:numPr>
          <w:ilvl w:val="2"/>
          <w:numId w:val="9"/>
        </w:numPr>
        <w:spacing w:before="60" w:after="60"/>
      </w:pPr>
      <w:r>
        <w:t>any directions regarding the resolution and/or management of a Conflict of Interest.</w:t>
      </w:r>
    </w:p>
    <w:p w14:paraId="4DC3AF65" w14:textId="77777777" w:rsidR="00751905" w:rsidRPr="00C94BA8" w:rsidRDefault="00751905" w:rsidP="00751905">
      <w:pPr>
        <w:numPr>
          <w:ilvl w:val="1"/>
          <w:numId w:val="9"/>
        </w:numPr>
        <w:spacing w:before="60" w:after="60"/>
        <w:ind w:left="567" w:hanging="567"/>
      </w:pPr>
      <w:proofErr w:type="gramStart"/>
      <w:r w:rsidRPr="00C94BA8">
        <w:rPr>
          <w:bCs/>
        </w:rPr>
        <w:t>In the course of</w:t>
      </w:r>
      <w:proofErr w:type="gramEnd"/>
      <w:r w:rsidRPr="00C94BA8">
        <w:rPr>
          <w:bCs/>
        </w:rPr>
        <w:t xml:space="preserve"> </w:t>
      </w:r>
      <w:r w:rsidRPr="009F719B">
        <w:t>performing</w:t>
      </w:r>
      <w:r w:rsidRPr="00C94BA8">
        <w:rPr>
          <w:bCs/>
        </w:rPr>
        <w:t xml:space="preserve"> </w:t>
      </w:r>
      <w:r>
        <w:rPr>
          <w:bCs/>
        </w:rPr>
        <w:t xml:space="preserve">the </w:t>
      </w:r>
      <w:r w:rsidRPr="00C94BA8">
        <w:rPr>
          <w:bCs/>
        </w:rPr>
        <w:t>Services</w:t>
      </w:r>
      <w:r>
        <w:rPr>
          <w:bCs/>
        </w:rPr>
        <w:t>,</w:t>
      </w:r>
      <w:r w:rsidRPr="00C94BA8">
        <w:rPr>
          <w:bCs/>
        </w:rPr>
        <w:t xml:space="preserve"> I warrant that I will comply with: </w:t>
      </w:r>
    </w:p>
    <w:p w14:paraId="672C91ED" w14:textId="409D6D35" w:rsidR="00751905" w:rsidRDefault="00751905" w:rsidP="00751905">
      <w:pPr>
        <w:numPr>
          <w:ilvl w:val="2"/>
          <w:numId w:val="9"/>
        </w:numPr>
        <w:spacing w:before="60" w:after="60"/>
        <w:rPr>
          <w:bCs/>
        </w:rPr>
      </w:pPr>
      <w:r w:rsidRPr="009E5715">
        <w:rPr>
          <w:bCs/>
        </w:rPr>
        <w:t xml:space="preserve">Queensland </w:t>
      </w:r>
      <w:r w:rsidRPr="009F719B">
        <w:t>Government</w:t>
      </w:r>
      <w:r w:rsidRPr="009E5715">
        <w:rPr>
          <w:bCs/>
        </w:rPr>
        <w:t xml:space="preserve"> Supplier Code of Conduct </w:t>
      </w:r>
      <w:proofErr w:type="gramStart"/>
      <w:r w:rsidRPr="009E5715">
        <w:rPr>
          <w:bCs/>
        </w:rPr>
        <w:t>2023</w:t>
      </w:r>
      <w:r w:rsidR="00D06380">
        <w:rPr>
          <w:bCs/>
        </w:rPr>
        <w:t>;</w:t>
      </w:r>
      <w:proofErr w:type="gramEnd"/>
    </w:p>
    <w:p w14:paraId="3F477B3A" w14:textId="78F27C20" w:rsidR="0020798D" w:rsidRDefault="0020798D" w:rsidP="00751905">
      <w:pPr>
        <w:numPr>
          <w:ilvl w:val="2"/>
          <w:numId w:val="9"/>
        </w:numPr>
        <w:spacing w:before="60" w:after="60"/>
        <w:rPr>
          <w:bCs/>
        </w:rPr>
      </w:pPr>
      <w:r>
        <w:rPr>
          <w:bCs/>
        </w:rPr>
        <w:t>Queensland Procurement Policy 2023</w:t>
      </w:r>
    </w:p>
    <w:p w14:paraId="33E721F1" w14:textId="175F54DE" w:rsidR="00751905" w:rsidRPr="007047E9" w:rsidRDefault="00751905" w:rsidP="00751905">
      <w:pPr>
        <w:numPr>
          <w:ilvl w:val="2"/>
          <w:numId w:val="9"/>
        </w:numPr>
        <w:spacing w:before="60" w:after="60"/>
        <w:rPr>
          <w:bCs/>
        </w:rPr>
      </w:pPr>
      <w:r>
        <w:rPr>
          <w:bCs/>
        </w:rPr>
        <w:t xml:space="preserve">Queensland Government Ethical Supplier </w:t>
      </w:r>
      <w:r w:rsidRPr="009F719B">
        <w:t>Threshold</w:t>
      </w:r>
      <w:r>
        <w:rPr>
          <w:bCs/>
        </w:rPr>
        <w:t xml:space="preserve"> and </w:t>
      </w:r>
      <w:r w:rsidRPr="007047E9">
        <w:rPr>
          <w:bCs/>
        </w:rPr>
        <w:t xml:space="preserve">Ethical Supplier </w:t>
      </w:r>
      <w:proofErr w:type="gramStart"/>
      <w:r w:rsidRPr="007047E9">
        <w:rPr>
          <w:bCs/>
        </w:rPr>
        <w:t>Mandate</w:t>
      </w:r>
      <w:r w:rsidR="00D06380">
        <w:rPr>
          <w:bCs/>
        </w:rPr>
        <w:t>;</w:t>
      </w:r>
      <w:proofErr w:type="gramEnd"/>
    </w:p>
    <w:p w14:paraId="450DE328" w14:textId="4F18E6CC" w:rsidR="00751905" w:rsidRDefault="00751905" w:rsidP="00751905">
      <w:pPr>
        <w:numPr>
          <w:ilvl w:val="2"/>
          <w:numId w:val="9"/>
        </w:numPr>
        <w:spacing w:before="60" w:after="60"/>
        <w:rPr>
          <w:bCs/>
        </w:rPr>
      </w:pPr>
      <w:r w:rsidRPr="00833ADF">
        <w:rPr>
          <w:bCs/>
          <w:i/>
          <w:iCs/>
        </w:rPr>
        <w:t>Crime and Corruption Act 2001</w:t>
      </w:r>
      <w:r>
        <w:rPr>
          <w:bCs/>
        </w:rPr>
        <w:t xml:space="preserve"> (Qld</w:t>
      </w:r>
      <w:proofErr w:type="gramStart"/>
      <w:r>
        <w:rPr>
          <w:bCs/>
        </w:rPr>
        <w:t>)</w:t>
      </w:r>
      <w:r w:rsidR="00D06380">
        <w:rPr>
          <w:bCs/>
        </w:rPr>
        <w:t>;</w:t>
      </w:r>
      <w:proofErr w:type="gramEnd"/>
    </w:p>
    <w:p w14:paraId="40D04FBF" w14:textId="095AF8E7" w:rsidR="00751905" w:rsidRDefault="00751905" w:rsidP="00751905">
      <w:pPr>
        <w:numPr>
          <w:ilvl w:val="2"/>
          <w:numId w:val="9"/>
        </w:numPr>
        <w:spacing w:before="60" w:after="60"/>
        <w:rPr>
          <w:bCs/>
        </w:rPr>
      </w:pPr>
      <w:r w:rsidRPr="00833ADF">
        <w:rPr>
          <w:bCs/>
          <w:i/>
          <w:iCs/>
        </w:rPr>
        <w:t>Information Privacy Act 2009</w:t>
      </w:r>
      <w:r>
        <w:rPr>
          <w:bCs/>
        </w:rPr>
        <w:t xml:space="preserve"> (Qld</w:t>
      </w:r>
      <w:proofErr w:type="gramStart"/>
      <w:r>
        <w:rPr>
          <w:bCs/>
        </w:rPr>
        <w:t>)</w:t>
      </w:r>
      <w:r w:rsidR="00D06380">
        <w:rPr>
          <w:bCs/>
        </w:rPr>
        <w:t>;</w:t>
      </w:r>
      <w:proofErr w:type="gramEnd"/>
    </w:p>
    <w:p w14:paraId="1290208A" w14:textId="020B72C4" w:rsidR="00751905" w:rsidRDefault="00751905" w:rsidP="00751905">
      <w:pPr>
        <w:numPr>
          <w:ilvl w:val="2"/>
          <w:numId w:val="9"/>
        </w:numPr>
        <w:spacing w:before="60" w:after="60"/>
        <w:rPr>
          <w:bCs/>
        </w:rPr>
      </w:pPr>
      <w:r w:rsidRPr="00833ADF">
        <w:rPr>
          <w:bCs/>
          <w:i/>
          <w:iCs/>
        </w:rPr>
        <w:t>Privacy Act 1988</w:t>
      </w:r>
      <w:r>
        <w:rPr>
          <w:bCs/>
        </w:rPr>
        <w:t xml:space="preserve"> (</w:t>
      </w:r>
      <w:proofErr w:type="spellStart"/>
      <w:r>
        <w:rPr>
          <w:bCs/>
        </w:rPr>
        <w:t>Cth</w:t>
      </w:r>
      <w:proofErr w:type="spellEnd"/>
      <w:proofErr w:type="gramStart"/>
      <w:r>
        <w:rPr>
          <w:bCs/>
        </w:rPr>
        <w:t>)</w:t>
      </w:r>
      <w:r w:rsidR="00D06380">
        <w:rPr>
          <w:bCs/>
        </w:rPr>
        <w:t>;</w:t>
      </w:r>
      <w:proofErr w:type="gramEnd"/>
    </w:p>
    <w:p w14:paraId="3E3D12EB" w14:textId="0C3E6933" w:rsidR="00751905" w:rsidRDefault="00751905" w:rsidP="00751905">
      <w:pPr>
        <w:numPr>
          <w:ilvl w:val="2"/>
          <w:numId w:val="9"/>
        </w:numPr>
        <w:spacing w:before="60" w:after="60"/>
        <w:rPr>
          <w:bCs/>
        </w:rPr>
      </w:pPr>
      <w:r w:rsidRPr="005F58A7">
        <w:rPr>
          <w:bCs/>
          <w:i/>
          <w:iCs/>
        </w:rPr>
        <w:t xml:space="preserve">Disability Discrimination Act 1992 </w:t>
      </w:r>
      <w:r>
        <w:rPr>
          <w:bCs/>
        </w:rPr>
        <w:t>(</w:t>
      </w:r>
      <w:proofErr w:type="spellStart"/>
      <w:r>
        <w:rPr>
          <w:bCs/>
        </w:rPr>
        <w:t>Cth</w:t>
      </w:r>
      <w:proofErr w:type="spellEnd"/>
      <w:proofErr w:type="gramStart"/>
      <w:r>
        <w:rPr>
          <w:bCs/>
        </w:rPr>
        <w:t>)</w:t>
      </w:r>
      <w:r w:rsidR="00D06380">
        <w:rPr>
          <w:bCs/>
        </w:rPr>
        <w:t>;</w:t>
      </w:r>
      <w:proofErr w:type="gramEnd"/>
    </w:p>
    <w:p w14:paraId="480B9178" w14:textId="51569282" w:rsidR="00751905" w:rsidRDefault="00751905" w:rsidP="00751905">
      <w:pPr>
        <w:numPr>
          <w:ilvl w:val="2"/>
          <w:numId w:val="9"/>
        </w:numPr>
        <w:spacing w:before="60" w:after="60"/>
        <w:rPr>
          <w:bCs/>
        </w:rPr>
      </w:pPr>
      <w:r w:rsidRPr="005F58A7">
        <w:rPr>
          <w:bCs/>
          <w:i/>
          <w:iCs/>
        </w:rPr>
        <w:t>Modern Slavery Act 2018</w:t>
      </w:r>
      <w:r>
        <w:rPr>
          <w:bCs/>
        </w:rPr>
        <w:t xml:space="preserve"> (</w:t>
      </w:r>
      <w:proofErr w:type="spellStart"/>
      <w:r>
        <w:rPr>
          <w:bCs/>
        </w:rPr>
        <w:t>Cth</w:t>
      </w:r>
      <w:proofErr w:type="spellEnd"/>
      <w:r>
        <w:rPr>
          <w:bCs/>
        </w:rPr>
        <w:t>) (as applicable</w:t>
      </w:r>
      <w:proofErr w:type="gramStart"/>
      <w:r>
        <w:rPr>
          <w:bCs/>
        </w:rPr>
        <w:t>)</w:t>
      </w:r>
      <w:r w:rsidR="00D06380">
        <w:rPr>
          <w:bCs/>
        </w:rPr>
        <w:t>;</w:t>
      </w:r>
      <w:proofErr w:type="gramEnd"/>
    </w:p>
    <w:p w14:paraId="7ED88919" w14:textId="253BE2E1" w:rsidR="00751905" w:rsidRDefault="00751905" w:rsidP="00751905">
      <w:pPr>
        <w:numPr>
          <w:ilvl w:val="2"/>
          <w:numId w:val="9"/>
        </w:numPr>
        <w:spacing w:before="60" w:after="60"/>
        <w:rPr>
          <w:bCs/>
        </w:rPr>
      </w:pPr>
      <w:r w:rsidRPr="005F58A7">
        <w:rPr>
          <w:bCs/>
          <w:i/>
          <w:iCs/>
        </w:rPr>
        <w:t>Human Rights Act 2019</w:t>
      </w:r>
      <w:r>
        <w:rPr>
          <w:bCs/>
        </w:rPr>
        <w:t xml:space="preserve"> (Qld) (as applicable)</w:t>
      </w:r>
      <w:r w:rsidR="00D06380">
        <w:rPr>
          <w:bCs/>
        </w:rPr>
        <w:t>;</w:t>
      </w:r>
      <w:r>
        <w:rPr>
          <w:bCs/>
        </w:rPr>
        <w:t xml:space="preserve"> and</w:t>
      </w:r>
    </w:p>
    <w:p w14:paraId="5410827C" w14:textId="1B85699A" w:rsidR="00751905" w:rsidRPr="00AA56D6" w:rsidRDefault="00751905" w:rsidP="00751905">
      <w:pPr>
        <w:numPr>
          <w:ilvl w:val="2"/>
          <w:numId w:val="9"/>
        </w:numPr>
        <w:spacing w:before="60" w:after="60"/>
        <w:rPr>
          <w:highlight w:val="yellow"/>
        </w:rPr>
      </w:pPr>
      <w:r w:rsidRPr="00AA56D6">
        <w:rPr>
          <w:highlight w:val="yellow"/>
        </w:rPr>
        <w:t>&lt;</w:t>
      </w:r>
      <w:r w:rsidR="00D06380">
        <w:rPr>
          <w:highlight w:val="yellow"/>
        </w:rPr>
        <w:t xml:space="preserve">if relevant include </w:t>
      </w:r>
      <w:r w:rsidRPr="00AA56D6">
        <w:rPr>
          <w:highlight w:val="yellow"/>
        </w:rPr>
        <w:t xml:space="preserve">any other </w:t>
      </w:r>
      <w:r w:rsidRPr="00AA56D6">
        <w:rPr>
          <w:bCs/>
          <w:highlight w:val="yellow"/>
        </w:rPr>
        <w:t>policies</w:t>
      </w:r>
      <w:r w:rsidRPr="00AA56D6">
        <w:rPr>
          <w:highlight w:val="yellow"/>
        </w:rPr>
        <w:t xml:space="preserve"> or legislation as advised by the Department</w:t>
      </w:r>
      <w:r w:rsidR="00D06380">
        <w:rPr>
          <w:highlight w:val="yellow"/>
        </w:rPr>
        <w:t xml:space="preserve"> or delete </w:t>
      </w:r>
      <w:r w:rsidR="009463A8">
        <w:rPr>
          <w:highlight w:val="yellow"/>
        </w:rPr>
        <w:t xml:space="preserve">if </w:t>
      </w:r>
      <w:r w:rsidR="00D06380">
        <w:rPr>
          <w:highlight w:val="yellow"/>
        </w:rPr>
        <w:t>not required</w:t>
      </w:r>
      <w:r w:rsidRPr="00AA56D6">
        <w:rPr>
          <w:highlight w:val="yellow"/>
        </w:rPr>
        <w:t>&gt;</w:t>
      </w:r>
      <w:r>
        <w:rPr>
          <w:highlight w:val="yellow"/>
        </w:rPr>
        <w:t>.</w:t>
      </w:r>
    </w:p>
    <w:p w14:paraId="6EBDE022" w14:textId="670D9FB4" w:rsidR="0020798D" w:rsidRDefault="0020798D" w:rsidP="00751905">
      <w:pPr>
        <w:numPr>
          <w:ilvl w:val="1"/>
          <w:numId w:val="9"/>
        </w:numPr>
        <w:spacing w:before="60" w:after="60"/>
        <w:ind w:left="567" w:hanging="567"/>
      </w:pPr>
      <w:r>
        <w:t xml:space="preserve">I acknowledge that I must comply with all policies, codes of conduct, rules, </w:t>
      </w:r>
      <w:proofErr w:type="gramStart"/>
      <w:r>
        <w:t>standards</w:t>
      </w:r>
      <w:proofErr w:type="gramEnd"/>
      <w:r>
        <w:t xml:space="preserve"> and procedures </w:t>
      </w:r>
      <w:r w:rsidR="001446EE">
        <w:t xml:space="preserve">(‘policies’) </w:t>
      </w:r>
      <w:r>
        <w:t xml:space="preserve">which </w:t>
      </w:r>
      <w:r w:rsidR="001446EE">
        <w:t xml:space="preserve">relate to my obligations in </w:t>
      </w:r>
      <w:r>
        <w:t xml:space="preserve">performing </w:t>
      </w:r>
      <w:r w:rsidR="001446EE">
        <w:t xml:space="preserve">these </w:t>
      </w:r>
      <w:r>
        <w:t>Services. If any new policies are introduced, or amendments made to any existing policies</w:t>
      </w:r>
      <w:r w:rsidR="001446EE">
        <w:t xml:space="preserve"> which relate to my obligations in performing these Services, </w:t>
      </w:r>
      <w:r>
        <w:t>I will comply with the new or amended policies.</w:t>
      </w:r>
    </w:p>
    <w:p w14:paraId="186AB95F" w14:textId="057B8585" w:rsidR="00751905" w:rsidRPr="007623DB" w:rsidRDefault="00751905" w:rsidP="00751905">
      <w:pPr>
        <w:numPr>
          <w:ilvl w:val="1"/>
          <w:numId w:val="9"/>
        </w:numPr>
        <w:spacing w:before="60" w:after="60"/>
        <w:ind w:left="567" w:hanging="567"/>
        <w:rPr>
          <w:rStyle w:val="Hyperlink"/>
          <w:color w:val="auto"/>
          <w:u w:val="none"/>
        </w:rPr>
      </w:pPr>
      <w:r w:rsidRPr="009337C3">
        <w:lastRenderedPageBreak/>
        <w:t>I acknowledge and understand that any breach of the above may constitute “corrupt conduct”</w:t>
      </w:r>
      <w:r w:rsidRPr="009337C3">
        <w:rPr>
          <w:bCs/>
        </w:rPr>
        <w:t xml:space="preserve"> within the</w:t>
      </w:r>
      <w:r w:rsidRPr="009337C3">
        <w:t xml:space="preserve"> meaning of the</w:t>
      </w:r>
      <w:r w:rsidRPr="009337C3">
        <w:rPr>
          <w:i/>
        </w:rPr>
        <w:t xml:space="preserve"> </w:t>
      </w:r>
      <w:r w:rsidRPr="009337C3">
        <w:fldChar w:fldCharType="begin"/>
      </w:r>
      <w:r w:rsidRPr="009337C3">
        <w:instrText>HYPERLINK "https://www.legislation.qld.gov.au/view/pdf/inforce/current/act-2001-069"</w:instrText>
      </w:r>
      <w:r w:rsidRPr="009337C3">
        <w:fldChar w:fldCharType="separate"/>
      </w:r>
      <w:r w:rsidRPr="009337C3">
        <w:rPr>
          <w:rStyle w:val="Hyperlink"/>
          <w:i/>
          <w:iCs/>
        </w:rPr>
        <w:t xml:space="preserve">Crime and Corruption Act 2001 </w:t>
      </w:r>
      <w:hyperlink r:id="rId9" w:history="1">
        <w:r w:rsidRPr="007623DB">
          <w:t>and that a</w:t>
        </w:r>
        <w:r>
          <w:t xml:space="preserve">ny such conduct </w:t>
        </w:r>
        <w:r w:rsidRPr="007623DB">
          <w:t>may be referred to the Crime and Corruption Commission.</w:t>
        </w:r>
      </w:hyperlink>
    </w:p>
    <w:p w14:paraId="12732B6D" w14:textId="0AE24CCF" w:rsidR="00C96508" w:rsidRDefault="00751905" w:rsidP="00615535">
      <w:pPr>
        <w:spacing w:before="60" w:after="60"/>
        <w:rPr>
          <w:rFonts w:eastAsiaTheme="majorEastAsia" w:cstheme="majorBidi"/>
          <w:b/>
          <w:color w:val="000000" w:themeColor="text1"/>
        </w:rPr>
      </w:pPr>
      <w:r w:rsidRPr="009337C3">
        <w:rPr>
          <w:rStyle w:val="Hyperlink"/>
          <w:color w:val="auto"/>
          <w:u w:val="none"/>
        </w:rPr>
        <w:fldChar w:fldCharType="end"/>
      </w:r>
      <w:bookmarkEnd w:id="2"/>
      <w:bookmarkEnd w:id="3"/>
    </w:p>
    <w:p w14:paraId="3F090D94" w14:textId="77777777" w:rsidR="00A52149" w:rsidRPr="009463A8" w:rsidRDefault="00A52149" w:rsidP="00A52149">
      <w:pPr>
        <w:pStyle w:val="Heading3"/>
        <w:rPr>
          <w:sz w:val="28"/>
          <w:szCs w:val="28"/>
        </w:rPr>
      </w:pPr>
      <w:r w:rsidRPr="009463A8">
        <w:rPr>
          <w:sz w:val="28"/>
          <w:szCs w:val="28"/>
        </w:rPr>
        <w:t>Definitions and Interpretation</w:t>
      </w:r>
    </w:p>
    <w:p w14:paraId="595AB810" w14:textId="77777777" w:rsidR="00A52149" w:rsidRDefault="00A52149" w:rsidP="00A52149">
      <w:pPr>
        <w:numPr>
          <w:ilvl w:val="1"/>
          <w:numId w:val="9"/>
        </w:numPr>
        <w:spacing w:before="60" w:after="60"/>
        <w:ind w:left="567" w:hanging="567"/>
      </w:pPr>
      <w:r>
        <w:t>For the purposes of this Acknowledgment:</w:t>
      </w:r>
    </w:p>
    <w:p w14:paraId="08541ABA" w14:textId="77777777" w:rsidR="00A52149" w:rsidRPr="00E36AAF" w:rsidRDefault="00A52149" w:rsidP="00A52149">
      <w:pPr>
        <w:numPr>
          <w:ilvl w:val="2"/>
          <w:numId w:val="9"/>
        </w:numPr>
        <w:spacing w:before="60" w:after="60"/>
      </w:pPr>
      <w:r w:rsidRPr="00E36AAF">
        <w:rPr>
          <w:b/>
        </w:rPr>
        <w:t>Confidential Information</w:t>
      </w:r>
      <w:r w:rsidRPr="004B5901">
        <w:t xml:space="preserve"> </w:t>
      </w:r>
      <w:r w:rsidRPr="00E36AAF">
        <w:rPr>
          <w:rFonts w:eastAsia="Times New Roman" w:cs="Arial"/>
          <w:szCs w:val="20"/>
        </w:rPr>
        <w:t xml:space="preserve">means </w:t>
      </w:r>
      <w:r w:rsidRPr="007623DB">
        <w:t>all</w:t>
      </w:r>
      <w:r w:rsidRPr="00E36AAF">
        <w:rPr>
          <w:rFonts w:eastAsia="Times New Roman" w:cs="Arial"/>
          <w:szCs w:val="20"/>
        </w:rPr>
        <w:t xml:space="preserve"> information disclosed by or on behalf of the Department or a supplier in connection with the Services,</w:t>
      </w:r>
      <w:r w:rsidRPr="00E36AAF">
        <w:rPr>
          <w:rFonts w:eastAsia="Times New Roman" w:cs="Arial"/>
          <w:lang w:eastAsia="en-AU"/>
        </w:rPr>
        <w:t xml:space="preserve"> or created using that information, which is confidential in </w:t>
      </w:r>
      <w:r w:rsidRPr="00E36AAF">
        <w:rPr>
          <w:rFonts w:eastAsia="Times New Roman" w:cs="Arial"/>
          <w:szCs w:val="20"/>
        </w:rPr>
        <w:t>nature and designated as confidential, or which a reasonable person receiving the information would realise is sensitive or is confidential, and all information to the extent it is derived from that information</w:t>
      </w:r>
      <w:r>
        <w:rPr>
          <w:rFonts w:eastAsia="Times New Roman" w:cs="Arial"/>
          <w:szCs w:val="20"/>
        </w:rPr>
        <w:t>.</w:t>
      </w:r>
    </w:p>
    <w:p w14:paraId="1D920E0A" w14:textId="77777777" w:rsidR="00A52149" w:rsidRPr="00E36AAF" w:rsidRDefault="00A52149" w:rsidP="00A52149">
      <w:pPr>
        <w:numPr>
          <w:ilvl w:val="2"/>
          <w:numId w:val="9"/>
        </w:numPr>
        <w:spacing w:before="60" w:after="60"/>
      </w:pPr>
      <w:r w:rsidRPr="00E36AAF">
        <w:rPr>
          <w:b/>
          <w:bCs/>
        </w:rPr>
        <w:t xml:space="preserve">Conflict of Interest </w:t>
      </w:r>
      <w:r w:rsidRPr="00E36AAF">
        <w:rPr>
          <w:rFonts w:eastAsia="Times New Roman" w:cs="Arial"/>
        </w:rPr>
        <w:t xml:space="preserve">means having </w:t>
      </w:r>
      <w:r w:rsidRPr="00E36AAF">
        <w:rPr>
          <w:rFonts w:eastAsia="Times New Roman" w:cs="Arial"/>
          <w:szCs w:val="20"/>
        </w:rPr>
        <w:t>an</w:t>
      </w:r>
      <w:r w:rsidRPr="00E36AAF">
        <w:rPr>
          <w:rFonts w:eastAsia="Times New Roman" w:cs="Arial"/>
        </w:rPr>
        <w:t xml:space="preserve"> interest, affiliation or relationship, or owing an </w:t>
      </w:r>
      <w:proofErr w:type="gramStart"/>
      <w:r w:rsidRPr="00E36AAF">
        <w:rPr>
          <w:rFonts w:eastAsia="Times New Roman" w:cs="Arial"/>
        </w:rPr>
        <w:t>obligation (whether personal, financial, professional or otherwise) which conflicts</w:t>
      </w:r>
      <w:proofErr w:type="gramEnd"/>
      <w:r w:rsidRPr="00E36AAF">
        <w:rPr>
          <w:rFonts w:eastAsia="Times New Roman" w:cs="Arial"/>
        </w:rPr>
        <w:t xml:space="preserve">, may reasonably have the potential to conflict, or may reasonably </w:t>
      </w:r>
      <w:r w:rsidRPr="00E36AAF">
        <w:rPr>
          <w:rFonts w:eastAsia="Times New Roman" w:cs="Arial"/>
          <w:szCs w:val="20"/>
        </w:rPr>
        <w:t>be</w:t>
      </w:r>
      <w:r w:rsidRPr="00E36AAF">
        <w:rPr>
          <w:rFonts w:eastAsia="Times New Roman" w:cs="Arial"/>
        </w:rPr>
        <w:t xml:space="preserve"> perceived as conflicting, with my ability to perform the Services fairly and objectively.</w:t>
      </w:r>
    </w:p>
    <w:p w14:paraId="07315F84" w14:textId="77777777" w:rsidR="00A52149" w:rsidRPr="00AF0F43" w:rsidRDefault="00A52149" w:rsidP="00A52149">
      <w:pPr>
        <w:numPr>
          <w:ilvl w:val="2"/>
          <w:numId w:val="9"/>
        </w:numPr>
        <w:spacing w:before="60" w:after="60"/>
      </w:pPr>
      <w:r w:rsidRPr="00E36AAF">
        <w:rPr>
          <w:b/>
        </w:rPr>
        <w:t>Personal Information</w:t>
      </w:r>
      <w:r w:rsidRPr="004B5901">
        <w:t xml:space="preserve"> </w:t>
      </w:r>
      <w:r w:rsidRPr="00E36AAF">
        <w:rPr>
          <w:rFonts w:eastAsia="Times New Roman" w:cs="Arial"/>
        </w:rPr>
        <w:t>has the same meaning given:</w:t>
      </w:r>
    </w:p>
    <w:p w14:paraId="0C2A022E" w14:textId="77777777" w:rsidR="00A52149" w:rsidRPr="00AF0F43" w:rsidRDefault="00A52149" w:rsidP="00A52149">
      <w:pPr>
        <w:numPr>
          <w:ilvl w:val="3"/>
          <w:numId w:val="9"/>
        </w:numPr>
        <w:spacing w:before="60" w:after="60"/>
        <w:ind w:left="1276" w:hanging="283"/>
      </w:pPr>
      <w:r w:rsidRPr="00AF0F43">
        <w:rPr>
          <w:rFonts w:eastAsia="Times New Roman" w:cs="Arial"/>
        </w:rPr>
        <w:t xml:space="preserve">for the purpose of the </w:t>
      </w:r>
      <w:r w:rsidRPr="00AF0F43">
        <w:rPr>
          <w:rFonts w:eastAsia="Times New Roman" w:cs="Arial"/>
          <w:i/>
          <w:iCs/>
        </w:rPr>
        <w:t>Information Privacy Act 2009</w:t>
      </w:r>
      <w:r w:rsidRPr="00AF0F43">
        <w:rPr>
          <w:rFonts w:eastAsia="Times New Roman" w:cs="Arial"/>
        </w:rPr>
        <w:t xml:space="preserve"> (Qld) - in that Act; or</w:t>
      </w:r>
    </w:p>
    <w:p w14:paraId="42A24D2B" w14:textId="77777777" w:rsidR="00A52149" w:rsidRPr="00AF0F43" w:rsidRDefault="00A52149" w:rsidP="00A52149">
      <w:pPr>
        <w:numPr>
          <w:ilvl w:val="3"/>
          <w:numId w:val="9"/>
        </w:numPr>
        <w:spacing w:before="60" w:after="60"/>
        <w:ind w:left="1276" w:hanging="283"/>
      </w:pPr>
      <w:r w:rsidRPr="00AF0F43">
        <w:rPr>
          <w:rFonts w:eastAsia="Times New Roman" w:cs="Arial"/>
        </w:rPr>
        <w:t xml:space="preserve">for the purposes of the </w:t>
      </w:r>
      <w:r w:rsidRPr="00AF0F43">
        <w:rPr>
          <w:rFonts w:eastAsia="Times New Roman" w:cs="Arial"/>
          <w:i/>
          <w:iCs/>
        </w:rPr>
        <w:t>Privacy Act 1988</w:t>
      </w:r>
      <w:r w:rsidRPr="00AF0F43">
        <w:rPr>
          <w:rFonts w:eastAsia="Times New Roman" w:cs="Arial"/>
        </w:rPr>
        <w:t xml:space="preserve"> (</w:t>
      </w:r>
      <w:proofErr w:type="spellStart"/>
      <w:r w:rsidRPr="00AF0F43">
        <w:rPr>
          <w:rFonts w:eastAsia="Times New Roman" w:cs="Arial"/>
        </w:rPr>
        <w:t>Cth</w:t>
      </w:r>
      <w:proofErr w:type="spellEnd"/>
      <w:r w:rsidRPr="00AF0F43">
        <w:rPr>
          <w:rFonts w:eastAsia="Times New Roman" w:cs="Arial"/>
        </w:rPr>
        <w:t>) – in that Act.</w:t>
      </w:r>
    </w:p>
    <w:p w14:paraId="677735C6" w14:textId="77777777" w:rsidR="00A52149" w:rsidRPr="00AF0F43" w:rsidRDefault="00A52149" w:rsidP="00A52149">
      <w:pPr>
        <w:numPr>
          <w:ilvl w:val="2"/>
          <w:numId w:val="9"/>
        </w:numPr>
        <w:spacing w:before="60" w:after="60"/>
      </w:pPr>
      <w:r>
        <w:t xml:space="preserve">Any reference to legislation or a policy of the Queensland Government includes reference to the legislation or policy as amended, </w:t>
      </w:r>
      <w:proofErr w:type="gramStart"/>
      <w:r>
        <w:t>updated</w:t>
      </w:r>
      <w:proofErr w:type="gramEnd"/>
      <w:r>
        <w:t xml:space="preserve"> or replaced from time to time.</w:t>
      </w:r>
    </w:p>
    <w:p w14:paraId="33E3A5D3" w14:textId="77777777" w:rsidR="00A52149" w:rsidRPr="00351AE7" w:rsidRDefault="00A52149" w:rsidP="00A52149">
      <w:pPr>
        <w:pStyle w:val="Heading2"/>
        <w:rPr>
          <w:b/>
          <w:bCs/>
        </w:rPr>
      </w:pPr>
      <w:r w:rsidRPr="00351AE7">
        <w:rPr>
          <w:b/>
          <w:bCs/>
        </w:rPr>
        <w:t>Conflict of interest Declaration</w:t>
      </w:r>
    </w:p>
    <w:p w14:paraId="3F5D60F4" w14:textId="77777777" w:rsidR="00A52149" w:rsidRPr="009E5715" w:rsidRDefault="00A52149" w:rsidP="00A52149">
      <w:pPr>
        <w:pStyle w:val="ListParagraph"/>
        <w:numPr>
          <w:ilvl w:val="2"/>
          <w:numId w:val="10"/>
        </w:numPr>
        <w:spacing w:before="60"/>
        <w:ind w:left="426" w:hanging="426"/>
        <w:rPr>
          <w:bCs/>
        </w:rPr>
      </w:pPr>
      <w:r>
        <w:rPr>
          <w:bCs/>
        </w:rPr>
        <w:t>I declare that (</w:t>
      </w:r>
      <w:r>
        <w:rPr>
          <w:b/>
          <w:i/>
          <w:iCs/>
        </w:rPr>
        <w:t>declarant to check/select applicable box)</w:t>
      </w:r>
      <w:r>
        <w:rPr>
          <w:bCs/>
        </w:rPr>
        <w:t>:</w:t>
      </w:r>
      <w:r w:rsidRPr="009E5715">
        <w:rPr>
          <w:bCs/>
        </w:rPr>
        <w:t xml:space="preserve"> </w:t>
      </w:r>
    </w:p>
    <w:p w14:paraId="7C5D3592" w14:textId="7BB33682" w:rsidR="00A52149" w:rsidRDefault="00E8414B" w:rsidP="00A52149">
      <w:pPr>
        <w:spacing w:before="60" w:after="60"/>
        <w:ind w:left="851" w:hanging="425"/>
      </w:pPr>
      <w:sdt>
        <w:sdtPr>
          <w:rPr>
            <w:rFonts w:cs="Arial"/>
            <w:sz w:val="22"/>
          </w:rPr>
          <w:id w:val="1803813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5C6A" w:rsidRPr="002C5C6A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A52149" w:rsidRPr="00AF3983">
        <w:rPr>
          <w:rFonts w:eastAsia="Times New Roman" w:cs="Arial"/>
          <w:szCs w:val="20"/>
        </w:rPr>
        <w:tab/>
      </w:r>
      <w:r w:rsidR="00A52149" w:rsidRPr="004B5901">
        <w:rPr>
          <w:b/>
        </w:rPr>
        <w:t>I do not have</w:t>
      </w:r>
      <w:r w:rsidR="00A52149" w:rsidRPr="004B5901">
        <w:t xml:space="preserve"> a </w:t>
      </w:r>
      <w:r w:rsidR="00A52149">
        <w:t>C</w:t>
      </w:r>
      <w:r w:rsidR="00A52149" w:rsidRPr="004B5901">
        <w:t xml:space="preserve">onflict of </w:t>
      </w:r>
      <w:r w:rsidR="00A52149">
        <w:t>I</w:t>
      </w:r>
      <w:r w:rsidR="00A52149" w:rsidRPr="004B5901">
        <w:t>nterest</w:t>
      </w:r>
      <w:r w:rsidR="00A52149">
        <w:t xml:space="preserve"> </w:t>
      </w:r>
      <w:proofErr w:type="gramStart"/>
      <w:r w:rsidR="00A52149">
        <w:t>at this time</w:t>
      </w:r>
      <w:proofErr w:type="gramEnd"/>
      <w:r w:rsidR="00A52149">
        <w:t>; or</w:t>
      </w:r>
    </w:p>
    <w:p w14:paraId="1EDD2671" w14:textId="7689D6F2" w:rsidR="00A52149" w:rsidRDefault="00E8414B" w:rsidP="00A52149">
      <w:pPr>
        <w:spacing w:before="60" w:after="60"/>
        <w:ind w:left="851" w:hanging="425"/>
        <w:rPr>
          <w:bCs/>
        </w:rPr>
      </w:pPr>
      <w:sdt>
        <w:sdtPr>
          <w:rPr>
            <w:rFonts w:cs="Arial"/>
            <w:sz w:val="22"/>
          </w:rPr>
          <w:id w:val="658496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5C6A" w:rsidRPr="002C5C6A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2C5C6A" w:rsidRPr="00AF3983">
        <w:rPr>
          <w:rFonts w:eastAsia="Times New Roman" w:cs="Arial"/>
          <w:szCs w:val="20"/>
        </w:rPr>
        <w:tab/>
      </w:r>
      <w:r w:rsidR="00A52149" w:rsidRPr="00335CC4">
        <w:rPr>
          <w:b/>
        </w:rPr>
        <w:t>I have</w:t>
      </w:r>
      <w:r w:rsidR="00A52149" w:rsidRPr="00744339">
        <w:rPr>
          <w:bCs/>
        </w:rPr>
        <w:t xml:space="preserve"> an interest that conflicts or may conflict with the discharge of </w:t>
      </w:r>
      <w:r w:rsidR="00A52149">
        <w:rPr>
          <w:bCs/>
        </w:rPr>
        <w:t xml:space="preserve">the Services </w:t>
      </w:r>
      <w:r w:rsidR="00A52149" w:rsidRPr="00744339">
        <w:rPr>
          <w:bCs/>
        </w:rPr>
        <w:t>and I have disclosed in the space below all the past, current and anticipated interests which conflict</w:t>
      </w:r>
      <w:r w:rsidR="00A52149">
        <w:rPr>
          <w:bCs/>
        </w:rPr>
        <w:t>, have the potential to conflict</w:t>
      </w:r>
      <w:r w:rsidR="00A52149" w:rsidRPr="00744339">
        <w:rPr>
          <w:bCs/>
        </w:rPr>
        <w:t xml:space="preserve"> or</w:t>
      </w:r>
      <w:r w:rsidR="00A52149">
        <w:rPr>
          <w:bCs/>
        </w:rPr>
        <w:t xml:space="preserve"> may</w:t>
      </w:r>
      <w:r w:rsidR="00A52149" w:rsidRPr="00744339">
        <w:rPr>
          <w:bCs/>
        </w:rPr>
        <w:t xml:space="preserve"> be perceived as conflicting with my impartial involvement in the </w:t>
      </w:r>
      <w:r w:rsidR="00A52149">
        <w:rPr>
          <w:bCs/>
        </w:rPr>
        <w:t>provision of the Services</w:t>
      </w:r>
      <w:r w:rsidR="00A52149" w:rsidRPr="00744339">
        <w:rPr>
          <w:bCs/>
        </w:rPr>
        <w:t xml:space="preserve">, and </w:t>
      </w:r>
      <w:r w:rsidR="00A52149">
        <w:rPr>
          <w:bCs/>
        </w:rPr>
        <w:t xml:space="preserve">agree </w:t>
      </w:r>
      <w:r w:rsidR="00A52149" w:rsidRPr="00744339">
        <w:rPr>
          <w:bCs/>
        </w:rPr>
        <w:t>not</w:t>
      </w:r>
      <w:r w:rsidR="00A52149">
        <w:rPr>
          <w:bCs/>
        </w:rPr>
        <w:t xml:space="preserve"> to</w:t>
      </w:r>
      <w:r w:rsidR="00A52149" w:rsidRPr="00744339">
        <w:rPr>
          <w:bCs/>
        </w:rPr>
        <w:t xml:space="preserve"> take action or further action in relation to the </w:t>
      </w:r>
      <w:r w:rsidR="00A52149">
        <w:rPr>
          <w:bCs/>
        </w:rPr>
        <w:t xml:space="preserve">provision of Services </w:t>
      </w:r>
      <w:r w:rsidR="00A52149" w:rsidRPr="00744339">
        <w:rPr>
          <w:bCs/>
        </w:rPr>
        <w:t>unless authorised</w:t>
      </w:r>
      <w:r w:rsidR="00A52149">
        <w:rPr>
          <w:bCs/>
        </w:rPr>
        <w:t xml:space="preserve"> by the appropriate</w:t>
      </w:r>
      <w:r w:rsidR="00A52149" w:rsidRPr="00744339">
        <w:rPr>
          <w:bCs/>
        </w:rPr>
        <w:t xml:space="preserve"> delegate.</w:t>
      </w:r>
    </w:p>
    <w:tbl>
      <w:tblPr>
        <w:tblStyle w:val="TableGridLight"/>
        <w:tblW w:w="0" w:type="auto"/>
        <w:tblInd w:w="846" w:type="dxa"/>
        <w:tblLook w:val="04A0" w:firstRow="1" w:lastRow="0" w:firstColumn="1" w:lastColumn="0" w:noHBand="0" w:noVBand="1"/>
      </w:tblPr>
      <w:tblGrid>
        <w:gridCol w:w="8170"/>
      </w:tblGrid>
      <w:tr w:rsidR="00A52149" w14:paraId="35683F4D" w14:textId="77777777" w:rsidTr="0027307D">
        <w:tc>
          <w:tcPr>
            <w:tcW w:w="8170" w:type="dxa"/>
          </w:tcPr>
          <w:p w14:paraId="25186F08" w14:textId="77777777" w:rsidR="00A52149" w:rsidRPr="00335CC4" w:rsidRDefault="00A52149" w:rsidP="0027307D">
            <w:pPr>
              <w:spacing w:before="60" w:after="60"/>
              <w:rPr>
                <w:bCs/>
                <w:sz w:val="18"/>
              </w:rPr>
            </w:pPr>
          </w:p>
        </w:tc>
      </w:tr>
    </w:tbl>
    <w:p w14:paraId="7B514C0E" w14:textId="77777777" w:rsidR="00A52149" w:rsidRDefault="00A52149" w:rsidP="00A52149">
      <w:pPr>
        <w:spacing w:before="60" w:after="120"/>
        <w:ind w:left="993" w:hanging="567"/>
        <w:rPr>
          <w:bCs/>
        </w:rPr>
      </w:pPr>
    </w:p>
    <w:tbl>
      <w:tblPr>
        <w:tblStyle w:val="TableGridLight"/>
        <w:tblW w:w="8990" w:type="dxa"/>
        <w:tblLayout w:type="fixed"/>
        <w:tblLook w:val="04A0" w:firstRow="1" w:lastRow="0" w:firstColumn="1" w:lastColumn="0" w:noHBand="0" w:noVBand="1"/>
      </w:tblPr>
      <w:tblGrid>
        <w:gridCol w:w="1531"/>
        <w:gridCol w:w="2859"/>
        <w:gridCol w:w="1559"/>
        <w:gridCol w:w="3041"/>
      </w:tblGrid>
      <w:tr w:rsidR="00A52149" w:rsidRPr="004B5901" w14:paraId="42640BEE" w14:textId="77777777" w:rsidTr="0027307D">
        <w:trPr>
          <w:trHeight w:val="62"/>
        </w:trPr>
        <w:tc>
          <w:tcPr>
            <w:tcW w:w="4390" w:type="dxa"/>
            <w:gridSpan w:val="2"/>
            <w:shd w:val="clear" w:color="auto" w:fill="E7E6E6" w:themeFill="background2"/>
          </w:tcPr>
          <w:p w14:paraId="78DFA22E" w14:textId="77777777" w:rsidR="00A52149" w:rsidRPr="004B5901" w:rsidRDefault="00A52149" w:rsidP="0027307D">
            <w:pPr>
              <w:spacing w:before="60" w:after="60"/>
              <w:ind w:right="67"/>
            </w:pPr>
            <w:r>
              <w:rPr>
                <w:b/>
                <w:bCs/>
              </w:rPr>
              <w:t>Declaration completed by</w:t>
            </w:r>
          </w:p>
        </w:tc>
        <w:tc>
          <w:tcPr>
            <w:tcW w:w="4600" w:type="dxa"/>
            <w:gridSpan w:val="2"/>
            <w:shd w:val="clear" w:color="auto" w:fill="E7E6E6" w:themeFill="background2"/>
          </w:tcPr>
          <w:p w14:paraId="365DAA89" w14:textId="77777777" w:rsidR="00A52149" w:rsidRPr="009F3712" w:rsidRDefault="00A52149" w:rsidP="0027307D">
            <w:pPr>
              <w:spacing w:before="60" w:after="60"/>
              <w:ind w:right="-47"/>
              <w:rPr>
                <w:sz w:val="12"/>
                <w:szCs w:val="12"/>
              </w:rPr>
            </w:pPr>
            <w:r>
              <w:rPr>
                <w:b/>
                <w:bCs/>
              </w:rPr>
              <w:t xml:space="preserve">Witnessed by </w:t>
            </w:r>
            <w:r w:rsidRPr="000067CA">
              <w:rPr>
                <w:sz w:val="12"/>
                <w:szCs w:val="12"/>
              </w:rPr>
              <w:t>(</w:t>
            </w:r>
            <w:r w:rsidRPr="000067CA">
              <w:rPr>
                <w:i/>
                <w:iCs/>
                <w:sz w:val="12"/>
                <w:szCs w:val="12"/>
              </w:rPr>
              <w:t>Must be an Australian Resident over the age of 18 years</w:t>
            </w:r>
            <w:r w:rsidRPr="000067CA">
              <w:rPr>
                <w:sz w:val="12"/>
                <w:szCs w:val="12"/>
              </w:rPr>
              <w:t>)</w:t>
            </w:r>
          </w:p>
        </w:tc>
      </w:tr>
      <w:tr w:rsidR="00A52149" w:rsidRPr="004B5901" w14:paraId="5004E611" w14:textId="77777777" w:rsidTr="0027307D">
        <w:trPr>
          <w:trHeight w:val="62"/>
        </w:trPr>
        <w:tc>
          <w:tcPr>
            <w:tcW w:w="1531" w:type="dxa"/>
            <w:shd w:val="clear" w:color="auto" w:fill="E7E6E6" w:themeFill="background2"/>
            <w:hideMark/>
          </w:tcPr>
          <w:p w14:paraId="132A9237" w14:textId="77777777" w:rsidR="00A52149" w:rsidRPr="00E477CA" w:rsidRDefault="00A52149" w:rsidP="0027307D">
            <w:pPr>
              <w:spacing w:before="60" w:after="60"/>
              <w:rPr>
                <w:b/>
                <w:bCs/>
              </w:rPr>
            </w:pPr>
            <w:r w:rsidRPr="00E477CA">
              <w:rPr>
                <w:b/>
                <w:bCs/>
              </w:rPr>
              <w:t>Name</w:t>
            </w:r>
          </w:p>
        </w:tc>
        <w:tc>
          <w:tcPr>
            <w:tcW w:w="2859" w:type="dxa"/>
          </w:tcPr>
          <w:p w14:paraId="6337F8E8" w14:textId="77777777" w:rsidR="00A52149" w:rsidRPr="004B5901" w:rsidRDefault="00A52149" w:rsidP="0027307D">
            <w:pPr>
              <w:spacing w:before="60" w:after="60"/>
              <w:ind w:right="67"/>
            </w:pPr>
          </w:p>
        </w:tc>
        <w:tc>
          <w:tcPr>
            <w:tcW w:w="1559" w:type="dxa"/>
            <w:shd w:val="clear" w:color="auto" w:fill="E7E6E6" w:themeFill="background2"/>
            <w:hideMark/>
          </w:tcPr>
          <w:p w14:paraId="7554CD92" w14:textId="77777777" w:rsidR="00A52149" w:rsidRPr="00E477CA" w:rsidRDefault="00A52149" w:rsidP="0027307D">
            <w:pPr>
              <w:spacing w:before="60" w:after="60"/>
              <w:rPr>
                <w:b/>
                <w:bCs/>
              </w:rPr>
            </w:pPr>
            <w:r w:rsidRPr="00E477CA">
              <w:rPr>
                <w:b/>
                <w:bCs/>
              </w:rPr>
              <w:t>Name</w:t>
            </w:r>
          </w:p>
        </w:tc>
        <w:tc>
          <w:tcPr>
            <w:tcW w:w="3041" w:type="dxa"/>
          </w:tcPr>
          <w:p w14:paraId="515F4C74" w14:textId="77777777" w:rsidR="00A52149" w:rsidRPr="004B5901" w:rsidRDefault="00A52149" w:rsidP="0027307D">
            <w:pPr>
              <w:spacing w:before="60" w:after="60"/>
            </w:pPr>
          </w:p>
        </w:tc>
      </w:tr>
      <w:tr w:rsidR="00A52149" w:rsidRPr="004B5901" w14:paraId="33275ECA" w14:textId="77777777" w:rsidTr="0027307D">
        <w:trPr>
          <w:trHeight w:val="62"/>
        </w:trPr>
        <w:tc>
          <w:tcPr>
            <w:tcW w:w="1531" w:type="dxa"/>
            <w:shd w:val="clear" w:color="auto" w:fill="E7E6E6" w:themeFill="background2"/>
            <w:hideMark/>
          </w:tcPr>
          <w:p w14:paraId="66FAF18A" w14:textId="77777777" w:rsidR="00A52149" w:rsidRPr="00E477CA" w:rsidRDefault="00A52149" w:rsidP="0027307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Position Title</w:t>
            </w:r>
          </w:p>
        </w:tc>
        <w:tc>
          <w:tcPr>
            <w:tcW w:w="2859" w:type="dxa"/>
          </w:tcPr>
          <w:p w14:paraId="44113365" w14:textId="77777777" w:rsidR="00A52149" w:rsidRPr="004B5901" w:rsidRDefault="00A52149" w:rsidP="0027307D">
            <w:pPr>
              <w:spacing w:before="60" w:after="60"/>
            </w:pPr>
          </w:p>
        </w:tc>
        <w:tc>
          <w:tcPr>
            <w:tcW w:w="1559" w:type="dxa"/>
            <w:shd w:val="clear" w:color="auto" w:fill="E7E6E6" w:themeFill="background2"/>
            <w:hideMark/>
          </w:tcPr>
          <w:p w14:paraId="62ED719F" w14:textId="77777777" w:rsidR="00A52149" w:rsidRPr="00E477CA" w:rsidRDefault="00A52149" w:rsidP="0027307D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Position Title</w:t>
            </w:r>
          </w:p>
        </w:tc>
        <w:tc>
          <w:tcPr>
            <w:tcW w:w="3041" w:type="dxa"/>
          </w:tcPr>
          <w:p w14:paraId="4A2CC8FD" w14:textId="77777777" w:rsidR="00A52149" w:rsidRPr="004B5901" w:rsidRDefault="00A52149" w:rsidP="0027307D">
            <w:pPr>
              <w:spacing w:before="60" w:after="60"/>
            </w:pPr>
          </w:p>
        </w:tc>
      </w:tr>
      <w:tr w:rsidR="00A52149" w:rsidRPr="004B5901" w14:paraId="7FF2B345" w14:textId="77777777" w:rsidTr="0027307D">
        <w:trPr>
          <w:trHeight w:val="62"/>
        </w:trPr>
        <w:tc>
          <w:tcPr>
            <w:tcW w:w="1531" w:type="dxa"/>
            <w:shd w:val="clear" w:color="auto" w:fill="E7E6E6" w:themeFill="background2"/>
          </w:tcPr>
          <w:p w14:paraId="086C2CCD" w14:textId="77777777" w:rsidR="00A52149" w:rsidRPr="00E477CA" w:rsidRDefault="00A52149" w:rsidP="0027307D">
            <w:pPr>
              <w:spacing w:before="60" w:after="60"/>
              <w:rPr>
                <w:b/>
                <w:bCs/>
              </w:rPr>
            </w:pPr>
            <w:r w:rsidRPr="00E477CA">
              <w:rPr>
                <w:b/>
                <w:bCs/>
              </w:rPr>
              <w:t>Signature</w:t>
            </w:r>
          </w:p>
        </w:tc>
        <w:tc>
          <w:tcPr>
            <w:tcW w:w="2859" w:type="dxa"/>
          </w:tcPr>
          <w:p w14:paraId="38FF578A" w14:textId="77777777" w:rsidR="00A52149" w:rsidRDefault="00A52149" w:rsidP="0027307D">
            <w:pPr>
              <w:spacing w:before="60" w:after="60"/>
            </w:pPr>
          </w:p>
          <w:p w14:paraId="36CE2346" w14:textId="77777777" w:rsidR="00A52149" w:rsidRPr="00CE3F56" w:rsidRDefault="00A52149" w:rsidP="0027307D">
            <w:pPr>
              <w:spacing w:before="60" w:after="60"/>
            </w:pPr>
          </w:p>
        </w:tc>
        <w:tc>
          <w:tcPr>
            <w:tcW w:w="1559" w:type="dxa"/>
            <w:shd w:val="clear" w:color="auto" w:fill="E7E6E6" w:themeFill="background2"/>
          </w:tcPr>
          <w:p w14:paraId="1D2BFB9D" w14:textId="77777777" w:rsidR="00A52149" w:rsidRDefault="00A52149" w:rsidP="0027307D">
            <w:pPr>
              <w:spacing w:before="60" w:after="60"/>
              <w:rPr>
                <w:b/>
                <w:bCs/>
              </w:rPr>
            </w:pPr>
            <w:r w:rsidRPr="00E477CA">
              <w:rPr>
                <w:b/>
                <w:bCs/>
              </w:rPr>
              <w:t>Signature</w:t>
            </w:r>
          </w:p>
        </w:tc>
        <w:tc>
          <w:tcPr>
            <w:tcW w:w="3041" w:type="dxa"/>
          </w:tcPr>
          <w:p w14:paraId="3B607EF1" w14:textId="77777777" w:rsidR="00A52149" w:rsidRPr="00804A69" w:rsidRDefault="00A52149" w:rsidP="0027307D">
            <w:pPr>
              <w:spacing w:before="60" w:after="60"/>
            </w:pPr>
          </w:p>
        </w:tc>
      </w:tr>
      <w:tr w:rsidR="00A52149" w:rsidRPr="004B5901" w14:paraId="0781C26B" w14:textId="77777777" w:rsidTr="0027307D">
        <w:trPr>
          <w:trHeight w:val="62"/>
        </w:trPr>
        <w:tc>
          <w:tcPr>
            <w:tcW w:w="1531" w:type="dxa"/>
            <w:shd w:val="clear" w:color="auto" w:fill="E7E6E6" w:themeFill="background2"/>
            <w:hideMark/>
          </w:tcPr>
          <w:p w14:paraId="1CD46876" w14:textId="77777777" w:rsidR="00A52149" w:rsidRPr="00E477CA" w:rsidRDefault="00A52149" w:rsidP="0027307D">
            <w:pPr>
              <w:spacing w:before="60" w:after="60"/>
              <w:rPr>
                <w:b/>
                <w:bCs/>
              </w:rPr>
            </w:pPr>
            <w:r w:rsidRPr="00E477CA">
              <w:rPr>
                <w:b/>
                <w:bCs/>
              </w:rPr>
              <w:t>Date</w:t>
            </w:r>
          </w:p>
        </w:tc>
        <w:tc>
          <w:tcPr>
            <w:tcW w:w="2859" w:type="dxa"/>
            <w:hideMark/>
          </w:tcPr>
          <w:p w14:paraId="1BB83D3A" w14:textId="77777777" w:rsidR="00A52149" w:rsidRPr="004B5901" w:rsidRDefault="00A52149" w:rsidP="0027307D">
            <w:pPr>
              <w:tabs>
                <w:tab w:val="left" w:pos="2741"/>
              </w:tabs>
              <w:spacing w:before="60" w:after="60"/>
            </w:pPr>
          </w:p>
        </w:tc>
        <w:tc>
          <w:tcPr>
            <w:tcW w:w="1559" w:type="dxa"/>
            <w:shd w:val="clear" w:color="auto" w:fill="E7E6E6" w:themeFill="background2"/>
            <w:hideMark/>
          </w:tcPr>
          <w:p w14:paraId="0611A30E" w14:textId="77777777" w:rsidR="00A52149" w:rsidRPr="00E477CA" w:rsidRDefault="00A52149" w:rsidP="0027307D">
            <w:pPr>
              <w:spacing w:before="60" w:after="60"/>
              <w:rPr>
                <w:b/>
                <w:bCs/>
              </w:rPr>
            </w:pPr>
            <w:r w:rsidRPr="00E477CA">
              <w:rPr>
                <w:b/>
                <w:bCs/>
              </w:rPr>
              <w:t>Date</w:t>
            </w:r>
          </w:p>
        </w:tc>
        <w:tc>
          <w:tcPr>
            <w:tcW w:w="3041" w:type="dxa"/>
            <w:hideMark/>
          </w:tcPr>
          <w:p w14:paraId="6DA9006A" w14:textId="77777777" w:rsidR="00A52149" w:rsidRPr="004B5901" w:rsidRDefault="00A52149" w:rsidP="0027307D">
            <w:pPr>
              <w:tabs>
                <w:tab w:val="left" w:pos="2857"/>
              </w:tabs>
              <w:spacing w:before="60" w:after="60"/>
            </w:pPr>
          </w:p>
        </w:tc>
      </w:tr>
    </w:tbl>
    <w:p w14:paraId="3ED1A0B0" w14:textId="0AC1EAD8" w:rsidR="00A958BB" w:rsidRPr="00DB37AA" w:rsidRDefault="00A958BB" w:rsidP="002C5C6A"/>
    <w:sectPr w:rsidR="00A958BB" w:rsidRPr="00DB37AA" w:rsidSect="00A8611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9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311D9" w14:textId="77777777" w:rsidR="003A1A04" w:rsidRDefault="003A1A04" w:rsidP="00F752DB">
      <w:pPr>
        <w:spacing w:after="0" w:line="240" w:lineRule="auto"/>
      </w:pPr>
      <w:r>
        <w:separator/>
      </w:r>
    </w:p>
  </w:endnote>
  <w:endnote w:type="continuationSeparator" w:id="0">
    <w:p w14:paraId="0080A0FD" w14:textId="77777777" w:rsidR="003A1A04" w:rsidRDefault="003A1A04" w:rsidP="00F75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0B69E" w14:textId="1B758458" w:rsidR="007A7AD0" w:rsidRPr="00381F07" w:rsidRDefault="00A13A56" w:rsidP="00C96508">
    <w:pPr>
      <w:pStyle w:val="Footer"/>
      <w:pBdr>
        <w:top w:val="single" w:sz="4" w:space="8" w:color="auto"/>
      </w:pBdr>
      <w:spacing w:before="360"/>
      <w:contextualSpacing/>
      <w:rPr>
        <w:noProof/>
        <w:color w:val="404040" w:themeColor="text1" w:themeTint="BF"/>
      </w:rPr>
    </w:pPr>
    <w:r w:rsidRPr="002C5C6A">
      <w:rPr>
        <w:noProof/>
        <w:color w:val="404040" w:themeColor="text1" w:themeTint="BF"/>
      </w:rPr>
      <w:t>Published February 2024</w:t>
    </w:r>
    <w:r w:rsidR="005A7EB2">
      <w:rPr>
        <w:noProof/>
        <w:color w:val="404040" w:themeColor="text1" w:themeTint="BF"/>
      </w:rPr>
      <w:tab/>
    </w:r>
    <w:r w:rsidR="005A7EB2">
      <w:rPr>
        <w:noProof/>
        <w:color w:val="404040" w:themeColor="text1" w:themeTint="BF"/>
      </w:rPr>
      <w:tab/>
    </w:r>
    <w:r w:rsidR="003A1CD0">
      <w:rPr>
        <w:noProof/>
        <w:color w:val="404040" w:themeColor="text1" w:themeTint="BF"/>
      </w:rPr>
      <w:fldChar w:fldCharType="begin"/>
    </w:r>
    <w:r w:rsidR="003A1CD0">
      <w:rPr>
        <w:noProof/>
        <w:color w:val="404040" w:themeColor="text1" w:themeTint="BF"/>
      </w:rPr>
      <w:instrText xml:space="preserve"> PAGE   \* MERGEFORMAT </w:instrText>
    </w:r>
    <w:r w:rsidR="003A1CD0">
      <w:rPr>
        <w:noProof/>
        <w:color w:val="404040" w:themeColor="text1" w:themeTint="BF"/>
      </w:rPr>
      <w:fldChar w:fldCharType="separate"/>
    </w:r>
    <w:r w:rsidR="003A1CD0">
      <w:rPr>
        <w:noProof/>
        <w:color w:val="404040" w:themeColor="text1" w:themeTint="BF"/>
      </w:rPr>
      <w:t>2</w:t>
    </w:r>
    <w:r w:rsidR="003A1CD0">
      <w:rPr>
        <w:noProof/>
        <w:color w:val="404040" w:themeColor="text1" w:themeTint="B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0190C" w14:textId="29319050" w:rsidR="000140F8" w:rsidRDefault="00ED7599" w:rsidP="00DB285C">
    <w:pPr>
      <w:pStyle w:val="Footer"/>
      <w:tabs>
        <w:tab w:val="clear" w:pos="9026"/>
        <w:tab w:val="right" w:pos="8931"/>
      </w:tabs>
      <w:ind w:right="-472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AE08DD" wp14:editId="45E733B4">
          <wp:simplePos x="0" y="0"/>
          <wp:positionH relativeFrom="page">
            <wp:posOffset>-228600</wp:posOffset>
          </wp:positionH>
          <wp:positionV relativeFrom="paragraph">
            <wp:posOffset>-561340</wp:posOffset>
          </wp:positionV>
          <wp:extent cx="7787640" cy="1111250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87640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2B0">
      <w:rPr>
        <w:noProof/>
      </w:rPr>
      <w:drawing>
        <wp:anchor distT="0" distB="0" distL="114300" distR="114300" simplePos="0" relativeHeight="251660288" behindDoc="1" locked="0" layoutInCell="1" allowOverlap="1" wp14:anchorId="15FDA492" wp14:editId="6D7A2134">
          <wp:simplePos x="0" y="0"/>
          <wp:positionH relativeFrom="column">
            <wp:posOffset>4591050</wp:posOffset>
          </wp:positionH>
          <wp:positionV relativeFrom="paragraph">
            <wp:posOffset>-219710</wp:posOffset>
          </wp:positionV>
          <wp:extent cx="1655445" cy="539750"/>
          <wp:effectExtent l="0" t="0" r="190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539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285C">
      <w:tab/>
    </w:r>
    <w:r w:rsidR="00DB285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B950F" w14:textId="77777777" w:rsidR="003A1A04" w:rsidRDefault="003A1A04" w:rsidP="00F752DB">
      <w:pPr>
        <w:spacing w:after="0" w:line="240" w:lineRule="auto"/>
      </w:pPr>
      <w:r>
        <w:separator/>
      </w:r>
    </w:p>
  </w:footnote>
  <w:footnote w:type="continuationSeparator" w:id="0">
    <w:p w14:paraId="26650D2E" w14:textId="77777777" w:rsidR="003A1A04" w:rsidRDefault="003A1A04" w:rsidP="00F75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245E9" w14:textId="7D2BBE67" w:rsidR="00F752DB" w:rsidRPr="00AB0F2F" w:rsidRDefault="00213557" w:rsidP="00C96508">
    <w:pPr>
      <w:pStyle w:val="Header"/>
      <w:pBdr>
        <w:bottom w:val="single" w:sz="4" w:space="8" w:color="auto"/>
      </w:pBdr>
      <w:spacing w:after="360"/>
      <w:contextualSpacing/>
      <w:jc w:val="right"/>
      <w:rPr>
        <w:color w:val="404040" w:themeColor="text1" w:themeTint="BF"/>
        <w:sz w:val="16"/>
        <w:szCs w:val="16"/>
      </w:rPr>
    </w:pPr>
    <w:r w:rsidRPr="00D44FC8">
      <w:rPr>
        <w:color w:val="404040" w:themeColor="text1" w:themeTint="BF"/>
        <w:sz w:val="16"/>
        <w:szCs w:val="16"/>
      </w:rPr>
      <w:t xml:space="preserve">Acknowledgement of Obligations </w:t>
    </w:r>
    <w:r>
      <w:rPr>
        <w:color w:val="404040" w:themeColor="text1" w:themeTint="BF"/>
        <w:sz w:val="16"/>
        <w:szCs w:val="16"/>
      </w:rPr>
      <w:t>–</w:t>
    </w:r>
    <w:r w:rsidRPr="00D44FC8">
      <w:rPr>
        <w:color w:val="404040" w:themeColor="text1" w:themeTint="BF"/>
        <w:sz w:val="16"/>
        <w:szCs w:val="16"/>
      </w:rPr>
      <w:t xml:space="preserve"> </w:t>
    </w:r>
    <w:r>
      <w:rPr>
        <w:color w:val="404040" w:themeColor="text1" w:themeTint="BF"/>
        <w:sz w:val="16"/>
        <w:szCs w:val="16"/>
      </w:rPr>
      <w:t>N</w:t>
    </w:r>
    <w:r w:rsidRPr="00D44FC8">
      <w:rPr>
        <w:color w:val="404040" w:themeColor="text1" w:themeTint="BF"/>
        <w:sz w:val="16"/>
        <w:szCs w:val="16"/>
      </w:rPr>
      <w:t>on</w:t>
    </w:r>
    <w:r>
      <w:rPr>
        <w:color w:val="404040" w:themeColor="text1" w:themeTint="BF"/>
        <w:sz w:val="16"/>
        <w:szCs w:val="16"/>
      </w:rPr>
      <w:t xml:space="preserve">-Qld </w:t>
    </w:r>
    <w:r w:rsidRPr="00D44FC8">
      <w:rPr>
        <w:color w:val="404040" w:themeColor="text1" w:themeTint="BF"/>
        <w:sz w:val="16"/>
        <w:szCs w:val="16"/>
      </w:rPr>
      <w:t>Government Employees</w:t>
    </w:r>
  </w:p>
  <w:p w14:paraId="7E1A307E" w14:textId="77777777" w:rsidR="00F752DB" w:rsidRDefault="00F752DB">
    <w:pPr>
      <w:pStyle w:val="Header"/>
    </w:pPr>
  </w:p>
  <w:p w14:paraId="2D051A40" w14:textId="77777777" w:rsidR="007A7AD0" w:rsidRDefault="007A7AD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FD908" w14:textId="63FEFF3C" w:rsidR="000140F8" w:rsidRDefault="008C72B0" w:rsidP="00636F5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516FBC" wp14:editId="48FE0E97">
          <wp:simplePos x="0" y="0"/>
          <wp:positionH relativeFrom="page">
            <wp:posOffset>-11430</wp:posOffset>
          </wp:positionH>
          <wp:positionV relativeFrom="paragraph">
            <wp:posOffset>-449581</wp:posOffset>
          </wp:positionV>
          <wp:extent cx="7562514" cy="3600947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7648" cy="3608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01A3"/>
    <w:multiLevelType w:val="hybridMultilevel"/>
    <w:tmpl w:val="E474EE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F6779"/>
    <w:multiLevelType w:val="multilevel"/>
    <w:tmpl w:val="9DDCA3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lowerLetter"/>
      <w:lvlText w:val="(%3)"/>
      <w:lvlJc w:val="left"/>
      <w:pPr>
        <w:ind w:left="927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927" w:hanging="3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8AB163F"/>
    <w:multiLevelType w:val="hybridMultilevel"/>
    <w:tmpl w:val="9682A638"/>
    <w:lvl w:ilvl="0" w:tplc="3222B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B1030"/>
    <w:multiLevelType w:val="hybridMultilevel"/>
    <w:tmpl w:val="6B74CC96"/>
    <w:lvl w:ilvl="0" w:tplc="3222B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A32D7"/>
    <w:multiLevelType w:val="hybridMultilevel"/>
    <w:tmpl w:val="36523F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52ADE"/>
    <w:multiLevelType w:val="hybridMultilevel"/>
    <w:tmpl w:val="7FD0E91C"/>
    <w:lvl w:ilvl="0" w:tplc="2BB07E62">
      <w:numFmt w:val="bullet"/>
      <w:lvlText w:val="•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92C58"/>
    <w:multiLevelType w:val="hybridMultilevel"/>
    <w:tmpl w:val="E6168BB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9A3C93"/>
    <w:multiLevelType w:val="hybridMultilevel"/>
    <w:tmpl w:val="11706E92"/>
    <w:lvl w:ilvl="0" w:tplc="8BACE00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B95E27"/>
    <w:multiLevelType w:val="multilevel"/>
    <w:tmpl w:val="AFD622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3E185276"/>
    <w:multiLevelType w:val="hybridMultilevel"/>
    <w:tmpl w:val="93D26558"/>
    <w:lvl w:ilvl="0" w:tplc="2BB07E62">
      <w:numFmt w:val="bullet"/>
      <w:lvlText w:val="•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E6EA8"/>
    <w:multiLevelType w:val="hybridMultilevel"/>
    <w:tmpl w:val="E4507D2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72F6C70"/>
    <w:multiLevelType w:val="hybridMultilevel"/>
    <w:tmpl w:val="BF407594"/>
    <w:lvl w:ilvl="0" w:tplc="8BACE000">
      <w:numFmt w:val="bullet"/>
      <w:lvlText w:val="•"/>
      <w:lvlJc w:val="left"/>
      <w:pPr>
        <w:ind w:left="1440" w:hanging="72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6A19FE"/>
    <w:multiLevelType w:val="hybridMultilevel"/>
    <w:tmpl w:val="D048D286"/>
    <w:lvl w:ilvl="0" w:tplc="3222BC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E42EF9"/>
    <w:multiLevelType w:val="hybridMultilevel"/>
    <w:tmpl w:val="769EF69C"/>
    <w:lvl w:ilvl="0" w:tplc="2BB07E62">
      <w:numFmt w:val="bullet"/>
      <w:lvlText w:val="•"/>
      <w:lvlJc w:val="left"/>
      <w:pPr>
        <w:ind w:left="284" w:hanging="284"/>
      </w:pPr>
      <w:rPr>
        <w:rFonts w:ascii="Calibri" w:eastAsiaTheme="minorHAns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6298132">
    <w:abstractNumId w:val="4"/>
  </w:num>
  <w:num w:numId="2" w16cid:durableId="1351372200">
    <w:abstractNumId w:val="7"/>
  </w:num>
  <w:num w:numId="3" w16cid:durableId="1639413619">
    <w:abstractNumId w:val="11"/>
  </w:num>
  <w:num w:numId="4" w16cid:durableId="696737687">
    <w:abstractNumId w:val="13"/>
  </w:num>
  <w:num w:numId="5" w16cid:durableId="1416828120">
    <w:abstractNumId w:val="5"/>
  </w:num>
  <w:num w:numId="6" w16cid:durableId="92669702">
    <w:abstractNumId w:val="6"/>
  </w:num>
  <w:num w:numId="7" w16cid:durableId="824198117">
    <w:abstractNumId w:val="9"/>
  </w:num>
  <w:num w:numId="8" w16cid:durableId="736825789">
    <w:abstractNumId w:val="10"/>
  </w:num>
  <w:num w:numId="9" w16cid:durableId="2022387335">
    <w:abstractNumId w:val="1"/>
  </w:num>
  <w:num w:numId="10" w16cid:durableId="1423062381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48208722">
    <w:abstractNumId w:val="0"/>
  </w:num>
  <w:num w:numId="12" w16cid:durableId="94330186">
    <w:abstractNumId w:val="2"/>
  </w:num>
  <w:num w:numId="13" w16cid:durableId="1154566369">
    <w:abstractNumId w:val="3"/>
  </w:num>
  <w:num w:numId="14" w16cid:durableId="15595146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2DB"/>
    <w:rsid w:val="000140F8"/>
    <w:rsid w:val="00071234"/>
    <w:rsid w:val="00074BFD"/>
    <w:rsid w:val="000F014F"/>
    <w:rsid w:val="000F4BE1"/>
    <w:rsid w:val="00105D9D"/>
    <w:rsid w:val="00121A79"/>
    <w:rsid w:val="00142FC9"/>
    <w:rsid w:val="001446EE"/>
    <w:rsid w:val="0015259F"/>
    <w:rsid w:val="001613CD"/>
    <w:rsid w:val="00172C66"/>
    <w:rsid w:val="00176075"/>
    <w:rsid w:val="00192694"/>
    <w:rsid w:val="00194726"/>
    <w:rsid w:val="001A3869"/>
    <w:rsid w:val="001B5456"/>
    <w:rsid w:val="001E31EA"/>
    <w:rsid w:val="0020798D"/>
    <w:rsid w:val="00213557"/>
    <w:rsid w:val="00263308"/>
    <w:rsid w:val="0026513B"/>
    <w:rsid w:val="00271330"/>
    <w:rsid w:val="002B687A"/>
    <w:rsid w:val="002C5C6A"/>
    <w:rsid w:val="002D7BC7"/>
    <w:rsid w:val="002F59CF"/>
    <w:rsid w:val="00341D35"/>
    <w:rsid w:val="00374805"/>
    <w:rsid w:val="00381F07"/>
    <w:rsid w:val="003A1A04"/>
    <w:rsid w:val="003A1CD0"/>
    <w:rsid w:val="00446D54"/>
    <w:rsid w:val="0049774A"/>
    <w:rsid w:val="004A0CF6"/>
    <w:rsid w:val="004C3CF3"/>
    <w:rsid w:val="00510B85"/>
    <w:rsid w:val="00552E42"/>
    <w:rsid w:val="005555B5"/>
    <w:rsid w:val="005722E4"/>
    <w:rsid w:val="00577929"/>
    <w:rsid w:val="00584307"/>
    <w:rsid w:val="005A7412"/>
    <w:rsid w:val="005A7EB2"/>
    <w:rsid w:val="00610D79"/>
    <w:rsid w:val="00615535"/>
    <w:rsid w:val="0063067D"/>
    <w:rsid w:val="00636F54"/>
    <w:rsid w:val="00641D20"/>
    <w:rsid w:val="00642112"/>
    <w:rsid w:val="0066276F"/>
    <w:rsid w:val="00673C5E"/>
    <w:rsid w:val="006E2A27"/>
    <w:rsid w:val="006F4D11"/>
    <w:rsid w:val="00701011"/>
    <w:rsid w:val="00745DBC"/>
    <w:rsid w:val="00751905"/>
    <w:rsid w:val="00756155"/>
    <w:rsid w:val="00784E58"/>
    <w:rsid w:val="007A7AD0"/>
    <w:rsid w:val="00805661"/>
    <w:rsid w:val="0082242A"/>
    <w:rsid w:val="00847102"/>
    <w:rsid w:val="008C5A91"/>
    <w:rsid w:val="008C72B0"/>
    <w:rsid w:val="0091604B"/>
    <w:rsid w:val="009300C0"/>
    <w:rsid w:val="009463A8"/>
    <w:rsid w:val="009908A1"/>
    <w:rsid w:val="00A13A56"/>
    <w:rsid w:val="00A253AD"/>
    <w:rsid w:val="00A34157"/>
    <w:rsid w:val="00A45A1A"/>
    <w:rsid w:val="00A52149"/>
    <w:rsid w:val="00A832E8"/>
    <w:rsid w:val="00A8611D"/>
    <w:rsid w:val="00A958BB"/>
    <w:rsid w:val="00AA2126"/>
    <w:rsid w:val="00AA601D"/>
    <w:rsid w:val="00AB0F2F"/>
    <w:rsid w:val="00AE2169"/>
    <w:rsid w:val="00AF0DD7"/>
    <w:rsid w:val="00B16FED"/>
    <w:rsid w:val="00B309ED"/>
    <w:rsid w:val="00B33273"/>
    <w:rsid w:val="00B6504B"/>
    <w:rsid w:val="00B9367E"/>
    <w:rsid w:val="00BA44E1"/>
    <w:rsid w:val="00BA79AD"/>
    <w:rsid w:val="00BB4793"/>
    <w:rsid w:val="00BD427A"/>
    <w:rsid w:val="00BD749A"/>
    <w:rsid w:val="00BF6763"/>
    <w:rsid w:val="00C07CBF"/>
    <w:rsid w:val="00C40233"/>
    <w:rsid w:val="00C40C2A"/>
    <w:rsid w:val="00C54CF3"/>
    <w:rsid w:val="00C96508"/>
    <w:rsid w:val="00C975C7"/>
    <w:rsid w:val="00CC715A"/>
    <w:rsid w:val="00CE66F9"/>
    <w:rsid w:val="00CF3F8F"/>
    <w:rsid w:val="00D06380"/>
    <w:rsid w:val="00D20B93"/>
    <w:rsid w:val="00D219EC"/>
    <w:rsid w:val="00D421F8"/>
    <w:rsid w:val="00D66F7D"/>
    <w:rsid w:val="00DB285C"/>
    <w:rsid w:val="00DB37AA"/>
    <w:rsid w:val="00DE6E5F"/>
    <w:rsid w:val="00DF4049"/>
    <w:rsid w:val="00E37618"/>
    <w:rsid w:val="00E400A0"/>
    <w:rsid w:val="00E424E1"/>
    <w:rsid w:val="00E8414B"/>
    <w:rsid w:val="00EC2755"/>
    <w:rsid w:val="00ED7599"/>
    <w:rsid w:val="00EE0896"/>
    <w:rsid w:val="00EF2928"/>
    <w:rsid w:val="00F61927"/>
    <w:rsid w:val="00F752DB"/>
    <w:rsid w:val="00F81DE9"/>
    <w:rsid w:val="00F905BC"/>
    <w:rsid w:val="00FF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D5E0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59F"/>
    <w:pPr>
      <w:spacing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2B0"/>
    <w:pPr>
      <w:keepNext/>
      <w:keepLines/>
      <w:spacing w:before="360" w:after="120" w:line="240" w:lineRule="auto"/>
      <w:outlineLvl w:val="0"/>
    </w:pPr>
    <w:rPr>
      <w:rFonts w:eastAsiaTheme="majorEastAsia" w:cstheme="majorBidi"/>
      <w:b/>
      <w:color w:val="8B153D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0B93"/>
    <w:pPr>
      <w:keepNext/>
      <w:keepLines/>
      <w:spacing w:before="120" w:after="120" w:line="240" w:lineRule="auto"/>
      <w:outlineLvl w:val="1"/>
    </w:pPr>
    <w:rPr>
      <w:rFonts w:eastAsiaTheme="majorEastAsia" w:cstheme="majorBidi"/>
      <w:color w:val="BD48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4157"/>
    <w:pPr>
      <w:keepNext/>
      <w:keepLines/>
      <w:spacing w:before="120" w:after="120" w:line="240" w:lineRule="auto"/>
      <w:outlineLvl w:val="2"/>
    </w:pPr>
    <w:rPr>
      <w:rFonts w:eastAsiaTheme="majorEastAsia" w:cstheme="majorBidi"/>
      <w:b/>
      <w:color w:val="415569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34157"/>
    <w:pPr>
      <w:keepNext/>
      <w:keepLines/>
      <w:spacing w:before="120" w:after="120" w:line="240" w:lineRule="auto"/>
      <w:outlineLvl w:val="3"/>
    </w:pPr>
    <w:rPr>
      <w:rFonts w:eastAsiaTheme="majorEastAsia" w:cstheme="majorBidi"/>
      <w:iCs/>
      <w:color w:val="415569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37618"/>
    <w:pPr>
      <w:keepNext/>
      <w:keepLines/>
      <w:spacing w:before="120" w:after="120" w:line="240" w:lineRule="auto"/>
      <w:outlineLvl w:val="4"/>
    </w:pPr>
    <w:rPr>
      <w:rFonts w:eastAsiaTheme="majorEastAsia" w:cstheme="majorBidi"/>
      <w:b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525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50A1E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2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2DB"/>
  </w:style>
  <w:style w:type="paragraph" w:styleId="Footer">
    <w:name w:val="footer"/>
    <w:basedOn w:val="Normal"/>
    <w:link w:val="FooterChar"/>
    <w:uiPriority w:val="99"/>
    <w:unhideWhenUsed/>
    <w:qFormat/>
    <w:rsid w:val="00AB0F2F"/>
    <w:pPr>
      <w:tabs>
        <w:tab w:val="center" w:pos="4513"/>
        <w:tab w:val="right" w:pos="9026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B0F2F"/>
    <w:rPr>
      <w:rFonts w:ascii="Arial" w:hAnsi="Arial"/>
      <w:sz w:val="16"/>
    </w:rPr>
  </w:style>
  <w:style w:type="paragraph" w:styleId="ListParagraph">
    <w:name w:val="List Paragraph"/>
    <w:aliases w:val="Bullet copy,L,Bullet point,List Paragraph111,F5 List Paragraph,Dot pt,CV text,Medium Grid 1 - Accent 21,Numbered Paragraph,List Paragraph2,NFP GP Bulleted List,FooterText,numbered,列出段,#List Paragraph,Recommendation,List Paragraph1,1 headi"/>
    <w:basedOn w:val="Normal"/>
    <w:link w:val="ListParagraphChar"/>
    <w:uiPriority w:val="34"/>
    <w:qFormat/>
    <w:rsid w:val="00B16FED"/>
    <w:pPr>
      <w:spacing w:after="60"/>
    </w:pPr>
  </w:style>
  <w:style w:type="character" w:customStyle="1" w:styleId="Heading1Char">
    <w:name w:val="Heading 1 Char"/>
    <w:basedOn w:val="DefaultParagraphFont"/>
    <w:link w:val="Heading1"/>
    <w:uiPriority w:val="9"/>
    <w:rsid w:val="008C72B0"/>
    <w:rPr>
      <w:rFonts w:ascii="Arial" w:eastAsiaTheme="majorEastAsia" w:hAnsi="Arial" w:cstheme="majorBidi"/>
      <w:b/>
      <w:color w:val="8B153D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0B93"/>
    <w:rPr>
      <w:rFonts w:ascii="Arial" w:eastAsiaTheme="majorEastAsia" w:hAnsi="Arial" w:cstheme="majorBidi"/>
      <w:color w:val="BD483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34157"/>
    <w:rPr>
      <w:rFonts w:ascii="Arial" w:eastAsiaTheme="majorEastAsia" w:hAnsi="Arial" w:cstheme="majorBidi"/>
      <w:b/>
      <w:color w:val="415569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34157"/>
    <w:rPr>
      <w:rFonts w:ascii="Arial" w:eastAsiaTheme="majorEastAsia" w:hAnsi="Arial" w:cstheme="majorBidi"/>
      <w:iCs/>
      <w:color w:val="415569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E37618"/>
    <w:rPr>
      <w:rFonts w:ascii="Arial" w:eastAsiaTheme="majorEastAsia" w:hAnsi="Arial" w:cstheme="majorBidi"/>
      <w:b/>
      <w:color w:val="000000" w:themeColor="text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8A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1"/>
    <w:rsid w:val="00B33273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701011"/>
    <w:rPr>
      <w:rFonts w:ascii="Arial" w:hAnsi="Arial"/>
      <w:i/>
      <w:iCs/>
      <w:color w:val="404040" w:themeColor="text1" w:themeTint="BF"/>
      <w:sz w:val="20"/>
    </w:rPr>
  </w:style>
  <w:style w:type="character" w:styleId="Emphasis">
    <w:name w:val="Emphasis"/>
    <w:basedOn w:val="DefaultParagraphFont"/>
    <w:uiPriority w:val="20"/>
    <w:qFormat/>
    <w:rsid w:val="00B33273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8C72B0"/>
    <w:pPr>
      <w:spacing w:before="240" w:after="0" w:line="240" w:lineRule="auto"/>
      <w:contextualSpacing/>
    </w:pPr>
    <w:rPr>
      <w:rFonts w:eastAsiaTheme="majorEastAsia" w:cstheme="majorBidi"/>
      <w:color w:val="FFFFFF" w:themeColor="background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2B0"/>
    <w:rPr>
      <w:rFonts w:ascii="Arial" w:eastAsiaTheme="majorEastAsia" w:hAnsi="Arial" w:cstheme="majorBidi"/>
      <w:color w:val="FFFFFF" w:themeColor="background1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79AD"/>
    <w:pPr>
      <w:numPr>
        <w:ilvl w:val="1"/>
      </w:numPr>
      <w:spacing w:before="240" w:after="240" w:line="380" w:lineRule="exact"/>
    </w:pPr>
    <w:rPr>
      <w:rFonts w:eastAsiaTheme="minorEastAsia"/>
      <w:b/>
      <w:caps/>
      <w:color w:val="FFFFFF" w:themeColor="background1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79AD"/>
    <w:rPr>
      <w:rFonts w:ascii="Arial" w:eastAsiaTheme="minorEastAsia" w:hAnsi="Arial"/>
      <w:b/>
      <w:caps/>
      <w:color w:val="FFFFFF" w:themeColor="background1"/>
      <w:spacing w:val="15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15259F"/>
    <w:rPr>
      <w:rFonts w:asciiTheme="majorHAnsi" w:eastAsiaTheme="majorEastAsia" w:hAnsiTheme="majorHAnsi" w:cstheme="majorBidi"/>
      <w:color w:val="450A1E" w:themeColor="accent1" w:themeShade="7F"/>
      <w:sz w:val="20"/>
    </w:rPr>
  </w:style>
  <w:style w:type="table" w:styleId="PlainTable3">
    <w:name w:val="Plain Table 3"/>
    <w:basedOn w:val="TableNormal"/>
    <w:uiPriority w:val="43"/>
    <w:rsid w:val="00610D79"/>
    <w:pPr>
      <w:spacing w:after="0" w:line="240" w:lineRule="auto"/>
    </w:pPr>
    <w:tblPr>
      <w:tblStyleRowBandSize w:val="1"/>
      <w:tblStyleColBandSize w:val="1"/>
    </w:tblPr>
    <w:tcPr>
      <w:vAlign w:val="center"/>
    </w:tcPr>
    <w:tblStylePr w:type="firstRow">
      <w:rPr>
        <w:rFonts w:ascii="Arial" w:hAnsi="Arial"/>
        <w:b w:val="0"/>
        <w:bCs/>
        <w:i w:val="0"/>
        <w:caps/>
        <w:color w:val="8B153D" w:themeColor="accen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5615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5615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75615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157"/>
    <w:pPr>
      <w:pBdr>
        <w:top w:val="single" w:sz="4" w:space="10" w:color="808080" w:themeColor="background1" w:themeShade="80"/>
        <w:bottom w:val="single" w:sz="4" w:space="10" w:color="808080" w:themeColor="background1" w:themeShade="80"/>
      </w:pBdr>
      <w:spacing w:before="120" w:after="120"/>
      <w:ind w:left="862" w:right="862"/>
      <w:jc w:val="center"/>
    </w:pPr>
    <w:rPr>
      <w:iCs/>
      <w:color w:val="41556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157"/>
    <w:rPr>
      <w:rFonts w:ascii="Arial" w:hAnsi="Arial"/>
      <w:iCs/>
      <w:color w:val="415569"/>
      <w:sz w:val="20"/>
    </w:rPr>
  </w:style>
  <w:style w:type="character" w:styleId="Hyperlink">
    <w:name w:val="Hyperlink"/>
    <w:basedOn w:val="DefaultParagraphFont"/>
    <w:uiPriority w:val="99"/>
    <w:unhideWhenUsed/>
    <w:rsid w:val="00D219EC"/>
    <w:rPr>
      <w:color w:val="008D9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19EC"/>
    <w:rPr>
      <w:color w:val="605E5C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374805"/>
    <w:rPr>
      <w:i/>
      <w:iCs/>
      <w:color w:val="808080" w:themeColor="background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C975C7"/>
    <w:rPr>
      <w:color w:val="415569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1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190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1905"/>
    <w:rPr>
      <w:rFonts w:ascii="Arial" w:hAnsi="Arial"/>
      <w:sz w:val="20"/>
      <w:szCs w:val="20"/>
    </w:rPr>
  </w:style>
  <w:style w:type="table" w:styleId="TableGridLight">
    <w:name w:val="Grid Table Light"/>
    <w:basedOn w:val="TableNormal"/>
    <w:uiPriority w:val="40"/>
    <w:rsid w:val="0075190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f01">
    <w:name w:val="cf01"/>
    <w:basedOn w:val="DefaultParagraphFont"/>
    <w:rsid w:val="00751905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213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istParagraphChar">
    <w:name w:val="List Paragraph Char"/>
    <w:aliases w:val="Bullet copy Char,L Char,Bullet point Char,List Paragraph111 Char,F5 List Paragraph Char,Dot pt Char,CV text Char,Medium Grid 1 - Accent 21 Char,Numbered Paragraph Char,List Paragraph2 Char,NFP GP Bulleted List Char,FooterText Char"/>
    <w:basedOn w:val="DefaultParagraphFont"/>
    <w:link w:val="ListParagraph"/>
    <w:uiPriority w:val="34"/>
    <w:rsid w:val="00C07CBF"/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3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3CF3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6380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rgov.qld.gov.au/finance-and-procurement/procurement/procurement-resources/templates-including-terms-and-conditions/general-goods-and-services-template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egislation.qld.gov.au/view/pdf/inforce/current/act-2001-069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8B153D"/>
      </a:accent1>
      <a:accent2>
        <a:srgbClr val="008D97"/>
      </a:accent2>
      <a:accent3>
        <a:srgbClr val="8DBAD8"/>
      </a:accent3>
      <a:accent4>
        <a:srgbClr val="BD4830"/>
      </a:accent4>
      <a:accent5>
        <a:srgbClr val="F3D148"/>
      </a:accent5>
      <a:accent6>
        <a:srgbClr val="6ECEC1"/>
      </a:accent6>
      <a:hlink>
        <a:srgbClr val="008D97"/>
      </a:hlink>
      <a:folHlink>
        <a:srgbClr val="41556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E4DA4-66D4-41FC-9746-8FC10F45F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1234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Acknowledgement of Obligations Non-QG employees</dc:title>
  <dc:subject/>
  <dc:creator/>
  <cp:keywords/>
  <dc:description>Acknowledgement of Obligations Non-QG employees</dc:description>
  <cp:lastModifiedBy/>
  <cp:revision>1</cp:revision>
  <dcterms:created xsi:type="dcterms:W3CDTF">2024-05-07T06:13:00Z</dcterms:created>
  <dcterms:modified xsi:type="dcterms:W3CDTF">2024-05-07T23:25:00Z</dcterms:modified>
</cp:coreProperties>
</file>