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AFE" w:rsidRDefault="000F2AFE" w:rsidP="00384FEB">
      <w:pPr>
        <w:pStyle w:val="Titlepageheading"/>
        <w:pBdr>
          <w:bottom w:val="none" w:sz="0" w:space="0" w:color="auto"/>
        </w:pBdr>
        <w:spacing w:before="240"/>
      </w:pPr>
    </w:p>
    <w:p w:rsidR="00384FEB" w:rsidRDefault="000F3955" w:rsidP="00384FEB">
      <w:pPr>
        <w:pStyle w:val="Titlepageheading"/>
        <w:pBdr>
          <w:bottom w:val="none" w:sz="0" w:space="0" w:color="auto"/>
        </w:pBdr>
        <w:spacing w:before="240"/>
      </w:pPr>
      <w:r>
        <w:t>Pre-determining the release status of information</w:t>
      </w:r>
    </w:p>
    <w:p w:rsidR="00A049F6" w:rsidRPr="00384FEB" w:rsidRDefault="001604D9" w:rsidP="00766CCB">
      <w:pPr>
        <w:rPr>
          <w:sz w:val="30"/>
          <w:szCs w:val="30"/>
        </w:rPr>
      </w:pPr>
      <w:r>
        <w:rPr>
          <w:rFonts w:cs="Arial"/>
          <w:color w:val="4D4D4D"/>
          <w:sz w:val="30"/>
          <w:szCs w:val="30"/>
        </w:rPr>
        <w:t xml:space="preserve">Ex </w:t>
      </w:r>
      <w:r w:rsidR="000F3955">
        <w:rPr>
          <w:rFonts w:cs="Arial"/>
          <w:color w:val="4D4D4D"/>
          <w:sz w:val="30"/>
          <w:szCs w:val="30"/>
        </w:rPr>
        <w:t>ante decision making guideline</w:t>
      </w:r>
    </w:p>
    <w:p w:rsidR="005E7B99" w:rsidRPr="00384FEB" w:rsidRDefault="005E7B99" w:rsidP="006517B2">
      <w:pPr>
        <w:spacing w:before="360" w:after="240" w:line="264" w:lineRule="auto"/>
        <w:rPr>
          <w:rFonts w:cs="Arial"/>
          <w:color w:val="4D4D4D"/>
          <w:sz w:val="30"/>
          <w:szCs w:val="30"/>
        </w:rPr>
      </w:pPr>
    </w:p>
    <w:p w:rsidR="005E7B99" w:rsidRDefault="005E7B99" w:rsidP="006517B2">
      <w:pPr>
        <w:spacing w:before="360" w:after="240" w:line="264" w:lineRule="auto"/>
        <w:rPr>
          <w:rFonts w:cs="Arial"/>
          <w:color w:val="4D4D4D"/>
          <w:sz w:val="30"/>
          <w:szCs w:val="30"/>
        </w:rPr>
      </w:pPr>
    </w:p>
    <w:p w:rsidR="00384FEB" w:rsidRDefault="00384FEB" w:rsidP="006517B2">
      <w:pPr>
        <w:spacing w:before="360" w:after="240" w:line="264" w:lineRule="auto"/>
        <w:rPr>
          <w:rFonts w:cs="Arial"/>
          <w:color w:val="4D4D4D"/>
          <w:sz w:val="30"/>
          <w:szCs w:val="30"/>
        </w:rPr>
      </w:pPr>
    </w:p>
    <w:p w:rsidR="00384FEB" w:rsidRDefault="00384FEB" w:rsidP="006517B2">
      <w:pPr>
        <w:spacing w:before="360" w:after="240" w:line="264" w:lineRule="auto"/>
        <w:rPr>
          <w:rFonts w:cs="Arial"/>
          <w:color w:val="4D4D4D"/>
          <w:sz w:val="30"/>
          <w:szCs w:val="30"/>
        </w:rPr>
      </w:pPr>
    </w:p>
    <w:p w:rsidR="00384FEB" w:rsidRDefault="000F2AFE" w:rsidP="00384FEB">
      <w:pPr>
        <w:pStyle w:val="TitlePageOptionalTextLine"/>
        <w:spacing w:before="180" w:after="60" w:line="264" w:lineRule="auto"/>
        <w:rPr>
          <w:color w:val="595959"/>
        </w:rPr>
      </w:pPr>
      <w:r>
        <w:rPr>
          <w:color w:val="336699"/>
        </w:rPr>
        <w:t>Final</w:t>
      </w:r>
    </w:p>
    <w:p w:rsidR="003E716D" w:rsidRPr="00384FEB" w:rsidRDefault="000F2AFE" w:rsidP="00384FEB">
      <w:pPr>
        <w:spacing w:before="180" w:after="60" w:line="264" w:lineRule="auto"/>
        <w:rPr>
          <w:color w:val="336699"/>
          <w:sz w:val="30"/>
          <w:szCs w:val="24"/>
        </w:rPr>
      </w:pPr>
      <w:r>
        <w:rPr>
          <w:color w:val="336699"/>
          <w:sz w:val="30"/>
          <w:szCs w:val="24"/>
        </w:rPr>
        <w:t>February</w:t>
      </w:r>
      <w:r w:rsidR="000F3955">
        <w:rPr>
          <w:color w:val="336699"/>
          <w:sz w:val="30"/>
          <w:szCs w:val="24"/>
        </w:rPr>
        <w:t xml:space="preserve"> 2018</w:t>
      </w:r>
    </w:p>
    <w:p w:rsidR="00A049F6" w:rsidRPr="00384FEB" w:rsidRDefault="000F2AFE" w:rsidP="00384FEB">
      <w:pPr>
        <w:spacing w:before="180" w:after="60" w:line="264" w:lineRule="auto"/>
        <w:rPr>
          <w:color w:val="336699"/>
          <w:sz w:val="30"/>
          <w:szCs w:val="24"/>
        </w:rPr>
      </w:pPr>
      <w:r>
        <w:rPr>
          <w:color w:val="336699"/>
          <w:sz w:val="30"/>
          <w:szCs w:val="24"/>
        </w:rPr>
        <w:t>v3.0.0</w:t>
      </w:r>
    </w:p>
    <w:p w:rsidR="00EF2086" w:rsidRPr="009142A2" w:rsidRDefault="00EF2086" w:rsidP="006517B2">
      <w:pPr>
        <w:spacing w:before="360" w:after="240" w:line="264" w:lineRule="auto"/>
      </w:pPr>
    </w:p>
    <w:p w:rsidR="00EF2086" w:rsidRPr="00384FEB" w:rsidRDefault="000F2AFE" w:rsidP="00384FEB">
      <w:pPr>
        <w:spacing w:before="180" w:after="60" w:line="264" w:lineRule="auto"/>
        <w:rPr>
          <w:color w:val="336699"/>
          <w:sz w:val="30"/>
          <w:szCs w:val="24"/>
        </w:rPr>
      </w:pPr>
      <w:r>
        <w:rPr>
          <w:color w:val="336699"/>
          <w:sz w:val="30"/>
          <w:szCs w:val="24"/>
        </w:rPr>
        <w:t>PUBLIC</w:t>
      </w:r>
    </w:p>
    <w:p w:rsidR="00506597" w:rsidRDefault="00506597" w:rsidP="00766CCB">
      <w:r>
        <w:br w:type="page"/>
      </w:r>
    </w:p>
    <w:p w:rsidR="00C40C29" w:rsidRPr="00831408" w:rsidRDefault="00C40C29" w:rsidP="000F2AFE">
      <w:pPr>
        <w:pStyle w:val="Heading2nonumber"/>
        <w:tabs>
          <w:tab w:val="left" w:pos="4230"/>
          <w:tab w:val="left" w:pos="5175"/>
        </w:tabs>
      </w:pPr>
      <w:r w:rsidRPr="00831408">
        <w:lastRenderedPageBreak/>
        <w:t>Document details</w:t>
      </w:r>
      <w:r w:rsidR="009465BC">
        <w:tab/>
      </w:r>
      <w:r w:rsidR="000F2AFE">
        <w:tab/>
      </w:r>
    </w:p>
    <w:tbl>
      <w:tblPr>
        <w:tblStyle w:val="Table-LowInk"/>
        <w:tblW w:w="0" w:type="auto"/>
        <w:tblInd w:w="6" w:type="dxa"/>
        <w:tblBorders>
          <w:top w:val="single" w:sz="12" w:space="0" w:color="C0C0C0"/>
          <w:bottom w:val="single" w:sz="12" w:space="0" w:color="C0C0C0"/>
        </w:tblBorders>
        <w:tblLook w:val="01C0" w:firstRow="0" w:lastRow="1" w:firstColumn="1" w:lastColumn="1" w:noHBand="0" w:noVBand="0"/>
      </w:tblPr>
      <w:tblGrid>
        <w:gridCol w:w="2635"/>
        <w:gridCol w:w="440"/>
        <w:gridCol w:w="1701"/>
        <w:gridCol w:w="344"/>
        <w:gridCol w:w="2382"/>
        <w:gridCol w:w="452"/>
        <w:gridCol w:w="1668"/>
      </w:tblGrid>
      <w:tr w:rsidR="006334ED" w:rsidRPr="00EE390B" w:rsidTr="00BE0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334ED" w:rsidRPr="00BE083C" w:rsidRDefault="006334ED" w:rsidP="006517B2">
            <w:pPr>
              <w:pStyle w:val="TableText"/>
              <w:rPr>
                <w:b/>
              </w:rPr>
            </w:pPr>
            <w:r w:rsidRPr="00BE083C">
              <w:rPr>
                <w:b/>
              </w:rPr>
              <w:t>Security classification</w:t>
            </w:r>
          </w:p>
        </w:tc>
        <w:tc>
          <w:tcPr>
            <w:tcW w:w="7061" w:type="dxa"/>
            <w:gridSpan w:val="6"/>
          </w:tcPr>
          <w:p w:rsidR="006334ED" w:rsidRPr="006D5D95" w:rsidRDefault="000F2AFE" w:rsidP="006517B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</w:t>
            </w:r>
          </w:p>
        </w:tc>
      </w:tr>
      <w:tr w:rsidR="006334ED" w:rsidTr="00BE0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334ED" w:rsidRPr="00BE083C" w:rsidRDefault="006334ED" w:rsidP="006517B2">
            <w:pPr>
              <w:pStyle w:val="TableText"/>
              <w:rPr>
                <w:b/>
              </w:rPr>
            </w:pPr>
            <w:r w:rsidRPr="00BE083C">
              <w:rPr>
                <w:b/>
              </w:rPr>
              <w:t>Date of review of security classification</w:t>
            </w:r>
          </w:p>
        </w:tc>
        <w:tc>
          <w:tcPr>
            <w:tcW w:w="7061" w:type="dxa"/>
            <w:gridSpan w:val="6"/>
          </w:tcPr>
          <w:p w:rsidR="006334ED" w:rsidRPr="000D5487" w:rsidRDefault="000F2AFE" w:rsidP="006517B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9465BC">
              <w:t xml:space="preserve"> 2018</w:t>
            </w:r>
          </w:p>
        </w:tc>
      </w:tr>
      <w:tr w:rsidR="006334ED" w:rsidTr="00BE0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334ED" w:rsidRPr="00BE083C" w:rsidRDefault="006334ED" w:rsidP="006517B2">
            <w:pPr>
              <w:pStyle w:val="TableText"/>
              <w:rPr>
                <w:b/>
              </w:rPr>
            </w:pPr>
            <w:r w:rsidRPr="00BE083C">
              <w:rPr>
                <w:b/>
              </w:rPr>
              <w:t>Authority</w:t>
            </w:r>
          </w:p>
        </w:tc>
        <w:tc>
          <w:tcPr>
            <w:tcW w:w="7061" w:type="dxa"/>
            <w:gridSpan w:val="6"/>
          </w:tcPr>
          <w:p w:rsidR="006334ED" w:rsidRPr="006D5D95" w:rsidRDefault="006334ED" w:rsidP="006517B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93E">
              <w:t>Queensland Government Chief Information Office</w:t>
            </w:r>
            <w:r>
              <w:t>r</w:t>
            </w:r>
          </w:p>
        </w:tc>
      </w:tr>
      <w:tr w:rsidR="006334ED" w:rsidTr="00BE0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334ED" w:rsidRPr="00BE083C" w:rsidRDefault="006334ED" w:rsidP="006517B2">
            <w:pPr>
              <w:pStyle w:val="TableText"/>
              <w:rPr>
                <w:b/>
              </w:rPr>
            </w:pPr>
            <w:r w:rsidRPr="00BE083C">
              <w:rPr>
                <w:b/>
              </w:rPr>
              <w:t>Author</w:t>
            </w:r>
          </w:p>
        </w:tc>
        <w:tc>
          <w:tcPr>
            <w:tcW w:w="7061" w:type="dxa"/>
            <w:gridSpan w:val="6"/>
          </w:tcPr>
          <w:p w:rsidR="006334ED" w:rsidRPr="006D5D95" w:rsidRDefault="009465BC" w:rsidP="006517B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93E">
              <w:t>Queensland Government Chief Information Office</w:t>
            </w:r>
          </w:p>
        </w:tc>
      </w:tr>
      <w:tr w:rsidR="006334ED" w:rsidRPr="00EE390B" w:rsidTr="00BE08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Pr="00BE083C" w:rsidRDefault="006334ED" w:rsidP="006517B2">
            <w:pPr>
              <w:pStyle w:val="TableText"/>
              <w:rPr>
                <w:b/>
              </w:rPr>
            </w:pPr>
            <w:r w:rsidRPr="00BE083C">
              <w:rPr>
                <w:b/>
              </w:rPr>
              <w:t>Documentation status</w:t>
            </w:r>
          </w:p>
        </w:tc>
        <w:tc>
          <w:tcPr>
            <w:tcW w:w="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Pr="006517B2" w:rsidRDefault="006334ED" w:rsidP="006517B2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Pr="00F30414" w:rsidRDefault="006334ED" w:rsidP="006517B2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F30414">
              <w:t xml:space="preserve">Working </w:t>
            </w:r>
            <w:r>
              <w:t>d</w:t>
            </w:r>
            <w:r w:rsidRPr="00F30414">
              <w:t>raft</w:t>
            </w:r>
          </w:p>
        </w:tc>
        <w:tc>
          <w:tcPr>
            <w:tcW w:w="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Pr="00EE390B" w:rsidRDefault="006334ED" w:rsidP="006517B2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Pr="00EE390B" w:rsidRDefault="006334ED" w:rsidP="006517B2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EE390B">
              <w:t>Consultation release</w:t>
            </w:r>
          </w:p>
        </w:tc>
        <w:tc>
          <w:tcPr>
            <w:tcW w:w="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Pr="00EE390B" w:rsidRDefault="000F2AFE" w:rsidP="006517B2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517B2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7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334ED" w:rsidRDefault="006334ED" w:rsidP="006517B2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EE390B">
              <w:t>Final version</w:t>
            </w:r>
          </w:p>
        </w:tc>
      </w:tr>
    </w:tbl>
    <w:p w:rsidR="00C40C29" w:rsidRPr="00831408" w:rsidRDefault="00C40C29" w:rsidP="00B12183">
      <w:pPr>
        <w:pStyle w:val="Heading2nonumber"/>
      </w:pPr>
      <w:r w:rsidRPr="00831408">
        <w:t>Contact for enquiries and proposed changes</w:t>
      </w:r>
    </w:p>
    <w:p w:rsidR="00C40C29" w:rsidRPr="00C40C29" w:rsidRDefault="00C40C29" w:rsidP="006517B2">
      <w:pPr>
        <w:pStyle w:val="Bodystylefordocumentdetails"/>
      </w:pPr>
      <w:r w:rsidRPr="00C40C29">
        <w:t>All enquiries regarding this document should be directed in the first instance to:</w:t>
      </w:r>
    </w:p>
    <w:p w:rsidR="007861C3" w:rsidRDefault="009465BC" w:rsidP="006517B2">
      <w:pPr>
        <w:pStyle w:val="Bodystylefordocumentdetails"/>
      </w:pPr>
      <w:r w:rsidRPr="008B293E">
        <w:t>Queensland Government Chief Information Office</w:t>
      </w:r>
      <w:r w:rsidR="007861C3" w:rsidRPr="008B293E">
        <w:rPr>
          <w:highlight w:val="yellow"/>
        </w:rPr>
        <w:br/>
      </w:r>
      <w:hyperlink r:id="rId8" w:history="1">
        <w:r w:rsidRPr="00CF35C4">
          <w:rPr>
            <w:rStyle w:val="Hyperlink"/>
          </w:rPr>
          <w:t>qgcio@qgcio.qld.gov.au</w:t>
        </w:r>
      </w:hyperlink>
      <w:r>
        <w:t xml:space="preserve"> </w:t>
      </w:r>
    </w:p>
    <w:p w:rsidR="00BB2720" w:rsidRPr="00831408" w:rsidRDefault="00BB2720" w:rsidP="00B12183">
      <w:pPr>
        <w:pStyle w:val="Heading2nonumber"/>
      </w:pPr>
      <w:r w:rsidRPr="00831408">
        <w:t>Acknowledgements</w:t>
      </w:r>
    </w:p>
    <w:p w:rsidR="00BB2720" w:rsidRPr="00C40C29" w:rsidRDefault="00BB2720" w:rsidP="006517B2">
      <w:pPr>
        <w:pStyle w:val="Bodystylefordocumentdetails"/>
      </w:pPr>
      <w:r w:rsidRPr="00C40C29">
        <w:t xml:space="preserve">This version of the </w:t>
      </w:r>
      <w:r w:rsidR="009465BC" w:rsidRPr="009465BC">
        <w:rPr>
          <w:i/>
          <w:szCs w:val="22"/>
        </w:rPr>
        <w:t>Pre-determining the release status of information: ex</w:t>
      </w:r>
      <w:r w:rsidR="001C5D52">
        <w:rPr>
          <w:i/>
          <w:szCs w:val="22"/>
        </w:rPr>
        <w:t xml:space="preserve"> </w:t>
      </w:r>
      <w:r w:rsidR="009465BC" w:rsidRPr="009465BC">
        <w:rPr>
          <w:i/>
          <w:szCs w:val="22"/>
        </w:rPr>
        <w:t>ante decision making guideline</w:t>
      </w:r>
      <w:r w:rsidR="009465BC">
        <w:rPr>
          <w:i/>
          <w:szCs w:val="22"/>
        </w:rPr>
        <w:t xml:space="preserve"> </w:t>
      </w:r>
      <w:r w:rsidRPr="00C40C29">
        <w:t xml:space="preserve">was developed and updated by </w:t>
      </w:r>
      <w:r w:rsidR="009465BC" w:rsidRPr="008B293E">
        <w:t>Queensland Government Chief Information Office</w:t>
      </w:r>
      <w:r w:rsidRPr="00C40C29">
        <w:t>.</w:t>
      </w:r>
    </w:p>
    <w:p w:rsidR="00BB2720" w:rsidRPr="00C40C29" w:rsidRDefault="00BB2720" w:rsidP="006517B2">
      <w:pPr>
        <w:pStyle w:val="Bodystylefordocumentdetails"/>
      </w:pPr>
      <w:r>
        <w:t>F</w:t>
      </w:r>
      <w:r w:rsidRPr="00C40C29">
        <w:t>eedback was</w:t>
      </w:r>
      <w:r>
        <w:t xml:space="preserve"> also</w:t>
      </w:r>
      <w:r w:rsidRPr="00C40C29">
        <w:t xml:space="preserve"> received from a number of agencies, which was greatly appreciated.</w:t>
      </w:r>
    </w:p>
    <w:p w:rsidR="00C40C29" w:rsidRPr="00831408" w:rsidRDefault="00C40C29" w:rsidP="00B12183">
      <w:pPr>
        <w:pStyle w:val="Heading2nonumber"/>
      </w:pPr>
      <w:r w:rsidRPr="00831408">
        <w:t>Copyright</w:t>
      </w:r>
    </w:p>
    <w:p w:rsidR="00754C94" w:rsidRPr="009465BC" w:rsidRDefault="009465BC" w:rsidP="006517B2">
      <w:pPr>
        <w:pStyle w:val="Bodystylefordocumentdetails"/>
        <w:rPr>
          <w:i/>
          <w:szCs w:val="22"/>
        </w:rPr>
      </w:pPr>
      <w:r w:rsidRPr="009465BC">
        <w:rPr>
          <w:i/>
          <w:szCs w:val="22"/>
        </w:rPr>
        <w:t>Pre-determining the release status of information: ex</w:t>
      </w:r>
      <w:r w:rsidR="001C5D52">
        <w:rPr>
          <w:i/>
          <w:szCs w:val="22"/>
        </w:rPr>
        <w:t xml:space="preserve"> </w:t>
      </w:r>
      <w:r w:rsidRPr="009465BC">
        <w:rPr>
          <w:i/>
          <w:szCs w:val="22"/>
        </w:rPr>
        <w:t>ante decision making guideline</w:t>
      </w:r>
    </w:p>
    <w:p w:rsidR="00C40C29" w:rsidRPr="00FB5186" w:rsidRDefault="00C40C29" w:rsidP="006517B2">
      <w:pPr>
        <w:pStyle w:val="Bodystylefordocumentdetails"/>
      </w:pPr>
      <w:r w:rsidRPr="00FB5186">
        <w:t>© The State of Queensland (</w:t>
      </w:r>
      <w:r w:rsidR="006C7E44">
        <w:t>Queensland Government Chief Information Office</w:t>
      </w:r>
      <w:r w:rsidRPr="00FB5186">
        <w:t>)</w:t>
      </w:r>
      <w:r w:rsidR="00013A6E">
        <w:t xml:space="preserve"> </w:t>
      </w:r>
      <w:r w:rsidR="00FC066D">
        <w:t>20</w:t>
      </w:r>
      <w:r w:rsidR="00754C94">
        <w:t>1</w:t>
      </w:r>
      <w:r w:rsidR="001C5D52">
        <w:t>8</w:t>
      </w:r>
    </w:p>
    <w:p w:rsidR="007A3856" w:rsidRPr="00831408" w:rsidRDefault="007A3856" w:rsidP="00B12183">
      <w:pPr>
        <w:pStyle w:val="Heading2nonumber"/>
      </w:pPr>
      <w:r w:rsidRPr="00831408">
        <w:t>Licence</w:t>
      </w:r>
    </w:p>
    <w:p w:rsidR="000F2AFE" w:rsidRDefault="000F2AFE" w:rsidP="000F2AFE">
      <w:pPr>
        <w:pStyle w:val="Bodystylefordocumentdetails"/>
      </w:pPr>
      <w:r>
        <w:rPr>
          <w:noProof/>
        </w:rPr>
        <w:drawing>
          <wp:inline distT="0" distB="0" distL="0" distR="0" wp14:anchorId="6F32F905" wp14:editId="1188328D">
            <wp:extent cx="866775" cy="304800"/>
            <wp:effectExtent l="0" t="0" r="9525" b="0"/>
            <wp:docPr id="14" name="Picture 14" descr="裰矺㡰矵䒨矹絰矵診矵㚄ꡠͩ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裰矺㡰矵䒨矹絰矵診矵㚄ꡠͩ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0F2AFE" w:rsidRDefault="000F2AFE" w:rsidP="000F2AFE">
      <w:pPr>
        <w:pStyle w:val="Bodystylefordocumentdetails"/>
      </w:pPr>
      <w:r>
        <w:rPr>
          <w:szCs w:val="22"/>
        </w:rPr>
        <w:t>This work</w:t>
      </w:r>
      <w:r>
        <w:rPr>
          <w:rFonts w:cs="Arial"/>
          <w:szCs w:val="22"/>
        </w:rPr>
        <w:t xml:space="preserve"> </w:t>
      </w:r>
      <w:r>
        <w:rPr>
          <w:szCs w:val="22"/>
        </w:rPr>
        <w:t xml:space="preserve">is licensed under a Creative Commons Attribution 4.0 International licence. To view the terms of this licence, visit </w:t>
      </w:r>
      <w:hyperlink r:id="rId11" w:history="1">
        <w:r>
          <w:rPr>
            <w:rStyle w:val="Hyperlink"/>
            <w:szCs w:val="22"/>
          </w:rPr>
          <w:t>http://creativecommons.org/licenses/by/4.0/</w:t>
        </w:r>
      </w:hyperlink>
      <w:r>
        <w:rPr>
          <w:szCs w:val="22"/>
        </w:rPr>
        <w:t xml:space="preserve">. For permissions beyond the scope of this licence, contact </w:t>
      </w:r>
      <w:hyperlink r:id="rId12" w:history="1">
        <w:r>
          <w:rPr>
            <w:rStyle w:val="Hyperlink"/>
            <w:szCs w:val="22"/>
          </w:rPr>
          <w:t>qgcio@qgcio.qld.gov.au</w:t>
        </w:r>
      </w:hyperlink>
      <w:r>
        <w:rPr>
          <w:szCs w:val="22"/>
        </w:rPr>
        <w:t xml:space="preserve">. </w:t>
      </w:r>
    </w:p>
    <w:p w:rsidR="000F2AFE" w:rsidRDefault="000F2AFE" w:rsidP="000F2AFE">
      <w:pPr>
        <w:pStyle w:val="BodyText"/>
        <w:ind w:left="0"/>
        <w:rPr>
          <w:szCs w:val="22"/>
        </w:rPr>
      </w:pPr>
      <w:r>
        <w:rPr>
          <w:szCs w:val="22"/>
        </w:rPr>
        <w:t xml:space="preserve">To attribute this material, cite the Queensland Government Chief Information Office. </w:t>
      </w:r>
    </w:p>
    <w:p w:rsidR="000F2AFE" w:rsidRDefault="000F2AFE" w:rsidP="000F2AFE">
      <w:pPr>
        <w:pStyle w:val="BodyText"/>
        <w:ind w:left="0"/>
        <w:rPr>
          <w:szCs w:val="22"/>
        </w:rPr>
      </w:pPr>
      <w:r>
        <w:rPr>
          <w:szCs w:val="22"/>
        </w:rPr>
        <w:t xml:space="preserve">The licence does not apply to any branding or images. </w:t>
      </w:r>
    </w:p>
    <w:p w:rsidR="00527E24" w:rsidRPr="00831408" w:rsidRDefault="00527E24" w:rsidP="00B12183">
      <w:pPr>
        <w:pStyle w:val="Heading2nonumber"/>
      </w:pPr>
      <w:r w:rsidRPr="00831408">
        <w:t>Information security</w:t>
      </w:r>
    </w:p>
    <w:p w:rsidR="00C40C29" w:rsidRPr="00C40C29" w:rsidRDefault="00C40C29" w:rsidP="006517B2">
      <w:pPr>
        <w:pStyle w:val="Bodystylefordocumentdetails"/>
      </w:pPr>
      <w:r w:rsidRPr="00C40C29">
        <w:t xml:space="preserve">This </w:t>
      </w:r>
      <w:r w:rsidR="00EA6654">
        <w:t>document</w:t>
      </w:r>
      <w:r w:rsidRPr="00C40C29">
        <w:t xml:space="preserve"> has been security classified using the Queensland Government Information Security Classification Framework (QGISCF) as </w:t>
      </w:r>
      <w:r w:rsidR="001C5D52">
        <w:t>PUBLIC</w:t>
      </w:r>
      <w:r w:rsidRPr="00C40C29">
        <w:t xml:space="preserve"> and will be managed according to the requirements of the QGISCF.</w:t>
      </w:r>
    </w:p>
    <w:p w:rsidR="00571312" w:rsidRPr="00B12183" w:rsidRDefault="00DE6BBA" w:rsidP="00B12183">
      <w:pPr>
        <w:pStyle w:val="Heading1nonumber"/>
        <w:pageBreakBefore/>
        <w:rPr>
          <w:color w:val="5F5F5F"/>
        </w:rPr>
      </w:pPr>
      <w:r w:rsidRPr="00B12183">
        <w:rPr>
          <w:color w:val="5F5F5F"/>
        </w:rPr>
        <w:lastRenderedPageBreak/>
        <w:t>C</w:t>
      </w:r>
      <w:r w:rsidR="009D3F26" w:rsidRPr="00B12183">
        <w:rPr>
          <w:color w:val="5F5F5F"/>
        </w:rPr>
        <w:t>ontents</w:t>
      </w:r>
    </w:p>
    <w:p w:rsidR="005D1D26" w:rsidRDefault="00C314B4">
      <w:pPr>
        <w:pStyle w:val="TOC1"/>
        <w:rPr>
          <w:rFonts w:asciiTheme="minorHAnsi" w:eastAsiaTheme="minorEastAsia" w:hAnsiTheme="minorHAnsi" w:cstheme="minorBidi"/>
          <w:b w:val="0"/>
          <w:snapToGrid/>
          <w:kern w:val="0"/>
          <w:szCs w:val="22"/>
        </w:rPr>
      </w:pPr>
      <w:r w:rsidRPr="00766CCB">
        <w:fldChar w:fldCharType="begin"/>
      </w:r>
      <w:r w:rsidRPr="00766CCB">
        <w:instrText xml:space="preserve"> TOC \o "1-1" \h \z \t "Heading 2,2" </w:instrText>
      </w:r>
      <w:r w:rsidRPr="00766CCB">
        <w:fldChar w:fldCharType="separate"/>
      </w:r>
      <w:hyperlink w:anchor="_Toc504572187" w:history="1">
        <w:r w:rsidR="005D1D26" w:rsidRPr="00F30EA7">
          <w:rPr>
            <w:rStyle w:val="Hyperlink"/>
          </w:rPr>
          <w:t>1</w:t>
        </w:r>
        <w:r w:rsidR="005D1D26">
          <w:rPr>
            <w:rFonts w:asciiTheme="minorHAnsi" w:eastAsiaTheme="minorEastAsia" w:hAnsiTheme="minorHAnsi" w:cstheme="minorBidi"/>
            <w:b w:val="0"/>
            <w:snapToGrid/>
            <w:kern w:val="0"/>
            <w:szCs w:val="22"/>
          </w:rPr>
          <w:tab/>
        </w:r>
        <w:r w:rsidR="005D1D26" w:rsidRPr="00F30EA7">
          <w:rPr>
            <w:rStyle w:val="Hyperlink"/>
          </w:rPr>
          <w:t>Introduction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_Toc504572187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88" w:history="1">
        <w:r w:rsidR="005D1D26" w:rsidRPr="00F30EA7">
          <w:rPr>
            <w:rStyle w:val="Hyperlink"/>
          </w:rPr>
          <w:t>1.1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Purpose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_Toc504572188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89" w:history="1">
        <w:r w:rsidR="005D1D26" w:rsidRPr="00F30EA7">
          <w:rPr>
            <w:rStyle w:val="Hyperlink"/>
          </w:rPr>
          <w:t>1.2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Audience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_Toc504572189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0" w:history="1">
        <w:r w:rsidR="005D1D26" w:rsidRPr="00F30EA7">
          <w:rPr>
            <w:rStyle w:val="Hyperlink"/>
          </w:rPr>
          <w:t>1.3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QGEA domains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_Toc504572190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1"/>
        <w:rPr>
          <w:rFonts w:asciiTheme="minorHAnsi" w:eastAsiaTheme="minorEastAsia" w:hAnsiTheme="minorHAnsi" w:cstheme="minorBidi"/>
          <w:b w:val="0"/>
          <w:snapToGrid/>
          <w:kern w:val="0"/>
          <w:szCs w:val="22"/>
        </w:rPr>
      </w:pPr>
      <w:hyperlink w:anchor="_Toc504572191" w:history="1">
        <w:r w:rsidR="005D1D26" w:rsidRPr="00F30EA7">
          <w:rPr>
            <w:rStyle w:val="Hyperlink"/>
          </w:rPr>
          <w:t>2</w:t>
        </w:r>
        <w:r w:rsidR="005D1D26">
          <w:rPr>
            <w:rFonts w:asciiTheme="minorHAnsi" w:eastAsiaTheme="minorEastAsia" w:hAnsiTheme="minorHAnsi" w:cstheme="minorBidi"/>
            <w:b w:val="0"/>
            <w:snapToGrid/>
            <w:kern w:val="0"/>
            <w:szCs w:val="22"/>
          </w:rPr>
          <w:tab/>
        </w:r>
        <w:r w:rsidR="005D1D26" w:rsidRPr="00F30EA7">
          <w:rPr>
            <w:rStyle w:val="Hyperlink"/>
          </w:rPr>
          <w:t>Background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_Toc504572191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2" w:history="1">
        <w:r w:rsidR="005D1D26" w:rsidRPr="00F30EA7">
          <w:rPr>
            <w:rStyle w:val="Hyperlink"/>
          </w:rPr>
          <w:t>2.1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What does the term ex ante mean?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_Toc504572192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3" w:history="1">
        <w:r w:rsidR="005D1D26" w:rsidRPr="00F30EA7">
          <w:rPr>
            <w:rStyle w:val="Hyperlink"/>
          </w:rPr>
          <w:t>2.2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Why were the ex ante decision-making considerations developed?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_Toc504572193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4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4" w:history="1">
        <w:r w:rsidR="005D1D26" w:rsidRPr="00F30EA7">
          <w:rPr>
            <w:rStyle w:val="Hyperlink"/>
          </w:rPr>
          <w:t>2.3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What is the purpose of ex ante decision-making considerations?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_Toc504572194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5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1"/>
        <w:rPr>
          <w:rFonts w:asciiTheme="minorHAnsi" w:eastAsiaTheme="minorEastAsia" w:hAnsiTheme="minorHAnsi" w:cstheme="minorBidi"/>
          <w:b w:val="0"/>
          <w:snapToGrid/>
          <w:kern w:val="0"/>
          <w:szCs w:val="22"/>
        </w:rPr>
      </w:pPr>
      <w:hyperlink w:anchor="_Toc504572195" w:history="1">
        <w:r w:rsidR="005D1D26" w:rsidRPr="00F30EA7">
          <w:rPr>
            <w:rStyle w:val="Hyperlink"/>
          </w:rPr>
          <w:t>3</w:t>
        </w:r>
        <w:r w:rsidR="005D1D26">
          <w:rPr>
            <w:rFonts w:asciiTheme="minorHAnsi" w:eastAsiaTheme="minorEastAsia" w:hAnsiTheme="minorHAnsi" w:cstheme="minorBidi"/>
            <w:b w:val="0"/>
            <w:snapToGrid/>
            <w:kern w:val="0"/>
            <w:szCs w:val="22"/>
          </w:rPr>
          <w:tab/>
        </w:r>
        <w:r w:rsidR="005D1D26" w:rsidRPr="00F30EA7">
          <w:rPr>
            <w:rStyle w:val="Hyperlink"/>
          </w:rPr>
          <w:t>Operation of the ex ante decision-making considerations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_Toc504572195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6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6" w:history="1">
        <w:r w:rsidR="005D1D26" w:rsidRPr="00F30EA7">
          <w:rPr>
            <w:rStyle w:val="Hyperlink"/>
          </w:rPr>
          <w:t>3.1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What information is subject to ex ante decision-making considerations?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_Toc504572196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8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7" w:history="1">
        <w:r w:rsidR="005D1D26" w:rsidRPr="00F30EA7">
          <w:rPr>
            <w:rStyle w:val="Hyperlink"/>
          </w:rPr>
          <w:t>3.2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When are the ex ante decision-making considerations applicable?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_Toc504572197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8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8" w:history="1">
        <w:r w:rsidR="005D1D26" w:rsidRPr="00F30EA7">
          <w:rPr>
            <w:rStyle w:val="Hyperlink"/>
          </w:rPr>
          <w:t>3.3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Applying ex ante decision-making considerations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_Toc504572198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8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199" w:history="1">
        <w:r w:rsidR="005D1D26" w:rsidRPr="00F30EA7">
          <w:rPr>
            <w:rStyle w:val="Hyperlink"/>
          </w:rPr>
          <w:t>3.4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Information identified as ‘yes – may be released’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_Toc504572199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9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0" w:history="1">
        <w:r w:rsidR="005D1D26" w:rsidRPr="00F30EA7">
          <w:rPr>
            <w:rStyle w:val="Hyperlink"/>
          </w:rPr>
          <w:t>3.5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Information identified as ‘undetermined – requires further consideration’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_Toc504572200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9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1" w:history="1">
        <w:r w:rsidR="005D1D26" w:rsidRPr="00F30EA7">
          <w:rPr>
            <w:rStyle w:val="Hyperlink"/>
          </w:rPr>
          <w:t>3.6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Information identified as ‘no – may not be released at this point in time’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_Toc504572201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10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2" w:history="1">
        <w:r w:rsidR="005D1D26" w:rsidRPr="00F30EA7">
          <w:rPr>
            <w:rStyle w:val="Hyperlink"/>
          </w:rPr>
          <w:t>3.7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Information released under the Right to Information Act 2009 (Qld)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_Toc504572202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10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1"/>
        <w:rPr>
          <w:rFonts w:asciiTheme="minorHAnsi" w:eastAsiaTheme="minorEastAsia" w:hAnsiTheme="minorHAnsi" w:cstheme="minorBidi"/>
          <w:b w:val="0"/>
          <w:snapToGrid/>
          <w:kern w:val="0"/>
          <w:szCs w:val="22"/>
        </w:rPr>
      </w:pPr>
      <w:hyperlink w:anchor="_Toc504572203" w:history="1">
        <w:r w:rsidR="005D1D26" w:rsidRPr="00F30EA7">
          <w:rPr>
            <w:rStyle w:val="Hyperlink"/>
          </w:rPr>
          <w:t>4</w:t>
        </w:r>
        <w:r w:rsidR="005D1D26">
          <w:rPr>
            <w:rFonts w:asciiTheme="minorHAnsi" w:eastAsiaTheme="minorEastAsia" w:hAnsiTheme="minorHAnsi" w:cstheme="minorBidi"/>
            <w:b w:val="0"/>
            <w:snapToGrid/>
            <w:kern w:val="0"/>
            <w:szCs w:val="22"/>
          </w:rPr>
          <w:tab/>
        </w:r>
        <w:r w:rsidR="005D1D26" w:rsidRPr="00F30EA7">
          <w:rPr>
            <w:rStyle w:val="Hyperlink"/>
          </w:rPr>
          <w:t>Implementation considerations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_Toc504572203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10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4" w:history="1">
        <w:r w:rsidR="005D1D26" w:rsidRPr="00F30EA7">
          <w:rPr>
            <w:rStyle w:val="Hyperlink"/>
          </w:rPr>
          <w:t>4.1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Authorising and accountability environment for the release of information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_Toc504572204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10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5" w:history="1">
        <w:r w:rsidR="005D1D26" w:rsidRPr="00F30EA7">
          <w:rPr>
            <w:rStyle w:val="Hyperlink"/>
          </w:rPr>
          <w:t>4.2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Modification of ex ante decision-making considerations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_Toc504572205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11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6" w:history="1">
        <w:r w:rsidR="005D1D26" w:rsidRPr="00F30EA7">
          <w:rPr>
            <w:rStyle w:val="Hyperlink"/>
          </w:rPr>
          <w:t>4.3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Relationship between ex ante decision-making and Creative Commons licences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_Toc504572206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11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2"/>
        <w:rPr>
          <w:rFonts w:asciiTheme="minorHAnsi" w:eastAsiaTheme="minorEastAsia" w:hAnsiTheme="minorHAnsi" w:cstheme="minorBidi"/>
          <w:snapToGrid/>
          <w:kern w:val="0"/>
          <w:szCs w:val="22"/>
          <w:lang w:eastAsia="en-AU"/>
        </w:rPr>
      </w:pPr>
      <w:hyperlink w:anchor="_Toc504572207" w:history="1">
        <w:r w:rsidR="005D1D26" w:rsidRPr="00F30EA7">
          <w:rPr>
            <w:rStyle w:val="Hyperlink"/>
          </w:rPr>
          <w:t>4.4</w:t>
        </w:r>
        <w:r w:rsidR="005D1D26">
          <w:rPr>
            <w:rFonts w:asciiTheme="minorHAnsi" w:eastAsiaTheme="minorEastAsia" w:hAnsiTheme="minorHAnsi" w:cstheme="minorBidi"/>
            <w:snapToGrid/>
            <w:kern w:val="0"/>
            <w:szCs w:val="22"/>
            <w:lang w:eastAsia="en-AU"/>
          </w:rPr>
          <w:tab/>
        </w:r>
        <w:r w:rsidR="005D1D26" w:rsidRPr="00F30EA7">
          <w:rPr>
            <w:rStyle w:val="Hyperlink"/>
          </w:rPr>
          <w:t>Relationship between ex ante decision-making and the Queensland Government Information Security Classification Framework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_Toc504572207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12</w:t>
        </w:r>
        <w:r w:rsidR="005D1D26">
          <w:rPr>
            <w:webHidden/>
          </w:rPr>
          <w:fldChar w:fldCharType="end"/>
        </w:r>
      </w:hyperlink>
    </w:p>
    <w:p w:rsidR="005D1D26" w:rsidRDefault="000F2AFE">
      <w:pPr>
        <w:pStyle w:val="TOC1"/>
        <w:rPr>
          <w:rFonts w:asciiTheme="minorHAnsi" w:eastAsiaTheme="minorEastAsia" w:hAnsiTheme="minorHAnsi" w:cstheme="minorBidi"/>
          <w:b w:val="0"/>
          <w:snapToGrid/>
          <w:kern w:val="0"/>
          <w:szCs w:val="22"/>
        </w:rPr>
      </w:pPr>
      <w:hyperlink w:anchor="_Toc504572208" w:history="1">
        <w:r w:rsidR="005D1D26" w:rsidRPr="00F30EA7">
          <w:rPr>
            <w:rStyle w:val="Hyperlink"/>
          </w:rPr>
          <w:t>Appendix A</w:t>
        </w:r>
        <w:r w:rsidR="005D1D26">
          <w:rPr>
            <w:rFonts w:asciiTheme="minorHAnsi" w:eastAsiaTheme="minorEastAsia" w:hAnsiTheme="minorHAnsi" w:cstheme="minorBidi"/>
            <w:b w:val="0"/>
            <w:snapToGrid/>
            <w:kern w:val="0"/>
            <w:szCs w:val="22"/>
          </w:rPr>
          <w:tab/>
        </w:r>
        <w:r w:rsidR="005D1D26" w:rsidRPr="00F30EA7">
          <w:rPr>
            <w:rStyle w:val="Hyperlink"/>
          </w:rPr>
          <w:t>Ex ante decision-making considerations</w:t>
        </w:r>
        <w:r w:rsidR="005D1D26">
          <w:rPr>
            <w:webHidden/>
          </w:rPr>
          <w:tab/>
        </w:r>
        <w:r w:rsidR="005D1D26">
          <w:rPr>
            <w:webHidden/>
          </w:rPr>
          <w:fldChar w:fldCharType="begin"/>
        </w:r>
        <w:r w:rsidR="005D1D26">
          <w:rPr>
            <w:webHidden/>
          </w:rPr>
          <w:instrText xml:space="preserve"> PAGEREF _Toc504572208 \h </w:instrText>
        </w:r>
        <w:r w:rsidR="005D1D26">
          <w:rPr>
            <w:webHidden/>
          </w:rPr>
        </w:r>
        <w:r w:rsidR="005D1D26">
          <w:rPr>
            <w:webHidden/>
          </w:rPr>
          <w:fldChar w:fldCharType="separate"/>
        </w:r>
        <w:r w:rsidR="005D1D26">
          <w:rPr>
            <w:webHidden/>
          </w:rPr>
          <w:t>13</w:t>
        </w:r>
        <w:r w:rsidR="005D1D26">
          <w:rPr>
            <w:webHidden/>
          </w:rPr>
          <w:fldChar w:fldCharType="end"/>
        </w:r>
      </w:hyperlink>
    </w:p>
    <w:p w:rsidR="00503B8B" w:rsidRDefault="00C314B4" w:rsidP="00766CCB">
      <w:pPr>
        <w:spacing w:before="0" w:after="60"/>
        <w:rPr>
          <w:noProof/>
          <w:snapToGrid w:val="0"/>
        </w:rPr>
      </w:pPr>
      <w:r w:rsidRPr="00766CCB">
        <w:rPr>
          <w:noProof/>
          <w:snapToGrid w:val="0"/>
        </w:rPr>
        <w:fldChar w:fldCharType="end"/>
      </w:r>
    </w:p>
    <w:p w:rsidR="00AD0A26" w:rsidRPr="00B12183" w:rsidRDefault="00AD0A26" w:rsidP="00B12183">
      <w:pPr>
        <w:pStyle w:val="Heading1nonumber"/>
        <w:rPr>
          <w:color w:val="5F5F5F"/>
        </w:rPr>
      </w:pPr>
      <w:r w:rsidRPr="00B12183">
        <w:rPr>
          <w:color w:val="5F5F5F"/>
        </w:rPr>
        <w:t>Figures</w:t>
      </w:r>
      <w:r w:rsidR="00656672" w:rsidRPr="00B12183">
        <w:rPr>
          <w:color w:val="5F5F5F"/>
        </w:rPr>
        <w:t xml:space="preserve"> </w:t>
      </w:r>
    </w:p>
    <w:p w:rsidR="0068690E" w:rsidRDefault="00C314B4">
      <w:pPr>
        <w:pStyle w:val="TableofFigures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  <w:snapToGrid w:val="0"/>
          <w:kern w:val="24"/>
        </w:rPr>
        <w:fldChar w:fldCharType="begin"/>
      </w:r>
      <w:r>
        <w:rPr>
          <w:noProof/>
          <w:snapToGrid w:val="0"/>
          <w:kern w:val="24"/>
        </w:rPr>
        <w:instrText xml:space="preserve"> TOC \h \z \c "Figure" </w:instrText>
      </w:r>
      <w:r>
        <w:rPr>
          <w:noProof/>
          <w:snapToGrid w:val="0"/>
          <w:kern w:val="24"/>
        </w:rPr>
        <w:fldChar w:fldCharType="separate"/>
      </w:r>
      <w:hyperlink w:anchor="_Toc504571876" w:history="1">
        <w:r w:rsidR="0068690E" w:rsidRPr="00A47059">
          <w:rPr>
            <w:rStyle w:val="Hyperlink"/>
            <w:noProof/>
          </w:rPr>
          <w:t>Figure 1: Overview of the operation of ex ante decision-making in the RTI environment</w:t>
        </w:r>
        <w:r w:rsidR="0068690E">
          <w:rPr>
            <w:noProof/>
            <w:webHidden/>
          </w:rPr>
          <w:tab/>
        </w:r>
        <w:r w:rsidR="0068690E">
          <w:rPr>
            <w:noProof/>
            <w:webHidden/>
          </w:rPr>
          <w:fldChar w:fldCharType="begin"/>
        </w:r>
        <w:r w:rsidR="0068690E">
          <w:rPr>
            <w:noProof/>
            <w:webHidden/>
          </w:rPr>
          <w:instrText xml:space="preserve"> PAGEREF _Toc504571876 \h </w:instrText>
        </w:r>
        <w:r w:rsidR="0068690E">
          <w:rPr>
            <w:noProof/>
            <w:webHidden/>
          </w:rPr>
        </w:r>
        <w:r w:rsidR="0068690E">
          <w:rPr>
            <w:noProof/>
            <w:webHidden/>
          </w:rPr>
          <w:fldChar w:fldCharType="separate"/>
        </w:r>
        <w:r w:rsidR="0068690E">
          <w:rPr>
            <w:noProof/>
            <w:webHidden/>
          </w:rPr>
          <w:t>8</w:t>
        </w:r>
        <w:r w:rsidR="0068690E">
          <w:rPr>
            <w:noProof/>
            <w:webHidden/>
          </w:rPr>
          <w:fldChar w:fldCharType="end"/>
        </w:r>
      </w:hyperlink>
    </w:p>
    <w:p w:rsidR="00AD0A26" w:rsidRDefault="00C314B4" w:rsidP="00766CCB">
      <w:pPr>
        <w:rPr>
          <w:noProof/>
          <w:snapToGrid w:val="0"/>
        </w:rPr>
      </w:pPr>
      <w:r>
        <w:rPr>
          <w:noProof/>
          <w:snapToGrid w:val="0"/>
        </w:rPr>
        <w:fldChar w:fldCharType="end"/>
      </w:r>
    </w:p>
    <w:p w:rsidR="00AD0A26" w:rsidRDefault="00AD0A26" w:rsidP="00766CCB">
      <w:pPr>
        <w:rPr>
          <w:noProof/>
          <w:snapToGrid w:val="0"/>
        </w:rPr>
      </w:pPr>
    </w:p>
    <w:p w:rsidR="00AD0A26" w:rsidRDefault="00AD0A26" w:rsidP="00766CCB">
      <w:pPr>
        <w:rPr>
          <w:noProof/>
          <w:snapToGrid w:val="0"/>
        </w:rPr>
      </w:pPr>
    </w:p>
    <w:p w:rsidR="00AD0A26" w:rsidRPr="00055798" w:rsidRDefault="00AD0A26" w:rsidP="00766CCB">
      <w:pPr>
        <w:rPr>
          <w:noProof/>
          <w:snapToGrid w:val="0"/>
        </w:rPr>
        <w:sectPr w:rsidR="00AD0A26" w:rsidRPr="00055798" w:rsidSect="000F2AF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560" w:left="1134" w:header="397" w:footer="284" w:gutter="0"/>
          <w:cols w:space="708"/>
          <w:titlePg/>
          <w:docGrid w:linePitch="360"/>
        </w:sectPr>
      </w:pPr>
    </w:p>
    <w:p w:rsidR="00CA72BA" w:rsidRPr="00B12183" w:rsidRDefault="00FF3EF6" w:rsidP="00B12183">
      <w:pPr>
        <w:pStyle w:val="Heading1"/>
      </w:pPr>
      <w:bookmarkStart w:id="0" w:name="_Toc504572187"/>
      <w:bookmarkStart w:id="1" w:name="_Ref214338390"/>
      <w:r w:rsidRPr="00B12183">
        <w:lastRenderedPageBreak/>
        <w:t>Introduction</w:t>
      </w:r>
      <w:bookmarkEnd w:id="0"/>
      <w:r w:rsidRPr="00B12183">
        <w:t xml:space="preserve"> </w:t>
      </w:r>
    </w:p>
    <w:p w:rsidR="009465BC" w:rsidRDefault="009465BC" w:rsidP="000F2AFE">
      <w:pPr>
        <w:pStyle w:val="Heading2"/>
      </w:pPr>
      <w:bookmarkStart w:id="2" w:name="_Toc245868797"/>
      <w:bookmarkStart w:id="3" w:name="_Toc503348380"/>
      <w:bookmarkStart w:id="4" w:name="_Toc504572188"/>
      <w:bookmarkEnd w:id="1"/>
      <w:r>
        <w:t>Purpose</w:t>
      </w:r>
      <w:bookmarkEnd w:id="2"/>
      <w:bookmarkEnd w:id="3"/>
      <w:bookmarkEnd w:id="4"/>
    </w:p>
    <w:p w:rsidR="009465BC" w:rsidRDefault="009465BC" w:rsidP="00737AA4">
      <w:pPr>
        <w:pStyle w:val="BodyText1"/>
      </w:pPr>
      <w:r>
        <w:t xml:space="preserve">A QGEA guideline is not mandatory. This guideline </w:t>
      </w:r>
      <w:r w:rsidRPr="004855A7">
        <w:t>provides advice</w:t>
      </w:r>
      <w:r>
        <w:t xml:space="preserve"> to help departments with</w:t>
      </w:r>
      <w:r w:rsidRPr="004855A7">
        <w:t xml:space="preserve"> suggested approach</w:t>
      </w:r>
      <w:r>
        <w:t xml:space="preserve">es for pre-determining the release status of government information. </w:t>
      </w:r>
    </w:p>
    <w:p w:rsidR="009465BC" w:rsidRDefault="009465BC" w:rsidP="00737AA4">
      <w:pPr>
        <w:pStyle w:val="BodyText1"/>
      </w:pPr>
      <w:r w:rsidRPr="00C01060">
        <w:t xml:space="preserve">It supports policy requirement 1 within the </w:t>
      </w:r>
      <w:r>
        <w:t xml:space="preserve">Queensland Government Enterprise Architecture (QGEA) </w:t>
      </w:r>
      <w:r w:rsidRPr="00C01060">
        <w:rPr>
          <w:i/>
        </w:rPr>
        <w:t>Information access and use policy (IS33)</w:t>
      </w:r>
      <w:r>
        <w:t xml:space="preserve">. </w:t>
      </w:r>
    </w:p>
    <w:p w:rsidR="009465BC" w:rsidRDefault="009465BC" w:rsidP="000F2AFE">
      <w:pPr>
        <w:pStyle w:val="Heading2"/>
      </w:pPr>
      <w:bookmarkStart w:id="5" w:name="_Toc245868798"/>
      <w:bookmarkStart w:id="6" w:name="_Toc503348381"/>
      <w:bookmarkStart w:id="7" w:name="_Toc504572189"/>
      <w:r>
        <w:t>Audience</w:t>
      </w:r>
      <w:bookmarkEnd w:id="5"/>
      <w:bookmarkEnd w:id="6"/>
      <w:bookmarkEnd w:id="7"/>
    </w:p>
    <w:p w:rsidR="009465BC" w:rsidRDefault="009465BC" w:rsidP="000F2AFE">
      <w:pPr>
        <w:pStyle w:val="BodyText"/>
      </w:pPr>
      <w:r>
        <w:t>This document is primarily intended for:</w:t>
      </w:r>
    </w:p>
    <w:p w:rsidR="009465BC" w:rsidRDefault="009465BC" w:rsidP="009465BC">
      <w:pPr>
        <w:pStyle w:val="Bullet1"/>
      </w:pPr>
      <w:r>
        <w:t>creators of information</w:t>
      </w:r>
    </w:p>
    <w:p w:rsidR="009465BC" w:rsidRDefault="009465BC" w:rsidP="009465BC">
      <w:pPr>
        <w:pStyle w:val="Bullet1"/>
      </w:pPr>
      <w:r>
        <w:t>custodians of information assets</w:t>
      </w:r>
    </w:p>
    <w:p w:rsidR="009465BC" w:rsidRDefault="009465BC" w:rsidP="009465BC">
      <w:pPr>
        <w:pStyle w:val="Bullet1"/>
      </w:pPr>
      <w:r>
        <w:t>information release specialists/decision makers</w:t>
      </w:r>
    </w:p>
    <w:p w:rsidR="009465BC" w:rsidRDefault="009465BC" w:rsidP="009465BC">
      <w:pPr>
        <w:pStyle w:val="Bullet1"/>
      </w:pPr>
      <w:r>
        <w:t>policy officers</w:t>
      </w:r>
    </w:p>
    <w:p w:rsidR="009465BC" w:rsidRDefault="009465BC" w:rsidP="009465BC">
      <w:pPr>
        <w:pStyle w:val="Bullet1"/>
      </w:pPr>
      <w:r>
        <w:t>information champions</w:t>
      </w:r>
    </w:p>
    <w:p w:rsidR="009465BC" w:rsidRDefault="009465BC" w:rsidP="009465BC">
      <w:pPr>
        <w:pStyle w:val="Bullet1"/>
      </w:pPr>
      <w:r>
        <w:t>information governance bodies.</w:t>
      </w:r>
    </w:p>
    <w:p w:rsidR="009465BC" w:rsidRDefault="009465BC" w:rsidP="000F2AFE">
      <w:pPr>
        <w:pStyle w:val="Heading2"/>
      </w:pPr>
      <w:bookmarkStart w:id="8" w:name="_Toc320871572"/>
      <w:bookmarkStart w:id="9" w:name="_Toc503348382"/>
      <w:bookmarkStart w:id="10" w:name="_Toc504572190"/>
      <w:r>
        <w:t xml:space="preserve">QGEA </w:t>
      </w:r>
      <w:r w:rsidRPr="0072559A">
        <w:t>domains</w:t>
      </w:r>
      <w:bookmarkEnd w:id="8"/>
      <w:bookmarkEnd w:id="9"/>
      <w:bookmarkEnd w:id="10"/>
    </w:p>
    <w:p w:rsidR="009465BC" w:rsidRDefault="009465BC" w:rsidP="009465BC">
      <w:pPr>
        <w:pStyle w:val="BodyText"/>
      </w:pPr>
      <w:r>
        <w:t>This guideline relates to the following domains:</w:t>
      </w:r>
    </w:p>
    <w:tbl>
      <w:tblPr>
        <w:tblW w:w="9160" w:type="dxa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2410"/>
        <w:gridCol w:w="6750"/>
      </w:tblGrid>
      <w:tr w:rsidR="007D23D6" w:rsidRPr="006517B2" w:rsidTr="00C5356E">
        <w:tc>
          <w:tcPr>
            <w:tcW w:w="2410" w:type="dxa"/>
            <w:tcBorders>
              <w:bottom w:val="single" w:sz="12" w:space="0" w:color="C0C0C0"/>
            </w:tcBorders>
            <w:shd w:val="clear" w:color="auto" w:fill="FFFFFF"/>
          </w:tcPr>
          <w:p w:rsidR="007D23D6" w:rsidRPr="006517B2" w:rsidRDefault="009465BC" w:rsidP="006517B2">
            <w:pPr>
              <w:ind w:left="23"/>
              <w:rPr>
                <w:b/>
              </w:rPr>
            </w:pPr>
            <w:r>
              <w:rPr>
                <w:b/>
              </w:rPr>
              <w:t>Classification framework</w:t>
            </w:r>
          </w:p>
        </w:tc>
        <w:tc>
          <w:tcPr>
            <w:tcW w:w="6750" w:type="dxa"/>
            <w:tcBorders>
              <w:bottom w:val="single" w:sz="12" w:space="0" w:color="C0C0C0"/>
            </w:tcBorders>
            <w:shd w:val="clear" w:color="auto" w:fill="FFFFFF"/>
          </w:tcPr>
          <w:p w:rsidR="007D23D6" w:rsidRPr="006517B2" w:rsidRDefault="009465BC" w:rsidP="006517B2">
            <w:pPr>
              <w:ind w:left="29"/>
              <w:rPr>
                <w:b/>
              </w:rPr>
            </w:pPr>
            <w:r>
              <w:rPr>
                <w:b/>
              </w:rPr>
              <w:t>Domain</w:t>
            </w:r>
          </w:p>
        </w:tc>
      </w:tr>
      <w:tr w:rsidR="00C5356E" w:rsidRPr="006517B2" w:rsidTr="000F2AFE">
        <w:tblPrEx>
          <w:tblCellMar>
            <w:top w:w="57" w:type="dxa"/>
            <w:left w:w="119" w:type="dxa"/>
            <w:right w:w="119" w:type="dxa"/>
          </w:tblCellMar>
        </w:tblPrEx>
        <w:tc>
          <w:tcPr>
            <w:tcW w:w="2410" w:type="dxa"/>
            <w:tcBorders>
              <w:top w:val="single" w:sz="12" w:space="0" w:color="C0C0C0"/>
            </w:tcBorders>
            <w:shd w:val="clear" w:color="auto" w:fill="E6E6E6"/>
          </w:tcPr>
          <w:p w:rsidR="00C5356E" w:rsidRPr="006517B2" w:rsidRDefault="00C5356E" w:rsidP="00B12183">
            <w:pPr>
              <w:spacing w:before="20" w:after="20" w:line="264" w:lineRule="auto"/>
              <w:ind w:left="23"/>
              <w:rPr>
                <w:sz w:val="20"/>
              </w:rPr>
            </w:pPr>
            <w:r>
              <w:rPr>
                <w:sz w:val="20"/>
              </w:rPr>
              <w:t>Business services</w:t>
            </w:r>
          </w:p>
        </w:tc>
        <w:tc>
          <w:tcPr>
            <w:tcW w:w="6750" w:type="dxa"/>
            <w:tcBorders>
              <w:top w:val="single" w:sz="12" w:space="0" w:color="C0C0C0"/>
            </w:tcBorders>
            <w:shd w:val="clear" w:color="auto" w:fill="auto"/>
          </w:tcPr>
          <w:p w:rsidR="00C5356E" w:rsidRPr="00C5356E" w:rsidRDefault="00C5356E" w:rsidP="00C5356E">
            <w:pPr>
              <w:spacing w:before="20" w:after="20" w:line="264" w:lineRule="auto"/>
              <w:ind w:left="23"/>
              <w:rPr>
                <w:sz w:val="20"/>
              </w:rPr>
            </w:pPr>
            <w:r w:rsidRPr="00C5356E">
              <w:rPr>
                <w:sz w:val="20"/>
              </w:rPr>
              <w:t xml:space="preserve">SL-2.5 </w:t>
            </w:r>
            <w:r w:rsidRPr="00C5356E">
              <w:rPr>
                <w:sz w:val="20"/>
              </w:rPr>
              <w:tab/>
              <w:t>Information services</w:t>
            </w:r>
          </w:p>
        </w:tc>
      </w:tr>
      <w:tr w:rsidR="00C5356E" w:rsidRPr="006517B2" w:rsidTr="000F2AFE">
        <w:tblPrEx>
          <w:tblCellMar>
            <w:top w:w="57" w:type="dxa"/>
            <w:left w:w="119" w:type="dxa"/>
            <w:right w:w="119" w:type="dxa"/>
          </w:tblCellMar>
        </w:tblPrEx>
        <w:tc>
          <w:tcPr>
            <w:tcW w:w="2410" w:type="dxa"/>
            <w:shd w:val="clear" w:color="auto" w:fill="E6E6E6"/>
          </w:tcPr>
          <w:p w:rsidR="00C5356E" w:rsidRPr="006517B2" w:rsidRDefault="00C5356E" w:rsidP="00B12183">
            <w:pPr>
              <w:spacing w:before="20" w:after="20" w:line="264" w:lineRule="auto"/>
              <w:ind w:left="23"/>
              <w:rPr>
                <w:sz w:val="20"/>
              </w:rPr>
            </w:pPr>
            <w:r>
              <w:rPr>
                <w:sz w:val="20"/>
              </w:rPr>
              <w:t>Business process</w:t>
            </w:r>
          </w:p>
        </w:tc>
        <w:tc>
          <w:tcPr>
            <w:tcW w:w="6750" w:type="dxa"/>
            <w:shd w:val="clear" w:color="auto" w:fill="auto"/>
          </w:tcPr>
          <w:p w:rsidR="00C5356E" w:rsidRPr="00C5356E" w:rsidRDefault="00C5356E" w:rsidP="00C5356E">
            <w:pPr>
              <w:spacing w:before="20" w:after="20" w:line="264" w:lineRule="auto"/>
              <w:ind w:left="23"/>
              <w:rPr>
                <w:sz w:val="20"/>
              </w:rPr>
            </w:pPr>
            <w:r w:rsidRPr="00C5356E">
              <w:rPr>
                <w:sz w:val="20"/>
              </w:rPr>
              <w:t>BP-7.4.2.2 Define information access requirements</w:t>
            </w:r>
          </w:p>
        </w:tc>
      </w:tr>
      <w:tr w:rsidR="00C5356E" w:rsidRPr="006517B2" w:rsidTr="000F2AFE">
        <w:tblPrEx>
          <w:tblCellMar>
            <w:top w:w="57" w:type="dxa"/>
            <w:left w:w="119" w:type="dxa"/>
            <w:right w:w="119" w:type="dxa"/>
          </w:tblCellMar>
        </w:tblPrEx>
        <w:tc>
          <w:tcPr>
            <w:tcW w:w="2410" w:type="dxa"/>
            <w:shd w:val="clear" w:color="auto" w:fill="E6E6E6"/>
          </w:tcPr>
          <w:p w:rsidR="00C5356E" w:rsidRPr="006517B2" w:rsidRDefault="00C5356E" w:rsidP="00B12183">
            <w:pPr>
              <w:spacing w:before="20" w:after="20" w:line="264" w:lineRule="auto"/>
              <w:ind w:left="23"/>
              <w:rPr>
                <w:sz w:val="20"/>
              </w:rPr>
            </w:pPr>
            <w:r>
              <w:rPr>
                <w:sz w:val="20"/>
              </w:rPr>
              <w:t>Information management</w:t>
            </w:r>
          </w:p>
        </w:tc>
        <w:tc>
          <w:tcPr>
            <w:tcW w:w="6750" w:type="dxa"/>
            <w:shd w:val="clear" w:color="auto" w:fill="auto"/>
          </w:tcPr>
          <w:p w:rsidR="00C5356E" w:rsidRPr="00C5356E" w:rsidRDefault="00C5356E" w:rsidP="00C5356E">
            <w:pPr>
              <w:spacing w:before="20" w:after="20" w:line="264" w:lineRule="auto"/>
              <w:ind w:left="730" w:hanging="730"/>
              <w:rPr>
                <w:sz w:val="20"/>
              </w:rPr>
            </w:pPr>
            <w:r w:rsidRPr="00C5356E">
              <w:rPr>
                <w:sz w:val="20"/>
              </w:rPr>
              <w:t xml:space="preserve">IM-4 </w:t>
            </w:r>
            <w:r w:rsidRPr="00C5356E">
              <w:rPr>
                <w:sz w:val="20"/>
              </w:rPr>
              <w:tab/>
              <w:t>Information access and use</w:t>
            </w:r>
          </w:p>
          <w:p w:rsidR="00C5356E" w:rsidRPr="00C5356E" w:rsidRDefault="00C5356E" w:rsidP="00C5356E">
            <w:pPr>
              <w:pStyle w:val="Bulletdash"/>
              <w:numPr>
                <w:ilvl w:val="0"/>
                <w:numId w:val="0"/>
              </w:numPr>
              <w:spacing w:before="0" w:after="0" w:line="240" w:lineRule="auto"/>
              <w:ind w:left="730" w:hanging="730"/>
              <w:rPr>
                <w:sz w:val="20"/>
                <w:szCs w:val="20"/>
              </w:rPr>
            </w:pPr>
            <w:r w:rsidRPr="00C5356E">
              <w:rPr>
                <w:sz w:val="20"/>
                <w:szCs w:val="20"/>
              </w:rPr>
              <w:t xml:space="preserve">IM-4.1 </w:t>
            </w:r>
            <w:r w:rsidRPr="00C5356E">
              <w:rPr>
                <w:sz w:val="20"/>
                <w:szCs w:val="20"/>
              </w:rPr>
              <w:tab/>
              <w:t>Access and accessibility</w:t>
            </w:r>
          </w:p>
          <w:p w:rsidR="00C5356E" w:rsidRPr="00C5356E" w:rsidRDefault="00C5356E" w:rsidP="00C5356E">
            <w:pPr>
              <w:pStyle w:val="Bulletdash"/>
              <w:numPr>
                <w:ilvl w:val="0"/>
                <w:numId w:val="0"/>
              </w:numPr>
              <w:spacing w:before="0" w:after="0" w:line="240" w:lineRule="auto"/>
              <w:ind w:left="730" w:hanging="730"/>
              <w:rPr>
                <w:sz w:val="20"/>
                <w:szCs w:val="20"/>
              </w:rPr>
            </w:pPr>
            <w:r w:rsidRPr="00C5356E">
              <w:rPr>
                <w:sz w:val="20"/>
                <w:szCs w:val="20"/>
              </w:rPr>
              <w:t>IM4.4</w:t>
            </w:r>
            <w:r w:rsidRPr="00C5356E">
              <w:rPr>
                <w:sz w:val="20"/>
                <w:szCs w:val="20"/>
              </w:rPr>
              <w:tab/>
              <w:t>Privacy</w:t>
            </w:r>
          </w:p>
          <w:p w:rsidR="00C5356E" w:rsidRPr="00C5356E" w:rsidRDefault="00C5356E" w:rsidP="00C5356E">
            <w:pPr>
              <w:pStyle w:val="Bulletdash"/>
              <w:numPr>
                <w:ilvl w:val="0"/>
                <w:numId w:val="0"/>
              </w:numPr>
              <w:spacing w:before="0" w:after="0" w:line="240" w:lineRule="auto"/>
              <w:ind w:left="730" w:hanging="730"/>
              <w:rPr>
                <w:sz w:val="20"/>
                <w:szCs w:val="20"/>
              </w:rPr>
            </w:pPr>
            <w:r w:rsidRPr="00C5356E">
              <w:rPr>
                <w:sz w:val="20"/>
                <w:szCs w:val="20"/>
              </w:rPr>
              <w:t>IM4.7</w:t>
            </w:r>
            <w:r w:rsidRPr="00C5356E">
              <w:rPr>
                <w:sz w:val="20"/>
                <w:szCs w:val="20"/>
              </w:rPr>
              <w:tab/>
              <w:t>Sharing</w:t>
            </w:r>
          </w:p>
          <w:p w:rsidR="00C5356E" w:rsidRPr="00C5356E" w:rsidRDefault="00C5356E" w:rsidP="00C5356E">
            <w:pPr>
              <w:spacing w:before="20" w:after="20" w:line="264" w:lineRule="auto"/>
              <w:ind w:left="730" w:hanging="730"/>
              <w:rPr>
                <w:sz w:val="20"/>
              </w:rPr>
            </w:pPr>
            <w:r w:rsidRPr="00C5356E">
              <w:rPr>
                <w:sz w:val="20"/>
              </w:rPr>
              <w:t>IM-4.8</w:t>
            </w:r>
            <w:r w:rsidRPr="00C5356E">
              <w:rPr>
                <w:sz w:val="20"/>
              </w:rPr>
              <w:tab/>
              <w:t>Publishing and release</w:t>
            </w:r>
          </w:p>
        </w:tc>
      </w:tr>
    </w:tbl>
    <w:p w:rsidR="00C5356E" w:rsidRDefault="00C5356E" w:rsidP="00C5356E">
      <w:pPr>
        <w:pStyle w:val="Heading1"/>
        <w:spacing w:before="240"/>
      </w:pPr>
      <w:bookmarkStart w:id="11" w:name="_Toc503348383"/>
      <w:bookmarkStart w:id="12" w:name="_Toc504572191"/>
      <w:bookmarkStart w:id="13" w:name="_Toc216778015"/>
      <w:r>
        <w:t>Background</w:t>
      </w:r>
      <w:bookmarkEnd w:id="11"/>
      <w:bookmarkEnd w:id="12"/>
    </w:p>
    <w:p w:rsidR="00C5356E" w:rsidRDefault="00C5356E" w:rsidP="00C5356E">
      <w:pPr>
        <w:pStyle w:val="Heading2"/>
      </w:pPr>
      <w:bookmarkStart w:id="14" w:name="_Toc245868801"/>
      <w:bookmarkStart w:id="15" w:name="_Toc503348384"/>
      <w:bookmarkStart w:id="16" w:name="_Toc504572192"/>
      <w:r>
        <w:t xml:space="preserve">What does the term </w:t>
      </w:r>
      <w:r>
        <w:rPr>
          <w:i/>
        </w:rPr>
        <w:t xml:space="preserve">ex ante </w:t>
      </w:r>
      <w:r>
        <w:t>mean?</w:t>
      </w:r>
      <w:bookmarkEnd w:id="14"/>
      <w:bookmarkEnd w:id="15"/>
      <w:bookmarkEnd w:id="16"/>
    </w:p>
    <w:p w:rsidR="00C5356E" w:rsidRDefault="00C5356E" w:rsidP="00737AA4">
      <w:pPr>
        <w:pStyle w:val="BodyText1"/>
      </w:pPr>
      <w:r w:rsidRPr="00290DD4">
        <w:t xml:space="preserve">The term </w:t>
      </w:r>
      <w:r w:rsidRPr="009817E1">
        <w:rPr>
          <w:i/>
        </w:rPr>
        <w:t>ex ante</w:t>
      </w:r>
      <w:r w:rsidRPr="00290DD4">
        <w:t xml:space="preserve"> is a neo-Latin word meaning </w:t>
      </w:r>
      <w:r>
        <w:t>‘</w:t>
      </w:r>
      <w:r w:rsidRPr="00290DD4">
        <w:t>before the event</w:t>
      </w:r>
      <w:r>
        <w:t>’</w:t>
      </w:r>
      <w:r w:rsidRPr="00290DD4">
        <w:t xml:space="preserve">. </w:t>
      </w:r>
      <w:r>
        <w:t xml:space="preserve">In relation to the release of information, </w:t>
      </w:r>
      <w:r w:rsidRPr="003F76CB">
        <w:t>ex</w:t>
      </w:r>
      <w:r w:rsidRPr="003F76CB">
        <w:rPr>
          <w:i/>
        </w:rPr>
        <w:t xml:space="preserve"> ante</w:t>
      </w:r>
      <w:r w:rsidRPr="003F76CB">
        <w:t xml:space="preserve"> </w:t>
      </w:r>
      <w:r>
        <w:t xml:space="preserve">refers to </w:t>
      </w:r>
      <w:r w:rsidRPr="003F76CB">
        <w:t xml:space="preserve">a series of considerations to be </w:t>
      </w:r>
      <w:r>
        <w:t>undertaken</w:t>
      </w:r>
      <w:r w:rsidRPr="003F76CB">
        <w:t xml:space="preserve"> </w:t>
      </w:r>
      <w:r>
        <w:t xml:space="preserve">prior to determining </w:t>
      </w:r>
      <w:r w:rsidRPr="003F76CB">
        <w:t>whether information is suitable for administrative</w:t>
      </w:r>
      <w:r>
        <w:t xml:space="preserve"> release</w:t>
      </w:r>
      <w:r w:rsidRPr="003F76CB">
        <w:t xml:space="preserve"> </w:t>
      </w:r>
      <w:r>
        <w:t>(see section 2.3 below for more detail on administrative release)</w:t>
      </w:r>
      <w:r w:rsidRPr="003F76CB">
        <w:t>.</w:t>
      </w:r>
      <w:r>
        <w:t xml:space="preserve"> </w:t>
      </w:r>
    </w:p>
    <w:p w:rsidR="00C5356E" w:rsidRDefault="00C5356E" w:rsidP="00C5356E">
      <w:pPr>
        <w:pStyle w:val="Heading2"/>
      </w:pPr>
      <w:bookmarkStart w:id="17" w:name="_Toc245868802"/>
      <w:bookmarkStart w:id="18" w:name="_Toc503348385"/>
      <w:bookmarkStart w:id="19" w:name="_Toc504572193"/>
      <w:r>
        <w:t xml:space="preserve">Why were the </w:t>
      </w:r>
      <w:r w:rsidRPr="00D65491">
        <w:rPr>
          <w:i/>
        </w:rPr>
        <w:t>ex ante</w:t>
      </w:r>
      <w:r>
        <w:t xml:space="preserve"> decision-making considerations developed?</w:t>
      </w:r>
      <w:bookmarkEnd w:id="17"/>
      <w:bookmarkEnd w:id="18"/>
      <w:bookmarkEnd w:id="19"/>
    </w:p>
    <w:p w:rsidR="00C5356E" w:rsidRPr="00405838" w:rsidRDefault="00C5356E" w:rsidP="00737AA4">
      <w:pPr>
        <w:pStyle w:val="BodyText1"/>
      </w:pPr>
      <w:r w:rsidRPr="00290DD4">
        <w:t xml:space="preserve">The </w:t>
      </w:r>
      <w:r w:rsidRPr="00C46626">
        <w:rPr>
          <w:i/>
        </w:rPr>
        <w:t>ex ante</w:t>
      </w:r>
      <w:r>
        <w:t xml:space="preserve"> decision-making considerations (see appendix A) were developed in response to recommendation 5 of the Freedom of Information Independent Review Panel’s </w:t>
      </w:r>
      <w:hyperlink r:id="rId17" w:history="1">
        <w:r w:rsidRPr="00405838">
          <w:rPr>
            <w:rStyle w:val="Hyperlink"/>
          </w:rPr>
          <w:t>The Right to Information: Reviewing Queensland’s Freedom of Information Act</w:t>
        </w:r>
      </w:hyperlink>
      <w:r w:rsidRPr="00405838">
        <w:t>:</w:t>
      </w:r>
    </w:p>
    <w:p w:rsidR="00C5356E" w:rsidRDefault="00C5356E" w:rsidP="00C5356E">
      <w:pPr>
        <w:pStyle w:val="Bulletcircle"/>
        <w:numPr>
          <w:ilvl w:val="0"/>
          <w:numId w:val="0"/>
        </w:numPr>
        <w:ind w:left="1440" w:firstLine="11"/>
      </w:pPr>
      <w:r>
        <w:rPr>
          <w:i/>
        </w:rPr>
        <w:lastRenderedPageBreak/>
        <w:t>Ex ante decision-making rules…should be introduced as a strategy in routine and proactive disclosure where documents that can be released without difficulty and those that might need specific consideration are identified [by those who understand the documents best] at the outset..</w:t>
      </w:r>
      <w:r>
        <w:t>.</w:t>
      </w:r>
    </w:p>
    <w:p w:rsidR="00C5356E" w:rsidRDefault="00C5356E" w:rsidP="00737AA4">
      <w:pPr>
        <w:pStyle w:val="BodyText1"/>
      </w:pPr>
      <w:r>
        <w:t>The Queensland Government in its response supported this recommendation stating:</w:t>
      </w:r>
    </w:p>
    <w:p w:rsidR="00C5356E" w:rsidRDefault="00C5356E" w:rsidP="00C5356E">
      <w:pPr>
        <w:pStyle w:val="Bulletcircle"/>
        <w:numPr>
          <w:ilvl w:val="0"/>
          <w:numId w:val="0"/>
        </w:numPr>
        <w:ind w:left="1440" w:firstLine="11"/>
        <w:rPr>
          <w:i/>
        </w:rPr>
      </w:pPr>
      <w:r w:rsidRPr="008725AE">
        <w:rPr>
          <w:i/>
        </w:rPr>
        <w:t xml:space="preserve">To give effect to this recommendation, the government will develop an ex ante </w:t>
      </w:r>
      <w:r>
        <w:rPr>
          <w:i/>
        </w:rPr>
        <w:t>decision-making</w:t>
      </w:r>
      <w:r w:rsidRPr="008725AE">
        <w:rPr>
          <w:i/>
        </w:rPr>
        <w:t xml:space="preserve"> standard as part of the development of the whole-of-government information policy. This work, led by </w:t>
      </w:r>
      <w:smartTag w:uri="urn:schemas-microsoft-com:office:smarttags" w:element="PersonName">
        <w:r w:rsidRPr="008725AE">
          <w:rPr>
            <w:i/>
          </w:rPr>
          <w:t>QGCIO</w:t>
        </w:r>
      </w:smartTag>
      <w:r w:rsidRPr="008725AE">
        <w:rPr>
          <w:i/>
        </w:rPr>
        <w:t>, will establish decision-making rules for the release of information…</w:t>
      </w:r>
      <w:r w:rsidRPr="0025189F">
        <w:rPr>
          <w:vertAlign w:val="superscript"/>
        </w:rPr>
        <w:footnoteReference w:id="2"/>
      </w:r>
    </w:p>
    <w:p w:rsidR="00C5356E" w:rsidRDefault="00C5356E" w:rsidP="00C5356E">
      <w:pPr>
        <w:pStyle w:val="Heading2"/>
      </w:pPr>
      <w:bookmarkStart w:id="20" w:name="_Toc245868803"/>
      <w:bookmarkStart w:id="21" w:name="_Toc503348386"/>
      <w:bookmarkStart w:id="22" w:name="_Toc504572194"/>
      <w:r>
        <w:t xml:space="preserve">What is the purpose of </w:t>
      </w:r>
      <w:r w:rsidRPr="00C46626">
        <w:rPr>
          <w:i/>
        </w:rPr>
        <w:t>ex ante</w:t>
      </w:r>
      <w:r>
        <w:t xml:space="preserve"> decision-making considerations?</w:t>
      </w:r>
      <w:bookmarkEnd w:id="20"/>
      <w:bookmarkEnd w:id="21"/>
      <w:bookmarkEnd w:id="22"/>
    </w:p>
    <w:p w:rsidR="00C5356E" w:rsidRDefault="00C5356E" w:rsidP="00737AA4">
      <w:pPr>
        <w:pStyle w:val="BodyText1"/>
      </w:pPr>
      <w:r w:rsidRPr="00290DD4">
        <w:t xml:space="preserve">Right to Information (RTI) </w:t>
      </w:r>
      <w:r>
        <w:t xml:space="preserve">seeks to achieve open, </w:t>
      </w:r>
      <w:r w:rsidRPr="00290DD4">
        <w:t xml:space="preserve">accountable </w:t>
      </w:r>
      <w:r>
        <w:t xml:space="preserve">and participatory </w:t>
      </w:r>
      <w:r w:rsidRPr="00290DD4">
        <w:t xml:space="preserve">government </w:t>
      </w:r>
      <w:r>
        <w:t>through</w:t>
      </w:r>
      <w:r w:rsidRPr="00290DD4">
        <w:t xml:space="preserve"> a </w:t>
      </w:r>
      <w:r>
        <w:t>‘</w:t>
      </w:r>
      <w:r w:rsidRPr="00290DD4">
        <w:t>push</w:t>
      </w:r>
      <w:r>
        <w:t>’</w:t>
      </w:r>
      <w:r w:rsidRPr="00290DD4">
        <w:t xml:space="preserve"> model</w:t>
      </w:r>
      <w:r>
        <w:t xml:space="preserve"> for the release of information. Its intent is to make</w:t>
      </w:r>
      <w:r w:rsidRPr="00290DD4">
        <w:t xml:space="preserve"> </w:t>
      </w:r>
      <w:r>
        <w:t xml:space="preserve">formal </w:t>
      </w:r>
      <w:r w:rsidRPr="00290DD4">
        <w:t>legislative access</w:t>
      </w:r>
      <w:r>
        <w:t xml:space="preserve"> requests for Queensland Government information (i.e. the ‘pull’ model) </w:t>
      </w:r>
      <w:r w:rsidRPr="00290DD4">
        <w:t>the last resort.</w:t>
      </w:r>
    </w:p>
    <w:p w:rsidR="00C5356E" w:rsidRDefault="00C5356E" w:rsidP="00737AA4">
      <w:pPr>
        <w:pStyle w:val="BodyText1"/>
      </w:pPr>
      <w:r>
        <w:t xml:space="preserve">Departments are required to make government information available to the public unless there is a good reason not to. This is embodied in both the </w:t>
      </w:r>
      <w:r w:rsidRPr="00D527FB">
        <w:rPr>
          <w:i/>
        </w:rPr>
        <w:t>Right to Information Act 2009</w:t>
      </w:r>
      <w:r>
        <w:t xml:space="preserve"> and the </w:t>
      </w:r>
      <w:r w:rsidRPr="00D527FB">
        <w:rPr>
          <w:i/>
        </w:rPr>
        <w:t>Information Privacy Act 2009</w:t>
      </w:r>
      <w:r>
        <w:t xml:space="preserve"> as well as being a policy obligation under the </w:t>
      </w:r>
      <w:hyperlink r:id="rId18" w:history="1">
        <w:r w:rsidRPr="00EC1B59">
          <w:rPr>
            <w:rStyle w:val="Hyperlink"/>
          </w:rPr>
          <w:t>Information access and use policy (IS33</w:t>
        </w:r>
      </w:hyperlink>
      <w:r>
        <w:t>)</w:t>
      </w:r>
      <w:r w:rsidRPr="00A37FE3">
        <w:rPr>
          <w:rStyle w:val="FootnoteReference"/>
        </w:rPr>
        <w:footnoteReference w:id="3"/>
      </w:r>
      <w:r w:rsidRPr="00FF4BD9">
        <w:t>.</w:t>
      </w:r>
      <w:r>
        <w:t xml:space="preserve"> </w:t>
      </w:r>
    </w:p>
    <w:p w:rsidR="00C5356E" w:rsidRDefault="00C5356E" w:rsidP="00737AA4">
      <w:pPr>
        <w:pStyle w:val="BodyText1"/>
      </w:pPr>
      <w:r>
        <w:t>Ex</w:t>
      </w:r>
      <w:r w:rsidRPr="00D01A4A">
        <w:rPr>
          <w:i/>
        </w:rPr>
        <w:t xml:space="preserve"> ante</w:t>
      </w:r>
      <w:r>
        <w:t xml:space="preserve"> decision-making consideration assists with assessing whether information is suitable for </w:t>
      </w:r>
      <w:r w:rsidRPr="00975A5D">
        <w:t>administrative release</w:t>
      </w:r>
      <w:r>
        <w:t>, however,</w:t>
      </w:r>
      <w:r>
        <w:rPr>
          <w:b/>
        </w:rPr>
        <w:t xml:space="preserve"> it is not the sole consideration in</w:t>
      </w:r>
      <w:r w:rsidRPr="00D527FB">
        <w:t xml:space="preserve"> determin</w:t>
      </w:r>
      <w:r>
        <w:t>ing</w:t>
      </w:r>
      <w:r w:rsidRPr="00D527FB">
        <w:t xml:space="preserve"> whether information is suitable for publication or inclusion in a publication scheme</w:t>
      </w:r>
      <w:r>
        <w:t xml:space="preserve">. </w:t>
      </w:r>
      <w:r>
        <w:fldChar w:fldCharType="begin"/>
      </w:r>
      <w:r>
        <w:instrText xml:space="preserve"> REF _Ref299724028 \h </w:instrText>
      </w:r>
      <w:r w:rsidR="001C5D52">
        <w:instrText xml:space="preserve"> \* MERGEFORMAT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t xml:space="preserve">: </w:t>
      </w:r>
      <w:r w:rsidRPr="00643D8F">
        <w:t xml:space="preserve">Overview of the operation of ex ante decision-making in the </w:t>
      </w:r>
      <w:r>
        <w:t>RTI</w:t>
      </w:r>
      <w:r w:rsidRPr="00643D8F">
        <w:t xml:space="preserve"> environment</w:t>
      </w:r>
      <w:r>
        <w:fldChar w:fldCharType="end"/>
      </w:r>
      <w:r>
        <w:t xml:space="preserve"> on page 7 of this document provides guidance in relation to additional considerations. </w:t>
      </w:r>
    </w:p>
    <w:p w:rsidR="00C5356E" w:rsidRDefault="00C5356E" w:rsidP="00737AA4">
      <w:pPr>
        <w:pStyle w:val="BodyText1"/>
      </w:pPr>
      <w:r>
        <w:t xml:space="preserve">As outlined in the </w:t>
      </w:r>
      <w:hyperlink r:id="rId19" w:history="1">
        <w:r w:rsidRPr="007A6485">
          <w:rPr>
            <w:rStyle w:val="Hyperlink"/>
          </w:rPr>
          <w:t>Office of the Information Commissioner Guideline: Administrative release of information</w:t>
        </w:r>
      </w:hyperlink>
      <w:r>
        <w:t>, there are three main types of administrative release:</w:t>
      </w:r>
    </w:p>
    <w:p w:rsidR="00C5356E" w:rsidRDefault="00C5356E" w:rsidP="00C5356E">
      <w:pPr>
        <w:pStyle w:val="Bullet1"/>
      </w:pPr>
      <w:r>
        <w:t>administrative access schemes</w:t>
      </w:r>
    </w:p>
    <w:p w:rsidR="00C5356E" w:rsidRDefault="00C5356E" w:rsidP="00C5356E">
      <w:pPr>
        <w:pStyle w:val="Bullet1"/>
      </w:pPr>
      <w:r>
        <w:t>access under specific legislation</w:t>
      </w:r>
    </w:p>
    <w:p w:rsidR="00C5356E" w:rsidRDefault="00C5356E" w:rsidP="00C5356E">
      <w:pPr>
        <w:pStyle w:val="Bullet1"/>
      </w:pPr>
      <w:r>
        <w:t>administrative access other than under a scheme.</w:t>
      </w:r>
    </w:p>
    <w:p w:rsidR="00C5356E" w:rsidRPr="00975A5D" w:rsidRDefault="00C5356E" w:rsidP="00737AA4">
      <w:pPr>
        <w:pStyle w:val="BodyText1"/>
        <w:rPr>
          <w:rFonts w:ascii="Verdana" w:hAnsi="Verdana"/>
        </w:rPr>
      </w:pPr>
      <w:r>
        <w:rPr>
          <w:i/>
        </w:rPr>
        <w:t>E</w:t>
      </w:r>
      <w:r w:rsidRPr="00975A5D">
        <w:rPr>
          <w:i/>
        </w:rPr>
        <w:t>x ante</w:t>
      </w:r>
      <w:r w:rsidRPr="00975A5D">
        <w:t xml:space="preserve"> </w:t>
      </w:r>
      <w:r>
        <w:t>decision-making</w:t>
      </w:r>
      <w:r w:rsidRPr="00975A5D">
        <w:t xml:space="preserve"> </w:t>
      </w:r>
      <w:r>
        <w:t>considerations should be</w:t>
      </w:r>
      <w:r w:rsidRPr="00975A5D">
        <w:t xml:space="preserve"> </w:t>
      </w:r>
      <w:r>
        <w:t>undertaken</w:t>
      </w:r>
      <w:r w:rsidRPr="00975A5D">
        <w:t xml:space="preserve"> when assessing whether information is suitable for release administratively other than under a scheme.</w:t>
      </w:r>
      <w:r>
        <w:t xml:space="preserve"> </w:t>
      </w:r>
      <w:r w:rsidRPr="00B449D3">
        <w:t xml:space="preserve">Other considerations apply for administrative access schemes and access under specific legislation; see the </w:t>
      </w:r>
      <w:hyperlink r:id="rId20" w:history="1">
        <w:r w:rsidRPr="00034736">
          <w:rPr>
            <w:rStyle w:val="Hyperlink"/>
          </w:rPr>
          <w:t>Office of the Information Commissioner Guideline: Administrative release of information</w:t>
        </w:r>
      </w:hyperlink>
      <w:r w:rsidRPr="00034736">
        <w:t>.</w:t>
      </w:r>
    </w:p>
    <w:p w:rsidR="00C5356E" w:rsidRDefault="00C5356E" w:rsidP="00737AA4">
      <w:pPr>
        <w:pStyle w:val="BodyText1"/>
      </w:pPr>
      <w:r>
        <w:t>E</w:t>
      </w:r>
      <w:r w:rsidRPr="007E54B1">
        <w:rPr>
          <w:i/>
        </w:rPr>
        <w:t xml:space="preserve">x ante </w:t>
      </w:r>
      <w:r>
        <w:t xml:space="preserve">decision-making considerations are intended make formal legislative applications for access to information (i.e. </w:t>
      </w:r>
      <w:r w:rsidRPr="007E54B1">
        <w:rPr>
          <w:i/>
        </w:rPr>
        <w:t>Right to Information Act 2009</w:t>
      </w:r>
      <w:r>
        <w:t xml:space="preserve"> (Qld) applications) a last resort, by assisting information custodians</w:t>
      </w:r>
      <w:r w:rsidRPr="00290DD4">
        <w:t xml:space="preserve"> to </w:t>
      </w:r>
      <w:r>
        <w:t>determine</w:t>
      </w:r>
      <w:r w:rsidRPr="00290DD4">
        <w:t xml:space="preserve"> whether </w:t>
      </w:r>
      <w:r>
        <w:t xml:space="preserve">information </w:t>
      </w:r>
      <w:r w:rsidRPr="00290DD4">
        <w:t xml:space="preserve">can be </w:t>
      </w:r>
      <w:r>
        <w:t xml:space="preserve">proactively </w:t>
      </w:r>
      <w:r w:rsidRPr="00290DD4">
        <w:t>released or</w:t>
      </w:r>
      <w:r>
        <w:t xml:space="preserve"> if</w:t>
      </w:r>
      <w:r w:rsidRPr="00290DD4">
        <w:t xml:space="preserve"> </w:t>
      </w:r>
      <w:r>
        <w:t>further</w:t>
      </w:r>
      <w:r w:rsidRPr="00290DD4">
        <w:t xml:space="preserve"> consideration</w:t>
      </w:r>
      <w:r>
        <w:t xml:space="preserve"> is required</w:t>
      </w:r>
      <w:r w:rsidRPr="00290DD4">
        <w:t xml:space="preserve">. </w:t>
      </w:r>
    </w:p>
    <w:p w:rsidR="00C5356E" w:rsidRDefault="00C5356E" w:rsidP="00C5356E">
      <w:pPr>
        <w:pStyle w:val="Heading1"/>
        <w:spacing w:before="240"/>
      </w:pPr>
      <w:bookmarkStart w:id="23" w:name="_Toc245868804"/>
      <w:bookmarkStart w:id="24" w:name="_Toc503348387"/>
      <w:bookmarkStart w:id="25" w:name="_Toc504572195"/>
      <w:r>
        <w:lastRenderedPageBreak/>
        <w:t xml:space="preserve">Operation of the </w:t>
      </w:r>
      <w:r w:rsidRPr="00C46626">
        <w:rPr>
          <w:i/>
        </w:rPr>
        <w:t>ex ante</w:t>
      </w:r>
      <w:r>
        <w:t xml:space="preserve"> decision-making </w:t>
      </w:r>
      <w:bookmarkEnd w:id="23"/>
      <w:r>
        <w:t>considerations</w:t>
      </w:r>
      <w:bookmarkEnd w:id="24"/>
      <w:bookmarkEnd w:id="25"/>
    </w:p>
    <w:p w:rsidR="00C5356E" w:rsidRDefault="00C5356E" w:rsidP="00737AA4">
      <w:pPr>
        <w:pStyle w:val="BodyText1"/>
      </w:pPr>
      <w:r w:rsidRPr="00034736">
        <w:t>Figure 1</w:t>
      </w:r>
      <w:r>
        <w:t xml:space="preserve"> on page 7 provides an overview of the operation of </w:t>
      </w:r>
      <w:r w:rsidRPr="00CA1745">
        <w:rPr>
          <w:i/>
        </w:rPr>
        <w:t>ex ante</w:t>
      </w:r>
      <w:r>
        <w:t xml:space="preserve"> decision-making considerations in the RTI environment and makes reference to other sections of this document for guidance on the application of this guideline.</w:t>
      </w:r>
    </w:p>
    <w:p w:rsidR="00061652" w:rsidRDefault="00061652" w:rsidP="00C5356E">
      <w:pPr>
        <w:pStyle w:val="BodyText"/>
        <w:widowControl w:val="0"/>
        <w:spacing w:before="60" w:after="120"/>
        <w:rPr>
          <w:lang w:eastAsia="en-US"/>
        </w:rPr>
      </w:pPr>
    </w:p>
    <w:p w:rsidR="00061652" w:rsidRDefault="00061652" w:rsidP="00C5356E">
      <w:pPr>
        <w:pStyle w:val="BodyText"/>
        <w:widowControl w:val="0"/>
        <w:spacing w:before="60" w:after="120"/>
        <w:rPr>
          <w:lang w:eastAsia="en-US"/>
        </w:rPr>
        <w:sectPr w:rsidR="00061652" w:rsidSect="000F2AFE">
          <w:headerReference w:type="even" r:id="rId21"/>
          <w:headerReference w:type="first" r:id="rId22"/>
          <w:pgSz w:w="11906" w:h="16838" w:code="9"/>
          <w:pgMar w:top="1134" w:right="1134" w:bottom="1134" w:left="1134" w:header="397" w:footer="284" w:gutter="0"/>
          <w:cols w:space="708"/>
          <w:docGrid w:linePitch="360"/>
        </w:sectPr>
      </w:pPr>
    </w:p>
    <w:p w:rsidR="00061652" w:rsidRDefault="00061652" w:rsidP="00061652">
      <w:pPr>
        <w:pStyle w:val="Image"/>
        <w:jc w:val="center"/>
      </w:pPr>
      <w:r w:rsidRPr="00E671AF">
        <w:rPr>
          <w:noProof/>
        </w:rPr>
        <w:lastRenderedPageBreak/>
        <w:drawing>
          <wp:inline distT="0" distB="0" distL="0" distR="0">
            <wp:extent cx="6819900" cy="5598426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524" cy="560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6" w:name="_Ref299724028"/>
      <w:bookmarkStart w:id="27" w:name="_Toc328141808"/>
    </w:p>
    <w:p w:rsidR="00061652" w:rsidRDefault="00061652" w:rsidP="00061652">
      <w:pPr>
        <w:pStyle w:val="Image"/>
        <w:jc w:val="center"/>
        <w:sectPr w:rsidR="00061652" w:rsidSect="000F2AFE">
          <w:headerReference w:type="default" r:id="rId24"/>
          <w:footerReference w:type="default" r:id="rId25"/>
          <w:pgSz w:w="16838" w:h="11906" w:orient="landscape" w:code="9"/>
          <w:pgMar w:top="1134" w:right="1134" w:bottom="1134" w:left="1134" w:header="397" w:footer="284" w:gutter="0"/>
          <w:cols w:space="708"/>
          <w:docGrid w:linePitch="360"/>
        </w:sectPr>
      </w:pPr>
      <w:bookmarkStart w:id="28" w:name="_Toc504571876"/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Pr="00643D8F">
        <w:t xml:space="preserve">Overview of the operation of ex ante decision-making in the </w:t>
      </w:r>
      <w:r>
        <w:t>RTI</w:t>
      </w:r>
      <w:r w:rsidRPr="00643D8F">
        <w:t xml:space="preserve"> environment</w:t>
      </w:r>
      <w:bookmarkEnd w:id="26"/>
      <w:bookmarkEnd w:id="27"/>
      <w:bookmarkEnd w:id="28"/>
    </w:p>
    <w:p w:rsidR="00061652" w:rsidRDefault="00061652" w:rsidP="00061652">
      <w:pPr>
        <w:pStyle w:val="Heading2"/>
      </w:pPr>
      <w:bookmarkStart w:id="29" w:name="_Toc245868805"/>
      <w:bookmarkStart w:id="30" w:name="_Toc503348388"/>
      <w:bookmarkStart w:id="31" w:name="_Toc504572196"/>
      <w:r>
        <w:lastRenderedPageBreak/>
        <w:t xml:space="preserve">What information is subject </w:t>
      </w:r>
      <w:r w:rsidR="00FC30AE">
        <w:t>to ex</w:t>
      </w:r>
      <w:r w:rsidRPr="00C46626">
        <w:rPr>
          <w:i/>
        </w:rPr>
        <w:t xml:space="preserve"> ante</w:t>
      </w:r>
      <w:r>
        <w:t xml:space="preserve"> decision-making considerations?</w:t>
      </w:r>
      <w:bookmarkEnd w:id="29"/>
      <w:bookmarkEnd w:id="30"/>
      <w:bookmarkEnd w:id="31"/>
    </w:p>
    <w:p w:rsidR="00061652" w:rsidRDefault="00061652" w:rsidP="00737AA4">
      <w:pPr>
        <w:pStyle w:val="BodyText1"/>
      </w:pPr>
      <w:r>
        <w:rPr>
          <w:i/>
        </w:rPr>
        <w:t>E</w:t>
      </w:r>
      <w:r w:rsidRPr="00396228">
        <w:rPr>
          <w:i/>
        </w:rPr>
        <w:t>x ante</w:t>
      </w:r>
      <w:r>
        <w:t xml:space="preserve"> decision-making considerations are applicable to all Queensland Government non-personal </w:t>
      </w:r>
      <w:r w:rsidRPr="003A0C1C">
        <w:rPr>
          <w:rFonts w:cs="Arial"/>
        </w:rPr>
        <w:t>information</w:t>
      </w:r>
      <w:r>
        <w:rPr>
          <w:rStyle w:val="FootnoteReference"/>
        </w:rPr>
        <w:footnoteReference w:id="4"/>
      </w:r>
      <w:r>
        <w:rPr>
          <w:rFonts w:cs="Arial"/>
        </w:rPr>
        <w:t>.</w:t>
      </w:r>
    </w:p>
    <w:p w:rsidR="00061652" w:rsidRDefault="00061652" w:rsidP="00061652">
      <w:pPr>
        <w:pStyle w:val="Heading2"/>
      </w:pPr>
      <w:bookmarkStart w:id="32" w:name="_Toc245868806"/>
      <w:bookmarkStart w:id="33" w:name="_Toc503348389"/>
      <w:bookmarkStart w:id="34" w:name="_Toc504572197"/>
      <w:r>
        <w:t xml:space="preserve">When are the </w:t>
      </w:r>
      <w:r w:rsidRPr="00C46626">
        <w:rPr>
          <w:i/>
        </w:rPr>
        <w:t>ex ante</w:t>
      </w:r>
      <w:r>
        <w:t xml:space="preserve"> decision-making considerations applicable?</w:t>
      </w:r>
      <w:bookmarkEnd w:id="32"/>
      <w:bookmarkEnd w:id="33"/>
      <w:bookmarkEnd w:id="34"/>
    </w:p>
    <w:p w:rsidR="00061652" w:rsidRPr="00290DD4" w:rsidRDefault="00061652" w:rsidP="00737AA4">
      <w:pPr>
        <w:pStyle w:val="BodyText1"/>
      </w:pPr>
      <w:r w:rsidRPr="00290DD4">
        <w:t xml:space="preserve">As illustrated in </w:t>
      </w:r>
      <w:r w:rsidRPr="003530A2">
        <w:t>figure 1</w:t>
      </w:r>
      <w:r>
        <w:t>, department</w:t>
      </w:r>
      <w:r w:rsidRPr="00290DD4">
        <w:t xml:space="preserve">s </w:t>
      </w:r>
      <w:r>
        <w:t>should determine</w:t>
      </w:r>
      <w:r w:rsidRPr="00290DD4">
        <w:t xml:space="preserve"> </w:t>
      </w:r>
      <w:r>
        <w:t xml:space="preserve">what is </w:t>
      </w:r>
      <w:r w:rsidRPr="00290DD4">
        <w:t xml:space="preserve">an appropriate trigger for the application of </w:t>
      </w:r>
      <w:r w:rsidRPr="00290DD4">
        <w:rPr>
          <w:i/>
        </w:rPr>
        <w:t xml:space="preserve">ex ante </w:t>
      </w:r>
      <w:r>
        <w:t>decision-making</w:t>
      </w:r>
      <w:r w:rsidRPr="00290DD4">
        <w:t xml:space="preserve"> </w:t>
      </w:r>
      <w:r>
        <w:t>considerations. T</w:t>
      </w:r>
      <w:r w:rsidRPr="00290DD4">
        <w:t>riggers</w:t>
      </w:r>
      <w:r>
        <w:t xml:space="preserve"> may</w:t>
      </w:r>
      <w:r w:rsidRPr="00290DD4">
        <w:t xml:space="preserve"> include:</w:t>
      </w:r>
    </w:p>
    <w:p w:rsidR="00061652" w:rsidRDefault="00061652" w:rsidP="001C5D52">
      <w:pPr>
        <w:pStyle w:val="Bullet1"/>
      </w:pPr>
      <w:r>
        <w:t>a</w:t>
      </w:r>
      <w:r w:rsidRPr="00290DD4">
        <w:t xml:space="preserve"> request for information</w:t>
      </w:r>
    </w:p>
    <w:p w:rsidR="00061652" w:rsidRPr="00290DD4" w:rsidRDefault="00061652" w:rsidP="001C5D52">
      <w:pPr>
        <w:pStyle w:val="Bullet1"/>
      </w:pPr>
      <w:r>
        <w:t>creating a record in a document and records management system or eDRMS</w:t>
      </w:r>
    </w:p>
    <w:p w:rsidR="00061652" w:rsidRDefault="00061652" w:rsidP="001C5D52">
      <w:pPr>
        <w:pStyle w:val="Bullet1"/>
      </w:pPr>
      <w:r>
        <w:t>f</w:t>
      </w:r>
      <w:r w:rsidRPr="00290DD4">
        <w:t>inalisation/approval of information</w:t>
      </w:r>
    </w:p>
    <w:p w:rsidR="00061652" w:rsidRDefault="00061652" w:rsidP="001C5D52">
      <w:pPr>
        <w:pStyle w:val="Bullet1"/>
      </w:pPr>
      <w:r>
        <w:t>revision of content</w:t>
      </w:r>
    </w:p>
    <w:p w:rsidR="00061652" w:rsidRDefault="00061652" w:rsidP="001C5D52">
      <w:pPr>
        <w:pStyle w:val="Bullet1"/>
      </w:pPr>
      <w:r>
        <w:t>revision or assignment of a new security classification</w:t>
      </w:r>
    </w:p>
    <w:p w:rsidR="00061652" w:rsidRPr="00290DD4" w:rsidRDefault="00061652" w:rsidP="001C5D52">
      <w:pPr>
        <w:pStyle w:val="Bullet1"/>
      </w:pPr>
      <w:r>
        <w:t>addition to an information asset register.</w:t>
      </w:r>
    </w:p>
    <w:p w:rsidR="00061652" w:rsidRDefault="00061652" w:rsidP="00737AA4">
      <w:pPr>
        <w:pStyle w:val="BodyText1"/>
      </w:pPr>
      <w:bookmarkStart w:id="35" w:name="_GoBack"/>
      <w:bookmarkEnd w:id="35"/>
      <w:r>
        <w:t>Appropriate triggers may vary based on the content type</w:t>
      </w:r>
      <w:r>
        <w:rPr>
          <w:rStyle w:val="FootnoteReference"/>
        </w:rPr>
        <w:footnoteReference w:id="5"/>
      </w:r>
      <w:r>
        <w:t xml:space="preserve"> or format of the information. For example:</w:t>
      </w:r>
    </w:p>
    <w:p w:rsidR="00061652" w:rsidRDefault="00061652" w:rsidP="001C5D52">
      <w:pPr>
        <w:pStyle w:val="Bullet1"/>
      </w:pPr>
      <w:r>
        <w:t xml:space="preserve">in the case of ‘unfinalised’ </w:t>
      </w:r>
      <w:r w:rsidRPr="00290DD4">
        <w:t xml:space="preserve">information </w:t>
      </w:r>
      <w:r>
        <w:t>stored in</w:t>
      </w:r>
      <w:r w:rsidRPr="00290DD4">
        <w:t xml:space="preserve"> transactional database systems, the information </w:t>
      </w:r>
      <w:r>
        <w:t>undergoes</w:t>
      </w:r>
      <w:r w:rsidRPr="00290DD4">
        <w:t xml:space="preserve"> </w:t>
      </w:r>
      <w:r w:rsidRPr="00290DD4">
        <w:rPr>
          <w:i/>
        </w:rPr>
        <w:t>ex ante</w:t>
      </w:r>
      <w:r>
        <w:t xml:space="preserve"> release </w:t>
      </w:r>
      <w:r w:rsidRPr="00290DD4">
        <w:t xml:space="preserve">consideration </w:t>
      </w:r>
      <w:r>
        <w:t>once</w:t>
      </w:r>
      <w:r w:rsidRPr="00290DD4">
        <w:t xml:space="preserve"> it is in operational use</w:t>
      </w:r>
      <w:r>
        <w:t xml:space="preserve">. </w:t>
      </w:r>
    </w:p>
    <w:p w:rsidR="00061652" w:rsidRPr="00290DD4" w:rsidRDefault="00061652" w:rsidP="001C5D52">
      <w:pPr>
        <w:pStyle w:val="Bullet1"/>
      </w:pPr>
      <w:r>
        <w:t>an email may</w:t>
      </w:r>
      <w:r w:rsidRPr="00290DD4">
        <w:t xml:space="preserve"> </w:t>
      </w:r>
      <w:r>
        <w:t xml:space="preserve">undergo </w:t>
      </w:r>
      <w:r w:rsidRPr="00290DD4">
        <w:rPr>
          <w:i/>
        </w:rPr>
        <w:t>ex ante</w:t>
      </w:r>
      <w:r>
        <w:t xml:space="preserve"> decision-making consideration</w:t>
      </w:r>
      <w:r w:rsidRPr="00290DD4">
        <w:t xml:space="preserve"> when it is determined </w:t>
      </w:r>
      <w:r>
        <w:t>to be</w:t>
      </w:r>
      <w:r w:rsidRPr="00290DD4">
        <w:t xml:space="preserve"> a public record.</w:t>
      </w:r>
    </w:p>
    <w:p w:rsidR="00061652" w:rsidRDefault="00061652" w:rsidP="00061652">
      <w:pPr>
        <w:pStyle w:val="Heading2"/>
      </w:pPr>
      <w:bookmarkStart w:id="36" w:name="_Toc245868807"/>
      <w:bookmarkStart w:id="37" w:name="_Toc503348390"/>
      <w:bookmarkStart w:id="38" w:name="_Toc504572198"/>
      <w:r>
        <w:t xml:space="preserve">Applying </w:t>
      </w:r>
      <w:r w:rsidRPr="00C46626">
        <w:rPr>
          <w:i/>
        </w:rPr>
        <w:t>ex ante</w:t>
      </w:r>
      <w:r>
        <w:t xml:space="preserve"> decision-making considerations</w:t>
      </w:r>
      <w:bookmarkEnd w:id="36"/>
      <w:bookmarkEnd w:id="37"/>
      <w:bookmarkEnd w:id="38"/>
    </w:p>
    <w:p w:rsidR="00061652" w:rsidRPr="001438F6" w:rsidRDefault="00061652" w:rsidP="00061652">
      <w:pPr>
        <w:pStyle w:val="Heading3"/>
      </w:pPr>
      <w:r w:rsidRPr="00C46626">
        <w:rPr>
          <w:i/>
        </w:rPr>
        <w:t>Ex ante</w:t>
      </w:r>
      <w:r>
        <w:t xml:space="preserve"> release status categories</w:t>
      </w:r>
    </w:p>
    <w:p w:rsidR="00061652" w:rsidRPr="00290DD4" w:rsidRDefault="00061652" w:rsidP="00061652">
      <w:pPr>
        <w:pStyle w:val="BodyText"/>
      </w:pPr>
      <w:r>
        <w:fldChar w:fldCharType="begin"/>
      </w:r>
      <w:r>
        <w:instrText xml:space="preserve"> REF _Ref299724028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t xml:space="preserve">: </w:t>
      </w:r>
      <w:r w:rsidRPr="00643D8F">
        <w:t xml:space="preserve">Overview of the operation of ex ante decision-making in the </w:t>
      </w:r>
      <w:r>
        <w:t>RTI</w:t>
      </w:r>
      <w:r w:rsidRPr="00643D8F">
        <w:t xml:space="preserve"> environment</w:t>
      </w:r>
      <w:r>
        <w:fldChar w:fldCharType="end"/>
      </w:r>
      <w:r>
        <w:t xml:space="preserve">, illustrates how </w:t>
      </w:r>
      <w:r w:rsidRPr="005636DA">
        <w:rPr>
          <w:i/>
        </w:rPr>
        <w:t>ex ante</w:t>
      </w:r>
      <w:r w:rsidRPr="00290DD4">
        <w:t xml:space="preserve"> </w:t>
      </w:r>
      <w:r>
        <w:t>decision-making</w:t>
      </w:r>
      <w:r w:rsidRPr="00290DD4">
        <w:t xml:space="preserve"> </w:t>
      </w:r>
      <w:r>
        <w:t>considerations</w:t>
      </w:r>
      <w:r w:rsidRPr="00290DD4">
        <w:t xml:space="preserve"> sort information into three </w:t>
      </w:r>
      <w:r>
        <w:t xml:space="preserve">initial </w:t>
      </w:r>
      <w:r w:rsidRPr="00290DD4">
        <w:t xml:space="preserve">release </w:t>
      </w:r>
      <w:r>
        <w:t xml:space="preserve">status </w:t>
      </w:r>
      <w:r w:rsidRPr="00290DD4">
        <w:t>categories:</w:t>
      </w:r>
    </w:p>
    <w:p w:rsidR="00061652" w:rsidRPr="00DA19C2" w:rsidRDefault="00061652" w:rsidP="001C5D52">
      <w:pPr>
        <w:pStyle w:val="Bullet1"/>
      </w:pPr>
      <w:r>
        <w:t>y</w:t>
      </w:r>
      <w:r w:rsidRPr="00DA19C2">
        <w:t>es – may be released</w:t>
      </w:r>
    </w:p>
    <w:p w:rsidR="00061652" w:rsidRPr="00DA19C2" w:rsidRDefault="00061652" w:rsidP="001C5D52">
      <w:pPr>
        <w:pStyle w:val="Bullet1"/>
      </w:pPr>
      <w:r>
        <w:t>u</w:t>
      </w:r>
      <w:r w:rsidRPr="00DA19C2">
        <w:t>ndetermined – requires further consideration</w:t>
      </w:r>
    </w:p>
    <w:p w:rsidR="00061652" w:rsidRPr="00DA19C2" w:rsidRDefault="00061652" w:rsidP="001C5D52">
      <w:pPr>
        <w:pStyle w:val="Bullet1"/>
      </w:pPr>
      <w:r>
        <w:t>n</w:t>
      </w:r>
      <w:r w:rsidRPr="00DA19C2">
        <w:t>o – may not be released at this point in time.</w:t>
      </w:r>
    </w:p>
    <w:p w:rsidR="00061652" w:rsidRDefault="00061652" w:rsidP="00061652">
      <w:pPr>
        <w:pStyle w:val="BodyText"/>
      </w:pPr>
      <w:r w:rsidRPr="00290DD4">
        <w:t>The table in</w:t>
      </w:r>
      <w:r w:rsidRPr="003530A2">
        <w:t xml:space="preserve"> appendix A </w:t>
      </w:r>
      <w:r w:rsidRPr="00290DD4">
        <w:t xml:space="preserve">lists each of the </w:t>
      </w:r>
      <w:r>
        <w:t>considerations</w:t>
      </w:r>
      <w:r w:rsidRPr="00290DD4">
        <w:t xml:space="preserve"> and </w:t>
      </w:r>
      <w:r>
        <w:t>their outcomes.</w:t>
      </w:r>
      <w:r w:rsidRPr="00290DD4">
        <w:t xml:space="preserve"> </w:t>
      </w:r>
      <w:r>
        <w:t xml:space="preserve">Departments </w:t>
      </w:r>
      <w:r w:rsidRPr="00290DD4">
        <w:t>may find it useful to</w:t>
      </w:r>
      <w:r>
        <w:t xml:space="preserve"> adapt</w:t>
      </w:r>
      <w:r w:rsidRPr="00290DD4">
        <w:t xml:space="preserve"> this </w:t>
      </w:r>
      <w:r>
        <w:t>table</w:t>
      </w:r>
      <w:r w:rsidRPr="00290DD4">
        <w:t xml:space="preserve"> to record the</w:t>
      </w:r>
      <w:r>
        <w:t>ir</w:t>
      </w:r>
      <w:r w:rsidRPr="00290DD4">
        <w:t xml:space="preserve"> release status decision</w:t>
      </w:r>
      <w:r>
        <w:t>s</w:t>
      </w:r>
      <w:r w:rsidRPr="00290DD4">
        <w:t>.</w:t>
      </w:r>
    </w:p>
    <w:p w:rsidR="00061652" w:rsidRDefault="00061652" w:rsidP="00061652">
      <w:pPr>
        <w:pStyle w:val="Heading3"/>
      </w:pPr>
      <w:r>
        <w:t xml:space="preserve">How are the </w:t>
      </w:r>
      <w:r w:rsidRPr="00C46626">
        <w:rPr>
          <w:i/>
        </w:rPr>
        <w:t>ex ante</w:t>
      </w:r>
      <w:r>
        <w:t xml:space="preserve"> decision-making considerations applied?</w:t>
      </w:r>
    </w:p>
    <w:p w:rsidR="00061652" w:rsidRDefault="00061652" w:rsidP="00061652">
      <w:pPr>
        <w:pStyle w:val="BodyText"/>
      </w:pPr>
      <w:r>
        <w:t>It is recommended that decision-making</w:t>
      </w:r>
      <w:r w:rsidRPr="00290DD4">
        <w:t xml:space="preserve"> operate</w:t>
      </w:r>
      <w:r>
        <w:t>s</w:t>
      </w:r>
      <w:r w:rsidRPr="00290DD4">
        <w:t xml:space="preserve"> as follows</w:t>
      </w:r>
      <w:r>
        <w:t>:</w:t>
      </w:r>
    </w:p>
    <w:p w:rsidR="00061652" w:rsidRPr="00696CBD" w:rsidRDefault="00061652" w:rsidP="00061652">
      <w:pPr>
        <w:pStyle w:val="BodyText"/>
        <w:rPr>
          <w:lang w:eastAsia="en-US"/>
        </w:rPr>
      </w:pPr>
    </w:p>
    <w:tbl>
      <w:tblPr>
        <w:tblStyle w:val="Table-LowInk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4284"/>
      </w:tblGrid>
      <w:tr w:rsidR="00FC30AE" w:rsidRPr="00FC30AE" w:rsidTr="00FC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061652" w:rsidRPr="00FC30AE" w:rsidRDefault="00061652" w:rsidP="00061652">
            <w:pPr>
              <w:pStyle w:val="TableHeading"/>
              <w:numPr>
                <w:ilvl w:val="0"/>
                <w:numId w:val="15"/>
              </w:numPr>
              <w:rPr>
                <w:color w:val="auto"/>
              </w:rPr>
            </w:pPr>
            <w:r w:rsidRPr="00FC30AE">
              <w:rPr>
                <w:color w:val="auto"/>
              </w:rPr>
              <w:t>Outcome of considerations</w:t>
            </w:r>
          </w:p>
        </w:tc>
        <w:tc>
          <w:tcPr>
            <w:tcW w:w="4284" w:type="dxa"/>
          </w:tcPr>
          <w:p w:rsidR="00061652" w:rsidRPr="00FC30AE" w:rsidRDefault="00061652" w:rsidP="00061652">
            <w:pPr>
              <w:pStyle w:val="TableHeading"/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30AE">
              <w:rPr>
                <w:color w:val="auto"/>
              </w:rPr>
              <w:t>Release tag</w:t>
            </w:r>
          </w:p>
        </w:tc>
      </w:tr>
      <w:tr w:rsidR="00061652" w:rsidRPr="005D3DA0" w:rsidTr="00FC30AE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061652" w:rsidRPr="00826F5D" w:rsidRDefault="00061652" w:rsidP="000F2AFE">
            <w:pPr>
              <w:pStyle w:val="BodyText"/>
              <w:ind w:left="0"/>
              <w:rPr>
                <w:rFonts w:cs="Arial"/>
                <w:lang w:eastAsia="en-US"/>
              </w:rPr>
            </w:pPr>
            <w:r w:rsidRPr="00826F5D">
              <w:rPr>
                <w:rFonts w:cs="Arial"/>
                <w:lang w:eastAsia="en-US"/>
              </w:rPr>
              <w:t>All considerations have resulted in a ‘yes’ response</w:t>
            </w:r>
          </w:p>
        </w:tc>
        <w:tc>
          <w:tcPr>
            <w:tcW w:w="4284" w:type="dxa"/>
          </w:tcPr>
          <w:p w:rsidR="00061652" w:rsidRPr="00826F5D" w:rsidRDefault="00061652" w:rsidP="000F2AFE">
            <w:pPr>
              <w:pStyle w:val="Body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eastAsia="en-US"/>
              </w:rPr>
            </w:pPr>
            <w:r w:rsidRPr="00826F5D">
              <w:rPr>
                <w:rFonts w:cs="Arial"/>
                <w:lang w:eastAsia="en-US"/>
              </w:rPr>
              <w:t>Yes – may be released</w:t>
            </w:r>
          </w:p>
        </w:tc>
      </w:tr>
      <w:tr w:rsidR="00061652" w:rsidRPr="005D3DA0" w:rsidTr="00FC30AE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061652" w:rsidRPr="00826F5D" w:rsidRDefault="00061652" w:rsidP="000F2AFE">
            <w:pPr>
              <w:pStyle w:val="BodyText"/>
              <w:ind w:left="0"/>
              <w:rPr>
                <w:rFonts w:cs="Arial"/>
                <w:lang w:eastAsia="en-US"/>
              </w:rPr>
            </w:pPr>
            <w:r w:rsidRPr="00826F5D">
              <w:rPr>
                <w:rFonts w:cs="Arial"/>
                <w:lang w:eastAsia="en-US"/>
              </w:rPr>
              <w:lastRenderedPageBreak/>
              <w:t>Considerations have resulted 0 ‘no’ responses with at least 1 ‘undetermined’ response</w:t>
            </w:r>
          </w:p>
        </w:tc>
        <w:tc>
          <w:tcPr>
            <w:tcW w:w="4284" w:type="dxa"/>
          </w:tcPr>
          <w:p w:rsidR="00061652" w:rsidRPr="00826F5D" w:rsidRDefault="00061652" w:rsidP="000F2AFE">
            <w:pPr>
              <w:pStyle w:val="Body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eastAsia="en-US"/>
              </w:rPr>
            </w:pPr>
            <w:r w:rsidRPr="00826F5D">
              <w:rPr>
                <w:rFonts w:cs="Arial"/>
                <w:lang w:eastAsia="en-US"/>
              </w:rPr>
              <w:t>Undetermined – requires further consideration</w:t>
            </w:r>
          </w:p>
        </w:tc>
      </w:tr>
      <w:tr w:rsidR="00061652" w:rsidRPr="005D3DA0" w:rsidTr="00FC30AE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061652" w:rsidRPr="00826F5D" w:rsidRDefault="00061652" w:rsidP="000F2AFE">
            <w:pPr>
              <w:pStyle w:val="BodyText"/>
              <w:ind w:left="0"/>
              <w:rPr>
                <w:rFonts w:cs="Arial"/>
                <w:lang w:eastAsia="en-US"/>
              </w:rPr>
            </w:pPr>
            <w:r w:rsidRPr="00826F5D">
              <w:rPr>
                <w:rFonts w:cs="Arial"/>
                <w:lang w:eastAsia="en-US"/>
              </w:rPr>
              <w:t>Considerations have resulted in at least 1 ‘no’ response</w:t>
            </w:r>
          </w:p>
        </w:tc>
        <w:tc>
          <w:tcPr>
            <w:tcW w:w="4284" w:type="dxa"/>
          </w:tcPr>
          <w:p w:rsidR="00061652" w:rsidRPr="00826F5D" w:rsidRDefault="00061652" w:rsidP="000F2AFE">
            <w:pPr>
              <w:pStyle w:val="Body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eastAsia="en-US"/>
              </w:rPr>
            </w:pPr>
            <w:r w:rsidRPr="00826F5D">
              <w:rPr>
                <w:rFonts w:cs="Arial"/>
                <w:lang w:eastAsia="en-US"/>
              </w:rPr>
              <w:t>No – may not be released at this point in time</w:t>
            </w:r>
          </w:p>
        </w:tc>
      </w:tr>
    </w:tbl>
    <w:p w:rsidR="00061652" w:rsidRDefault="00061652" w:rsidP="00061652">
      <w:pPr>
        <w:pStyle w:val="Heading3"/>
      </w:pPr>
      <w:r>
        <w:t xml:space="preserve">Where is the </w:t>
      </w:r>
      <w:r w:rsidRPr="00C46626">
        <w:rPr>
          <w:i/>
        </w:rPr>
        <w:t>ex ante</w:t>
      </w:r>
      <w:r>
        <w:t xml:space="preserve"> release status recorded?</w:t>
      </w:r>
    </w:p>
    <w:p w:rsidR="00061652" w:rsidRPr="00290DD4" w:rsidRDefault="00061652" w:rsidP="00061652">
      <w:pPr>
        <w:pStyle w:val="BodyText"/>
      </w:pPr>
      <w:r>
        <w:t xml:space="preserve">Departments should adapt existing methods for recording the </w:t>
      </w:r>
      <w:r>
        <w:rPr>
          <w:i/>
        </w:rPr>
        <w:t xml:space="preserve">ex ante </w:t>
      </w:r>
      <w:r>
        <w:t xml:space="preserve">release status of information where appropriate (e.g. an information asset register, a document property field, or a field within document and records management system or eDRMS). It is important that the </w:t>
      </w:r>
      <w:r w:rsidRPr="00C46626">
        <w:rPr>
          <w:i/>
        </w:rPr>
        <w:t>ex ante</w:t>
      </w:r>
      <w:r>
        <w:t xml:space="preserve"> release status is documented so that the assessment is not repeated, unless triggered by a new event.</w:t>
      </w:r>
    </w:p>
    <w:p w:rsidR="00061652" w:rsidRDefault="00061652" w:rsidP="00061652">
      <w:pPr>
        <w:pStyle w:val="Heading2"/>
      </w:pPr>
      <w:bookmarkStart w:id="39" w:name="_Toc245868808"/>
      <w:bookmarkStart w:id="40" w:name="_Toc503348391"/>
      <w:bookmarkStart w:id="41" w:name="_Toc504572199"/>
      <w:r>
        <w:t>Information identified as ‘yes – may be released’</w:t>
      </w:r>
      <w:bookmarkEnd w:id="39"/>
      <w:bookmarkEnd w:id="40"/>
      <w:bookmarkEnd w:id="41"/>
    </w:p>
    <w:p w:rsidR="00061652" w:rsidRDefault="00061652" w:rsidP="00061652">
      <w:pPr>
        <w:pStyle w:val="BodyText"/>
      </w:pPr>
      <w:r>
        <w:t>Once information has been identified as ‘yes – may be released’ a decision regarding its publication should be made. In making this determination, departments should refer to internal publishing policies and procedures. There are two possible outcomes:</w:t>
      </w:r>
    </w:p>
    <w:p w:rsidR="00061652" w:rsidRDefault="00061652" w:rsidP="00FC30AE">
      <w:pPr>
        <w:pStyle w:val="Bullet1"/>
      </w:pPr>
      <w:r>
        <w:t>Suitable for publication</w:t>
      </w:r>
      <w:r>
        <w:rPr>
          <w:b/>
        </w:rPr>
        <w:t xml:space="preserve"> </w:t>
      </w:r>
      <w:r w:rsidRPr="00353DAD">
        <w:t>-</w:t>
      </w:r>
      <w:r>
        <w:t xml:space="preserve"> firstly determine whether it is appropriate for publishing within the department’s publication scheme. Implementation of publication schemes is a </w:t>
      </w:r>
      <w:r w:rsidRPr="003530A2">
        <w:t>legislative obligation</w:t>
      </w:r>
      <w:r>
        <w:t xml:space="preserve"> under the </w:t>
      </w:r>
      <w:r>
        <w:rPr>
          <w:i/>
        </w:rPr>
        <w:t xml:space="preserve">Right to Information Act 2009. </w:t>
      </w:r>
      <w:r>
        <w:t>The following documents provide guidance to departments when determining what information is suitable for inclusion in a publication scheme:</w:t>
      </w:r>
    </w:p>
    <w:p w:rsidR="00061652" w:rsidRPr="00696CBD" w:rsidRDefault="00061652" w:rsidP="00FC30AE">
      <w:pPr>
        <w:pStyle w:val="Bullet2"/>
        <w:rPr>
          <w:rStyle w:val="Hyperlink"/>
        </w:rPr>
      </w:pPr>
      <w:r>
        <w:fldChar w:fldCharType="begin"/>
      </w:r>
      <w:r>
        <w:instrText xml:space="preserve"> HYPERLINK "http://www.rti.qld.gov.au/right-to-information-act/publication-schemes" </w:instrText>
      </w:r>
      <w:r>
        <w:fldChar w:fldCharType="separate"/>
      </w:r>
      <w:r w:rsidRPr="00696CBD">
        <w:rPr>
          <w:rStyle w:val="Hyperlink"/>
        </w:rPr>
        <w:t>Ministerial Guidelines for operation of publication schemes and disclosure logs</w:t>
      </w:r>
    </w:p>
    <w:p w:rsidR="00061652" w:rsidRDefault="00061652" w:rsidP="00FC30AE">
      <w:pPr>
        <w:pStyle w:val="Bullet2"/>
        <w:rPr>
          <w:lang w:eastAsia="en-US"/>
        </w:rPr>
      </w:pPr>
      <w:r>
        <w:fldChar w:fldCharType="end"/>
      </w:r>
      <w:hyperlink r:id="rId26" w:history="1">
        <w:r w:rsidRPr="00696CBD">
          <w:rPr>
            <w:rStyle w:val="Hyperlink"/>
            <w:rFonts w:cs="Arial"/>
          </w:rPr>
          <w:t>Office of the Information Commissioner Guideline: Proactive disclosure and publication schemes</w:t>
        </w:r>
        <w:r w:rsidRPr="00696CBD">
          <w:rPr>
            <w:rStyle w:val="Hyperlink"/>
            <w:lang w:eastAsia="en-US"/>
          </w:rPr>
          <w:t>.</w:t>
        </w:r>
      </w:hyperlink>
      <w:r>
        <w:rPr>
          <w:lang w:eastAsia="en-US"/>
        </w:rPr>
        <w:t xml:space="preserve"> (this guideline provides additional guidance on approval processes).</w:t>
      </w:r>
    </w:p>
    <w:p w:rsidR="00061652" w:rsidRDefault="00061652" w:rsidP="00061652">
      <w:pPr>
        <w:pStyle w:val="Bulletdash"/>
        <w:numPr>
          <w:ilvl w:val="0"/>
          <w:numId w:val="0"/>
        </w:numPr>
        <w:ind w:left="1134"/>
        <w:rPr>
          <w:szCs w:val="20"/>
        </w:rPr>
      </w:pPr>
      <w:r w:rsidRPr="00075C27">
        <w:rPr>
          <w:szCs w:val="20"/>
        </w:rPr>
        <w:t>If the information is not suitable for publishing within the publication scheme, then it should be published elsewhere in accordance with departmental publishing policies and procedures.</w:t>
      </w:r>
    </w:p>
    <w:p w:rsidR="00061652" w:rsidRPr="00075C27" w:rsidRDefault="00061652" w:rsidP="00FC30AE">
      <w:pPr>
        <w:pStyle w:val="Bullet1"/>
      </w:pPr>
      <w:r>
        <w:t>Unsuitable for publication</w:t>
      </w:r>
      <w:r w:rsidRPr="00DA19C2">
        <w:t xml:space="preserve"> - </w:t>
      </w:r>
      <w:r w:rsidR="00766118">
        <w:t>i</w:t>
      </w:r>
      <w:r w:rsidRPr="00DA19C2">
        <w:t xml:space="preserve">f it is determined that the information is not suitable for publication, then </w:t>
      </w:r>
      <w:r>
        <w:t xml:space="preserve">consideration should be given to its administrative release (see section 2.3 for types of administrative release). </w:t>
      </w:r>
      <w:r w:rsidRPr="00075C27">
        <w:t xml:space="preserve">In making this determination, departments should refer to their own administrative access policy and arrangements, and the </w:t>
      </w:r>
      <w:hyperlink r:id="rId27" w:history="1">
        <w:r w:rsidRPr="00075C27">
          <w:t>Office of the Information Commissioner’s Administrative release of information guideline</w:t>
        </w:r>
      </w:hyperlink>
      <w:r w:rsidRPr="00075C27">
        <w:t>.</w:t>
      </w:r>
    </w:p>
    <w:p w:rsidR="00E45697" w:rsidRDefault="00E45697" w:rsidP="00E45697">
      <w:pPr>
        <w:pStyle w:val="Heading2"/>
      </w:pPr>
      <w:bookmarkStart w:id="42" w:name="_Toc503348392"/>
      <w:bookmarkStart w:id="43" w:name="_Toc504572200"/>
      <w:r>
        <w:t>Information identified as ‘undetermined – requires further consideration’</w:t>
      </w:r>
      <w:bookmarkEnd w:id="42"/>
      <w:bookmarkEnd w:id="43"/>
    </w:p>
    <w:p w:rsidR="00E45697" w:rsidRDefault="00E45697" w:rsidP="00E45697">
      <w:pPr>
        <w:pStyle w:val="Bulletcircle"/>
        <w:numPr>
          <w:ilvl w:val="0"/>
          <w:numId w:val="0"/>
        </w:numPr>
        <w:ind w:left="709"/>
      </w:pPr>
      <w:r w:rsidRPr="00290DD4">
        <w:t xml:space="preserve">Information </w:t>
      </w:r>
      <w:r>
        <w:t>that has a release status of ‘</w:t>
      </w:r>
      <w:r w:rsidRPr="00290DD4">
        <w:t>undeter</w:t>
      </w:r>
      <w:r>
        <w:t>mined’</w:t>
      </w:r>
      <w:r w:rsidRPr="00290DD4">
        <w:t xml:space="preserve"> </w:t>
      </w:r>
      <w:r>
        <w:t>should</w:t>
      </w:r>
      <w:r w:rsidRPr="00290DD4">
        <w:t xml:space="preserve"> be </w:t>
      </w:r>
      <w:r>
        <w:t>escalated to the department’s information r</w:t>
      </w:r>
      <w:r w:rsidRPr="00290DD4">
        <w:t>eleas</w:t>
      </w:r>
      <w:r>
        <w:t>e specialists</w:t>
      </w:r>
      <w:r w:rsidRPr="00290DD4">
        <w:t xml:space="preserve"> for further consideration. </w:t>
      </w:r>
      <w:r w:rsidRPr="00B843BA">
        <w:t xml:space="preserve">See section 4.1 </w:t>
      </w:r>
      <w:r>
        <w:t xml:space="preserve">of this document </w:t>
      </w:r>
      <w:r w:rsidRPr="00B843BA">
        <w:t>for authorising and accountability considerations at this point.</w:t>
      </w:r>
      <w:r>
        <w:t xml:space="preserve"> There are two possible outcomes after consideration by an information release specialist:</w:t>
      </w:r>
    </w:p>
    <w:p w:rsidR="00E45697" w:rsidRPr="00DA19C2" w:rsidRDefault="00E45697" w:rsidP="00FC30AE">
      <w:pPr>
        <w:pStyle w:val="Bullet1"/>
      </w:pPr>
      <w:r>
        <w:t>y</w:t>
      </w:r>
      <w:r w:rsidRPr="00DA19C2">
        <w:t xml:space="preserve">es - </w:t>
      </w:r>
      <w:r>
        <w:t>i</w:t>
      </w:r>
      <w:r w:rsidRPr="00DA19C2">
        <w:t>f it is determined that the information could be released it should be tagged ‘yes’ and f</w:t>
      </w:r>
      <w:r>
        <w:t>ollow the process outlined in section 3.4 of this document</w:t>
      </w:r>
      <w:r w:rsidRPr="00DA19C2">
        <w:t xml:space="preserve"> </w:t>
      </w:r>
    </w:p>
    <w:p w:rsidR="00E45697" w:rsidRDefault="00E45697" w:rsidP="00FC30AE">
      <w:pPr>
        <w:pStyle w:val="Bullet1"/>
      </w:pPr>
      <w:r>
        <w:t>n</w:t>
      </w:r>
      <w:r w:rsidRPr="00DA19C2">
        <w:t xml:space="preserve">o – </w:t>
      </w:r>
      <w:r>
        <w:t>i</w:t>
      </w:r>
      <w:r w:rsidRPr="00DA19C2">
        <w:t>f it is determine</w:t>
      </w:r>
      <w:r>
        <w:t>d</w:t>
      </w:r>
      <w:r w:rsidRPr="00DA19C2">
        <w:t xml:space="preserve"> that the information is not suitable for release, it should be tagged ‘no’ and follow the process outlined </w:t>
      </w:r>
      <w:r>
        <w:t>in section 3.6 of this document</w:t>
      </w:r>
      <w:r w:rsidRPr="00DA19C2">
        <w:t>.</w:t>
      </w:r>
    </w:p>
    <w:p w:rsidR="00E45697" w:rsidRPr="0080262C" w:rsidRDefault="00E45697" w:rsidP="00E45697">
      <w:pPr>
        <w:pStyle w:val="Heading2"/>
      </w:pPr>
      <w:bookmarkStart w:id="44" w:name="_Toc245868810"/>
      <w:bookmarkStart w:id="45" w:name="_Toc503348393"/>
      <w:bookmarkStart w:id="46" w:name="_Toc504572201"/>
      <w:r>
        <w:lastRenderedPageBreak/>
        <w:t>Information identified as ‘no – may not be released at this point in time’</w:t>
      </w:r>
      <w:bookmarkEnd w:id="44"/>
      <w:bookmarkEnd w:id="45"/>
      <w:bookmarkEnd w:id="46"/>
    </w:p>
    <w:p w:rsidR="00E45697" w:rsidRDefault="00E45697" w:rsidP="00E45697">
      <w:pPr>
        <w:pStyle w:val="BodyText"/>
        <w:widowControl w:val="0"/>
        <w:numPr>
          <w:ilvl w:val="0"/>
          <w:numId w:val="34"/>
        </w:numPr>
        <w:spacing w:before="60" w:after="120"/>
      </w:pPr>
      <w:r w:rsidRPr="00290DD4">
        <w:t xml:space="preserve">Information </w:t>
      </w:r>
      <w:r>
        <w:t>that has a release status of</w:t>
      </w:r>
      <w:r w:rsidRPr="00290DD4">
        <w:t xml:space="preserve"> </w:t>
      </w:r>
      <w:r>
        <w:t>‘</w:t>
      </w:r>
      <w:r w:rsidRPr="00290DD4">
        <w:t>no</w:t>
      </w:r>
      <w:r>
        <w:t>’</w:t>
      </w:r>
      <w:r w:rsidRPr="00290DD4">
        <w:t xml:space="preserve"> </w:t>
      </w:r>
      <w:r>
        <w:t xml:space="preserve">is not to </w:t>
      </w:r>
      <w:r w:rsidRPr="00290DD4">
        <w:t>be released</w:t>
      </w:r>
      <w:r>
        <w:t xml:space="preserve">. However, this determination may be </w:t>
      </w:r>
      <w:r w:rsidRPr="00290DD4">
        <w:t xml:space="preserve">subject to further </w:t>
      </w:r>
      <w:r>
        <w:t>consideration over time</w:t>
      </w:r>
      <w:r w:rsidRPr="00290DD4">
        <w:t xml:space="preserve"> (e.g. </w:t>
      </w:r>
      <w:r>
        <w:t xml:space="preserve">a restricted access period may expire triggering a reassessment). See </w:t>
      </w:r>
      <w:r w:rsidRPr="00E10D4C">
        <w:t>figure 1</w:t>
      </w:r>
      <w:r>
        <w:t>, page 7.</w:t>
      </w:r>
    </w:p>
    <w:p w:rsidR="00E45697" w:rsidRDefault="00E45697" w:rsidP="00E45697">
      <w:pPr>
        <w:pStyle w:val="BodyText"/>
        <w:widowControl w:val="0"/>
        <w:numPr>
          <w:ilvl w:val="0"/>
          <w:numId w:val="34"/>
        </w:numPr>
        <w:spacing w:before="60" w:after="120"/>
      </w:pPr>
      <w:r>
        <w:t xml:space="preserve">Information initially identified as ‘no’ will </w:t>
      </w:r>
      <w:r w:rsidRPr="00290DD4">
        <w:t>continue to be subject to l</w:t>
      </w:r>
      <w:r>
        <w:t xml:space="preserve">egislative access applications (see </w:t>
      </w:r>
      <w:r w:rsidRPr="00E10D4C">
        <w:t>figure 1</w:t>
      </w:r>
      <w:r>
        <w:t xml:space="preserve"> on page 7</w:t>
      </w:r>
      <w:r w:rsidRPr="00E10D4C">
        <w:t xml:space="preserve"> a</w:t>
      </w:r>
      <w:r>
        <w:t>nd section 3.7 below).</w:t>
      </w:r>
    </w:p>
    <w:p w:rsidR="00E45697" w:rsidRDefault="00E45697" w:rsidP="00E45697">
      <w:pPr>
        <w:pStyle w:val="Heading2"/>
      </w:pPr>
      <w:bookmarkStart w:id="47" w:name="_Toc503348394"/>
      <w:bookmarkStart w:id="48" w:name="_Toc504572202"/>
      <w:r>
        <w:t xml:space="preserve">Information released under the </w:t>
      </w:r>
      <w:r>
        <w:rPr>
          <w:i/>
        </w:rPr>
        <w:t xml:space="preserve">Right to Information Act 2009 </w:t>
      </w:r>
      <w:r w:rsidRPr="00E96D22">
        <w:t>(Qld)</w:t>
      </w:r>
      <w:bookmarkEnd w:id="47"/>
      <w:bookmarkEnd w:id="48"/>
    </w:p>
    <w:p w:rsidR="00E45697" w:rsidRDefault="00E45697" w:rsidP="00E45697">
      <w:pPr>
        <w:pStyle w:val="BodyText"/>
        <w:widowControl w:val="0"/>
        <w:numPr>
          <w:ilvl w:val="0"/>
          <w:numId w:val="34"/>
        </w:numPr>
        <w:spacing w:before="60" w:after="120"/>
      </w:pPr>
      <w:r>
        <w:t xml:space="preserve">Information that is released under a formal </w:t>
      </w:r>
      <w:r w:rsidRPr="00031273">
        <w:rPr>
          <w:i/>
        </w:rPr>
        <w:t>Right to Information Act 2009</w:t>
      </w:r>
      <w:r>
        <w:t xml:space="preserve"> (Qld) application should, where appropriate, subsequently be published to the department’s disclosure log. The following documents provide guidance to departments on the operation of disclosure logs:</w:t>
      </w:r>
    </w:p>
    <w:p w:rsidR="00E45697" w:rsidRPr="00826F5D" w:rsidRDefault="00E45697" w:rsidP="00FC30AE">
      <w:pPr>
        <w:pStyle w:val="Bullet1"/>
        <w:rPr>
          <w:rStyle w:val="Hyperlink"/>
        </w:rPr>
      </w:pPr>
      <w:r>
        <w:fldChar w:fldCharType="begin"/>
      </w:r>
      <w:r>
        <w:instrText xml:space="preserve"> HYPERLINK "http://www.rti.qld.gov.au/right-to-information-act/publication-schemes" </w:instrText>
      </w:r>
      <w:r>
        <w:fldChar w:fldCharType="separate"/>
      </w:r>
      <w:r w:rsidRPr="00826F5D">
        <w:rPr>
          <w:rStyle w:val="Hyperlink"/>
        </w:rPr>
        <w:t>Ministerial Guidelines for operation of publication schemes and disclosure logs</w:t>
      </w:r>
    </w:p>
    <w:p w:rsidR="00E45697" w:rsidRPr="00415DC4" w:rsidRDefault="00E45697" w:rsidP="00FC30AE">
      <w:pPr>
        <w:pStyle w:val="Bullet1"/>
        <w:rPr>
          <w:lang w:eastAsia="en-US"/>
        </w:rPr>
      </w:pPr>
      <w:r>
        <w:fldChar w:fldCharType="end"/>
      </w:r>
      <w:hyperlink r:id="rId28" w:history="1">
        <w:r w:rsidRPr="00E10D4C">
          <w:rPr>
            <w:rStyle w:val="Hyperlink"/>
            <w:rFonts w:cs="Arial"/>
          </w:rPr>
          <w:t>Office of the Information Commissioner Guideline</w:t>
        </w:r>
        <w:r>
          <w:rPr>
            <w:rStyle w:val="Hyperlink"/>
            <w:rFonts w:cs="Arial"/>
          </w:rPr>
          <w:t>s</w:t>
        </w:r>
        <w:r w:rsidRPr="00E10D4C">
          <w:rPr>
            <w:rStyle w:val="Hyperlink"/>
            <w:rFonts w:cs="Arial"/>
          </w:rPr>
          <w:t>: Disclosure</w:t>
        </w:r>
        <w:r w:rsidRPr="00E10D4C">
          <w:rPr>
            <w:rStyle w:val="Hyperlink"/>
          </w:rPr>
          <w:t xml:space="preserve"> logs</w:t>
        </w:r>
      </w:hyperlink>
      <w:r>
        <w:rPr>
          <w:lang w:eastAsia="en-US"/>
        </w:rPr>
        <w:t>.</w:t>
      </w:r>
    </w:p>
    <w:p w:rsidR="00E45697" w:rsidRDefault="00E45697" w:rsidP="00E45697">
      <w:pPr>
        <w:pStyle w:val="BodyText"/>
        <w:widowControl w:val="0"/>
        <w:numPr>
          <w:ilvl w:val="0"/>
          <w:numId w:val="34"/>
        </w:numPr>
        <w:spacing w:before="60" w:after="120"/>
      </w:pPr>
      <w:r>
        <w:t xml:space="preserve">Information subject to a formal application under the </w:t>
      </w:r>
      <w:r>
        <w:rPr>
          <w:i/>
        </w:rPr>
        <w:t xml:space="preserve">Right to Information Act 2009 </w:t>
      </w:r>
      <w:r>
        <w:t>should be subsequently tagged either:</w:t>
      </w:r>
    </w:p>
    <w:p w:rsidR="00E45697" w:rsidRPr="00DA19C2" w:rsidRDefault="00E45697" w:rsidP="00FC30AE">
      <w:pPr>
        <w:pStyle w:val="Bullet1"/>
      </w:pPr>
      <w:r>
        <w:t>y</w:t>
      </w:r>
      <w:r w:rsidRPr="00DA19C2">
        <w:t xml:space="preserve">es – assessed under </w:t>
      </w:r>
      <w:r>
        <w:t>RTI</w:t>
      </w:r>
      <w:r w:rsidRPr="00DA19C2">
        <w:t xml:space="preserve"> legislation</w:t>
      </w:r>
    </w:p>
    <w:p w:rsidR="00E45697" w:rsidRDefault="00E45697" w:rsidP="00FC30AE">
      <w:pPr>
        <w:pStyle w:val="Bullet1"/>
      </w:pPr>
      <w:r>
        <w:t>n</w:t>
      </w:r>
      <w:r w:rsidRPr="00DA19C2">
        <w:t xml:space="preserve">o – assessed as exempt or release is not </w:t>
      </w:r>
      <w:r>
        <w:t>in the public interest under RTI</w:t>
      </w:r>
      <w:r w:rsidRPr="00DA19C2">
        <w:t xml:space="preserve"> legislation</w:t>
      </w:r>
      <w:r>
        <w:t xml:space="preserve"> (see </w:t>
      </w:r>
      <w:r>
        <w:fldChar w:fldCharType="begin"/>
      </w:r>
      <w:r>
        <w:instrText xml:space="preserve"> REF _Ref299724028 \h </w:instrText>
      </w:r>
      <w:r w:rsidR="00FC30AE">
        <w:instrText xml:space="preserve"> \* MERGEFORMAT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t xml:space="preserve">: </w:t>
      </w:r>
      <w:r w:rsidRPr="00643D8F">
        <w:t xml:space="preserve">Overview of the operation of ex ante decision-making in the </w:t>
      </w:r>
      <w:r>
        <w:t>RTI</w:t>
      </w:r>
      <w:r w:rsidRPr="00643D8F">
        <w:t xml:space="preserve"> environment</w:t>
      </w:r>
      <w:r>
        <w:fldChar w:fldCharType="end"/>
      </w:r>
      <w:r>
        <w:t xml:space="preserve"> on page 7).</w:t>
      </w:r>
    </w:p>
    <w:p w:rsidR="00E45697" w:rsidRDefault="00E45697" w:rsidP="00E45697">
      <w:pPr>
        <w:pStyle w:val="Bulletcircle"/>
        <w:numPr>
          <w:ilvl w:val="0"/>
          <w:numId w:val="0"/>
        </w:numPr>
        <w:ind w:left="709"/>
      </w:pPr>
      <w:r>
        <w:t xml:space="preserve">Information tagged ‘no – assessed under RTI legislation’ could also be reassessed and subsequently tagged otherwise. For example, cabinet information is exempt for a period of 10 years. After expiration of this period, it may be reassessed and tagged as ‘yes’ or ‘no’. </w:t>
      </w:r>
    </w:p>
    <w:p w:rsidR="00E45697" w:rsidRDefault="00E45697" w:rsidP="00E45697">
      <w:pPr>
        <w:pStyle w:val="Bulletcircle"/>
        <w:numPr>
          <w:ilvl w:val="0"/>
          <w:numId w:val="0"/>
        </w:numPr>
        <w:ind w:left="709"/>
      </w:pPr>
      <w:r>
        <w:t>In the case where information is tagged ‘no’ for a defined period, a review or release should also be recorded.</w:t>
      </w:r>
    </w:p>
    <w:p w:rsidR="00E45697" w:rsidRDefault="00E45697" w:rsidP="00E45697">
      <w:pPr>
        <w:pStyle w:val="Heading1"/>
        <w:spacing w:before="240"/>
      </w:pPr>
      <w:bookmarkStart w:id="49" w:name="_Toc245868811"/>
      <w:bookmarkStart w:id="50" w:name="_Toc503348395"/>
      <w:bookmarkStart w:id="51" w:name="_Toc504572203"/>
      <w:r>
        <w:t>Implementation considerations</w:t>
      </w:r>
      <w:bookmarkEnd w:id="49"/>
      <w:bookmarkEnd w:id="50"/>
      <w:bookmarkEnd w:id="51"/>
    </w:p>
    <w:p w:rsidR="00E45697" w:rsidRDefault="00E45697" w:rsidP="00E45697">
      <w:pPr>
        <w:pStyle w:val="Heading2"/>
      </w:pPr>
      <w:bookmarkStart w:id="52" w:name="_Toc245868812"/>
      <w:bookmarkStart w:id="53" w:name="_Toc503348396"/>
      <w:bookmarkStart w:id="54" w:name="_Toc504572204"/>
      <w:r>
        <w:t>Authorising and accountability environment for the release of information</w:t>
      </w:r>
      <w:bookmarkEnd w:id="52"/>
      <w:bookmarkEnd w:id="53"/>
      <w:bookmarkEnd w:id="54"/>
    </w:p>
    <w:p w:rsidR="00E45697" w:rsidRPr="00EF7534" w:rsidRDefault="00E45697" w:rsidP="00E45697">
      <w:pPr>
        <w:pStyle w:val="BodyText"/>
        <w:numPr>
          <w:ilvl w:val="0"/>
          <w:numId w:val="18"/>
        </w:numPr>
      </w:pPr>
      <w:r>
        <w:t xml:space="preserve">To support the right to information agenda and implement the requirements of </w:t>
      </w:r>
      <w:r w:rsidRPr="00DC6C76">
        <w:t>IS33</w:t>
      </w:r>
      <w:r>
        <w:t>,</w:t>
      </w:r>
      <w:r w:rsidRPr="00EF7534">
        <w:t xml:space="preserve"> </w:t>
      </w:r>
      <w:r>
        <w:t>departments</w:t>
      </w:r>
      <w:r w:rsidRPr="00EF7534">
        <w:t xml:space="preserve"> </w:t>
      </w:r>
      <w:r>
        <w:t>should</w:t>
      </w:r>
      <w:r w:rsidRPr="00EF7534">
        <w:t xml:space="preserve"> establish an authorising and accountability environment for the routine and proactive disclosure of information. In the context of determining the </w:t>
      </w:r>
      <w:r w:rsidRPr="00396228">
        <w:t>ex ante</w:t>
      </w:r>
      <w:r w:rsidRPr="00EF7534">
        <w:t xml:space="preserve"> release status of information, </w:t>
      </w:r>
      <w:r>
        <w:t>departments</w:t>
      </w:r>
      <w:r w:rsidRPr="00EF7534">
        <w:t xml:space="preserve"> </w:t>
      </w:r>
      <w:r>
        <w:t>should</w:t>
      </w:r>
      <w:r w:rsidRPr="00EF7534">
        <w:t xml:space="preserve"> implement:</w:t>
      </w:r>
    </w:p>
    <w:p w:rsidR="00E45697" w:rsidRDefault="00E45697" w:rsidP="00FC30AE">
      <w:pPr>
        <w:pStyle w:val="Bullet1"/>
      </w:pPr>
      <w:r>
        <w:t>policies</w:t>
      </w:r>
    </w:p>
    <w:p w:rsidR="00E45697" w:rsidRDefault="00E45697" w:rsidP="00FC30AE">
      <w:pPr>
        <w:pStyle w:val="Bullet1"/>
      </w:pPr>
      <w:r w:rsidRPr="00EF7534">
        <w:t xml:space="preserve">clear </w:t>
      </w:r>
      <w:r>
        <w:t>decision-making</w:t>
      </w:r>
      <w:r w:rsidRPr="00EF7534">
        <w:t xml:space="preserve"> </w:t>
      </w:r>
      <w:r>
        <w:t>and business processes</w:t>
      </w:r>
    </w:p>
    <w:p w:rsidR="00E45697" w:rsidRPr="00EF7534" w:rsidRDefault="00E45697" w:rsidP="00FC30AE">
      <w:pPr>
        <w:pStyle w:val="Bullet1"/>
      </w:pPr>
      <w:r>
        <w:t>procedures</w:t>
      </w:r>
    </w:p>
    <w:p w:rsidR="00E45697" w:rsidRDefault="00E45697" w:rsidP="00FC30AE">
      <w:pPr>
        <w:pStyle w:val="Bullet1"/>
      </w:pPr>
      <w:r w:rsidRPr="00EF7534">
        <w:t>roles and responsibilities</w:t>
      </w:r>
    </w:p>
    <w:p w:rsidR="00E45697" w:rsidRDefault="00E45697" w:rsidP="00FC30AE">
      <w:pPr>
        <w:pStyle w:val="Bullet1"/>
      </w:pPr>
      <w:r>
        <w:t>supporting tools and systems</w:t>
      </w:r>
    </w:p>
    <w:p w:rsidR="00E45697" w:rsidRDefault="00E45697" w:rsidP="00FC30AE">
      <w:pPr>
        <w:pStyle w:val="Bullet1"/>
      </w:pPr>
      <w:r w:rsidRPr="00EF7534">
        <w:t>appropriate governance.</w:t>
      </w:r>
    </w:p>
    <w:p w:rsidR="00E45697" w:rsidRDefault="00E45697" w:rsidP="00FC30AE">
      <w:pPr>
        <w:pStyle w:val="BodyText"/>
        <w:keepNext/>
        <w:keepLines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lastRenderedPageBreak/>
        <w:t xml:space="preserve">Aspects of </w:t>
      </w:r>
      <w:r w:rsidRPr="00C46626">
        <w:rPr>
          <w:i/>
          <w:lang w:eastAsia="en-US"/>
        </w:rPr>
        <w:t>ex ante</w:t>
      </w:r>
      <w:r>
        <w:rPr>
          <w:lang w:eastAsia="en-US"/>
        </w:rPr>
        <w:t xml:space="preserve"> decision-making that require particular attention are:</w:t>
      </w:r>
    </w:p>
    <w:p w:rsidR="00E45697" w:rsidRDefault="00E45697" w:rsidP="00FC30AE">
      <w:pPr>
        <w:pStyle w:val="Bullet1"/>
        <w:keepNext/>
        <w:keepLines/>
      </w:pPr>
      <w:r>
        <w:t>responsible officers –who will make the initial assessment on release status?</w:t>
      </w:r>
      <w:r w:rsidDel="007063DB">
        <w:t xml:space="preserve"> </w:t>
      </w:r>
      <w:r>
        <w:t xml:space="preserve">triggers –policies and procedures on what a department determines is a trigger for considering whether information is suitable for administrative release </w:t>
      </w:r>
    </w:p>
    <w:p w:rsidR="00E45697" w:rsidRDefault="00E45697" w:rsidP="00FC30AE">
      <w:pPr>
        <w:pStyle w:val="Bullet1"/>
      </w:pPr>
      <w:r>
        <w:t>escalation points – this includes establishing the roles and responsibilities of information release specialists and processes for escalating information tagged ‘undetermined’ to these specialists for further consideration</w:t>
      </w:r>
    </w:p>
    <w:p w:rsidR="00E45697" w:rsidRDefault="00E45697" w:rsidP="00FC30AE">
      <w:pPr>
        <w:pStyle w:val="Bullet1"/>
      </w:pPr>
      <w:r>
        <w:t>release administratively upon request – this includes identifying who (usually a chief executive officer, information champion, or other senior officer) has the authority to sign off on the release or publication of information identified as ‘yes’ for release.</w:t>
      </w:r>
    </w:p>
    <w:p w:rsidR="00E45697" w:rsidRDefault="00E45697" w:rsidP="00E45697">
      <w:pPr>
        <w:pStyle w:val="BodyText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It is critical that the department’s authorising and accountability environment is communicated to and understood by </w:t>
      </w:r>
      <w:r w:rsidRPr="00516350">
        <w:rPr>
          <w:b/>
          <w:lang w:eastAsia="en-US"/>
        </w:rPr>
        <w:t>all staff</w:t>
      </w:r>
      <w:r>
        <w:rPr>
          <w:lang w:eastAsia="en-US"/>
        </w:rPr>
        <w:t>.</w:t>
      </w:r>
    </w:p>
    <w:p w:rsidR="00E45697" w:rsidRDefault="00E45697" w:rsidP="00E45697">
      <w:pPr>
        <w:pStyle w:val="BodyText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Related advice is available in:</w:t>
      </w:r>
    </w:p>
    <w:p w:rsidR="00E45697" w:rsidRDefault="000F2AFE" w:rsidP="00FC30AE">
      <w:pPr>
        <w:pStyle w:val="Bullet1"/>
      </w:pPr>
      <w:hyperlink r:id="rId29" w:history="1">
        <w:r w:rsidR="00E45697" w:rsidRPr="00826F5D">
          <w:rPr>
            <w:rStyle w:val="Hyperlink"/>
            <w:lang w:eastAsia="en-US"/>
          </w:rPr>
          <w:t>Information access and use (IS33) guideline</w:t>
        </w:r>
      </w:hyperlink>
    </w:p>
    <w:p w:rsidR="00E45697" w:rsidRPr="00E10D4C" w:rsidRDefault="000F2AFE" w:rsidP="00FC30AE">
      <w:pPr>
        <w:pStyle w:val="Bullet1"/>
      </w:pPr>
      <w:hyperlink r:id="rId30" w:history="1">
        <w:r w:rsidR="00E45697" w:rsidRPr="00826F5D">
          <w:rPr>
            <w:rStyle w:val="Hyperlink"/>
            <w:lang w:eastAsia="en-US"/>
          </w:rPr>
          <w:t>Information governance guideline</w:t>
        </w:r>
      </w:hyperlink>
      <w:r w:rsidR="00E45697">
        <w:t xml:space="preserve"> </w:t>
      </w:r>
    </w:p>
    <w:p w:rsidR="00E45697" w:rsidRPr="00826F5D" w:rsidRDefault="00E45697" w:rsidP="00FC30AE">
      <w:pPr>
        <w:pStyle w:val="Bullet1"/>
        <w:rPr>
          <w:rStyle w:val="Hyperlink"/>
          <w:lang w:eastAsia="en-US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"https://www.oic.qld.gov.au/guidelines/for-government/access-and-amendment/proactive-disclosure/proactive-disclosure-and-publication-schemes" </w:instrText>
      </w:r>
      <w:r>
        <w:rPr>
          <w:rFonts w:cs="Arial"/>
        </w:rPr>
        <w:fldChar w:fldCharType="separate"/>
      </w:r>
      <w:r w:rsidRPr="00826F5D">
        <w:rPr>
          <w:rStyle w:val="Hyperlink"/>
          <w:rFonts w:cs="Arial"/>
        </w:rPr>
        <w:t>Office of the Information Commissioner Guideline: Proactive disclosure and publication schemes</w:t>
      </w:r>
    </w:p>
    <w:p w:rsidR="00E45697" w:rsidRPr="00E10D4C" w:rsidRDefault="00E45697" w:rsidP="00FC30AE">
      <w:pPr>
        <w:pStyle w:val="Bullet1"/>
      </w:pPr>
      <w:r>
        <w:rPr>
          <w:rFonts w:cs="Arial"/>
        </w:rPr>
        <w:fldChar w:fldCharType="end"/>
      </w:r>
      <w:hyperlink r:id="rId31" w:history="1">
        <w:r w:rsidRPr="00E10D4C">
          <w:rPr>
            <w:rStyle w:val="Hyperlink"/>
            <w:rFonts w:cs="Arial"/>
          </w:rPr>
          <w:t>Office of the Information Commissioner Guideline: Administrative release of information</w:t>
        </w:r>
      </w:hyperlink>
      <w:r w:rsidRPr="00E10D4C">
        <w:t>.</w:t>
      </w:r>
    </w:p>
    <w:p w:rsidR="00E45697" w:rsidRDefault="00E45697" w:rsidP="00E45697">
      <w:pPr>
        <w:pStyle w:val="Heading2"/>
      </w:pPr>
      <w:bookmarkStart w:id="55" w:name="_Toc245868813"/>
      <w:bookmarkStart w:id="56" w:name="_Toc503348397"/>
      <w:bookmarkStart w:id="57" w:name="_Toc504572205"/>
      <w:r>
        <w:t xml:space="preserve">Modification of </w:t>
      </w:r>
      <w:r w:rsidRPr="00C46626">
        <w:rPr>
          <w:i/>
        </w:rPr>
        <w:t>ex ante</w:t>
      </w:r>
      <w:r>
        <w:t xml:space="preserve"> decision-making </w:t>
      </w:r>
      <w:bookmarkEnd w:id="55"/>
      <w:r>
        <w:t>considerations</w:t>
      </w:r>
      <w:bookmarkEnd w:id="56"/>
      <w:bookmarkEnd w:id="57"/>
    </w:p>
    <w:p w:rsidR="00E45697" w:rsidRPr="00290DD4" w:rsidRDefault="00E45697" w:rsidP="000F2AFE">
      <w:pPr>
        <w:pStyle w:val="BodyText"/>
        <w:widowControl w:val="0"/>
        <w:numPr>
          <w:ilvl w:val="0"/>
          <w:numId w:val="34"/>
        </w:numPr>
        <w:spacing w:before="60" w:after="120"/>
      </w:pPr>
      <w:r>
        <w:t>Departments</w:t>
      </w:r>
      <w:r w:rsidRPr="00290DD4">
        <w:t xml:space="preserve"> </w:t>
      </w:r>
      <w:r>
        <w:t>should</w:t>
      </w:r>
      <w:r w:rsidRPr="00290DD4">
        <w:t xml:space="preserve"> consider what modifications or additional </w:t>
      </w:r>
      <w:r w:rsidRPr="00FC30AE">
        <w:rPr>
          <w:i/>
        </w:rPr>
        <w:t xml:space="preserve">ex ante </w:t>
      </w:r>
      <w:r>
        <w:t>decision-making</w:t>
      </w:r>
      <w:r w:rsidRPr="00290DD4">
        <w:t xml:space="preserve"> </w:t>
      </w:r>
      <w:r>
        <w:t>considerations</w:t>
      </w:r>
      <w:r w:rsidRPr="00290DD4">
        <w:t xml:space="preserve"> are required in their specific context.</w:t>
      </w:r>
    </w:p>
    <w:p w:rsidR="00E45697" w:rsidRDefault="00E45697" w:rsidP="00E45697">
      <w:pPr>
        <w:pStyle w:val="Heading2"/>
      </w:pPr>
      <w:bookmarkStart w:id="58" w:name="_Toc245868814"/>
      <w:bookmarkStart w:id="59" w:name="_Toc503348398"/>
      <w:bookmarkStart w:id="60" w:name="_Toc504572206"/>
      <w:r>
        <w:t xml:space="preserve">Relationship between </w:t>
      </w:r>
      <w:r w:rsidRPr="00C46626">
        <w:rPr>
          <w:i/>
        </w:rPr>
        <w:t>ex ante</w:t>
      </w:r>
      <w:r>
        <w:t xml:space="preserve"> decision-making and </w:t>
      </w:r>
      <w:bookmarkEnd w:id="58"/>
      <w:bookmarkEnd w:id="59"/>
      <w:r>
        <w:t>Creative Commons licences</w:t>
      </w:r>
      <w:bookmarkEnd w:id="60"/>
    </w:p>
    <w:p w:rsidR="00E45697" w:rsidRDefault="00E45697" w:rsidP="000F2AFE">
      <w:pPr>
        <w:pStyle w:val="BodyText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The following table summarises the relationship between </w:t>
      </w:r>
      <w:r w:rsidRPr="00FC30AE">
        <w:rPr>
          <w:i/>
          <w:lang w:eastAsia="en-US"/>
        </w:rPr>
        <w:t>ex ante</w:t>
      </w:r>
      <w:r>
        <w:rPr>
          <w:lang w:eastAsia="en-US"/>
        </w:rPr>
        <w:t xml:space="preserve"> decision-making and Creative Commons licences in certain scenarios.</w:t>
      </w:r>
    </w:p>
    <w:p w:rsidR="00E45697" w:rsidRDefault="00E45697" w:rsidP="00E45697">
      <w:pPr>
        <w:pStyle w:val="Blankline"/>
        <w:rPr>
          <w:lang w:eastAsia="en-US"/>
        </w:rPr>
      </w:pPr>
    </w:p>
    <w:tbl>
      <w:tblPr>
        <w:tblStyle w:val="Table-LowInk"/>
        <w:tblW w:w="0" w:type="auto"/>
        <w:tblInd w:w="704" w:type="dxa"/>
        <w:tblLook w:val="01E0" w:firstRow="1" w:lastRow="1" w:firstColumn="1" w:lastColumn="1" w:noHBand="0" w:noVBand="0"/>
      </w:tblPr>
      <w:tblGrid>
        <w:gridCol w:w="3824"/>
        <w:gridCol w:w="4571"/>
      </w:tblGrid>
      <w:tr w:rsidR="00FC30AE" w:rsidRPr="00FC30AE" w:rsidTr="00FC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:rsidR="00E45697" w:rsidRPr="00FC30AE" w:rsidRDefault="00E45697" w:rsidP="00E45697">
            <w:pPr>
              <w:pStyle w:val="TableHeading"/>
              <w:numPr>
                <w:ilvl w:val="0"/>
                <w:numId w:val="15"/>
              </w:numPr>
              <w:rPr>
                <w:color w:val="auto"/>
              </w:rPr>
            </w:pPr>
            <w:bookmarkStart w:id="61" w:name="_Hlk503351912"/>
            <w:r w:rsidRPr="00FC30AE">
              <w:rPr>
                <w:color w:val="auto"/>
              </w:rPr>
              <w:t>Scenario</w:t>
            </w:r>
          </w:p>
        </w:tc>
        <w:tc>
          <w:tcPr>
            <w:tcW w:w="4571" w:type="dxa"/>
          </w:tcPr>
          <w:p w:rsidR="00E45697" w:rsidRPr="00FC30AE" w:rsidRDefault="00E45697" w:rsidP="00E45697">
            <w:pPr>
              <w:pStyle w:val="TableHeading"/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30AE">
              <w:rPr>
                <w:color w:val="auto"/>
              </w:rPr>
              <w:t>Potential outcomes</w:t>
            </w:r>
          </w:p>
        </w:tc>
      </w:tr>
      <w:bookmarkEnd w:id="61"/>
      <w:tr w:rsidR="00E45697" w:rsidTr="00FC30AE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:rsidR="00E45697" w:rsidRPr="00766118" w:rsidRDefault="00E45697" w:rsidP="000F2AFE">
            <w:pPr>
              <w:pStyle w:val="Bulletcircl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766118">
              <w:rPr>
                <w:rStyle w:val="TableTextChar"/>
                <w:sz w:val="20"/>
                <w:szCs w:val="20"/>
              </w:rPr>
              <w:t>Information has</w:t>
            </w:r>
            <w:r w:rsidRPr="00766118">
              <w:rPr>
                <w:sz w:val="20"/>
                <w:szCs w:val="20"/>
              </w:rPr>
              <w:t>: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1"/>
              <w:rPr>
                <w:sz w:val="20"/>
                <w:szCs w:val="20"/>
                <w:lang w:eastAsia="en-US"/>
              </w:rPr>
            </w:pPr>
            <w:r w:rsidRPr="00766118">
              <w:rPr>
                <w:sz w:val="20"/>
                <w:szCs w:val="20"/>
              </w:rPr>
              <w:t>A Creative Commons licence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1"/>
              <w:rPr>
                <w:sz w:val="20"/>
                <w:szCs w:val="20"/>
                <w:lang w:eastAsia="en-US"/>
              </w:rPr>
            </w:pPr>
            <w:r w:rsidRPr="00766118">
              <w:rPr>
                <w:sz w:val="20"/>
                <w:szCs w:val="20"/>
              </w:rPr>
              <w:t xml:space="preserve">not been given </w:t>
            </w:r>
            <w:r w:rsidRPr="00766118">
              <w:rPr>
                <w:i/>
                <w:sz w:val="20"/>
                <w:szCs w:val="20"/>
              </w:rPr>
              <w:t>ex ante</w:t>
            </w:r>
            <w:r w:rsidRPr="00766118">
              <w:rPr>
                <w:sz w:val="20"/>
                <w:szCs w:val="20"/>
              </w:rPr>
              <w:t xml:space="preserve"> decision-making consideration.</w:t>
            </w:r>
          </w:p>
        </w:tc>
        <w:tc>
          <w:tcPr>
            <w:tcW w:w="4571" w:type="dxa"/>
          </w:tcPr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5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 xml:space="preserve">Information with any of the six creative common licences should be tagged ‘yes’ for release. </w:t>
            </w:r>
          </w:p>
          <w:p w:rsidR="00E45697" w:rsidRPr="00766118" w:rsidRDefault="00E45697" w:rsidP="00766118">
            <w:pPr>
              <w:pStyle w:val="Bullet1"/>
              <w:numPr>
                <w:ilvl w:val="0"/>
                <w:numId w:val="0"/>
              </w:numPr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5697" w:rsidTr="00FC30AE">
        <w:tblPrEx>
          <w:tblCellMar>
            <w:top w:w="57" w:type="dxa"/>
            <w:left w:w="119" w:type="dxa"/>
            <w:right w:w="119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:rsidR="00E45697" w:rsidRPr="00766118" w:rsidRDefault="00E45697" w:rsidP="000F2AFE">
            <w:pPr>
              <w:pStyle w:val="Bulletcircl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Information has no Creative Commons licence</w:t>
            </w:r>
          </w:p>
        </w:tc>
        <w:tc>
          <w:tcPr>
            <w:tcW w:w="4571" w:type="dxa"/>
          </w:tcPr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59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 xml:space="preserve">If the information has not been given </w:t>
            </w:r>
            <w:r w:rsidRPr="00766118">
              <w:rPr>
                <w:i/>
                <w:sz w:val="20"/>
                <w:szCs w:val="20"/>
              </w:rPr>
              <w:t>ex ante</w:t>
            </w:r>
            <w:r w:rsidRPr="00766118">
              <w:rPr>
                <w:sz w:val="20"/>
                <w:szCs w:val="20"/>
              </w:rPr>
              <w:t xml:space="preserve"> decision making consideration, it should now go through this process.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59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Information identified as ‘yes’ suitable for release and publication should go through the Creative Commons licensing review process to assign one of the six creative commons licences.</w:t>
            </w:r>
          </w:p>
        </w:tc>
      </w:tr>
    </w:tbl>
    <w:p w:rsidR="00E45697" w:rsidRDefault="00E45697" w:rsidP="00E45697">
      <w:pPr>
        <w:pStyle w:val="BodyText"/>
        <w:numPr>
          <w:ilvl w:val="0"/>
          <w:numId w:val="18"/>
        </w:numPr>
        <w:rPr>
          <w:lang w:eastAsia="en-US"/>
        </w:rPr>
      </w:pPr>
      <w:bookmarkStart w:id="62" w:name="_Toc245868815"/>
      <w:bookmarkStart w:id="63" w:name="_Toc503348399"/>
      <w:r>
        <w:rPr>
          <w:lang w:eastAsia="en-US"/>
        </w:rPr>
        <w:t xml:space="preserve">Further information about Creative Commons licences is available from the Creative Commons </w:t>
      </w:r>
      <w:hyperlink r:id="rId32" w:history="1">
        <w:r w:rsidRPr="00345C2D">
          <w:rPr>
            <w:rStyle w:val="Hyperlink"/>
            <w:lang w:eastAsia="en-US"/>
          </w:rPr>
          <w:t>website</w:t>
        </w:r>
      </w:hyperlink>
      <w:r>
        <w:rPr>
          <w:lang w:eastAsia="en-US"/>
        </w:rPr>
        <w:t xml:space="preserve">. </w:t>
      </w:r>
    </w:p>
    <w:p w:rsidR="00E45697" w:rsidRDefault="00E45697" w:rsidP="00E45697">
      <w:pPr>
        <w:pStyle w:val="Heading2"/>
      </w:pPr>
      <w:bookmarkStart w:id="64" w:name="_Toc504572207"/>
      <w:r>
        <w:lastRenderedPageBreak/>
        <w:t xml:space="preserve">Relationship between </w:t>
      </w:r>
      <w:r w:rsidRPr="00C46626">
        <w:rPr>
          <w:i/>
        </w:rPr>
        <w:t>ex ante</w:t>
      </w:r>
      <w:r>
        <w:t xml:space="preserve"> decision-making and the Queensland Government Information Security Classification Framework</w:t>
      </w:r>
      <w:bookmarkEnd w:id="62"/>
      <w:bookmarkEnd w:id="63"/>
      <w:bookmarkEnd w:id="64"/>
    </w:p>
    <w:p w:rsidR="00E45697" w:rsidRDefault="00E45697" w:rsidP="00E45697">
      <w:pPr>
        <w:pStyle w:val="BodyText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The following table summarises the relationship between </w:t>
      </w:r>
      <w:r w:rsidRPr="00C46626">
        <w:rPr>
          <w:i/>
          <w:lang w:eastAsia="en-US"/>
        </w:rPr>
        <w:t>ex ante</w:t>
      </w:r>
      <w:r>
        <w:rPr>
          <w:lang w:eastAsia="en-US"/>
        </w:rPr>
        <w:t xml:space="preserve"> decision-making and the </w:t>
      </w:r>
      <w:hyperlink r:id="rId33" w:history="1">
        <w:r w:rsidRPr="00345C2D">
          <w:rPr>
            <w:rStyle w:val="Hyperlink"/>
          </w:rPr>
          <w:t>Queensland Government Information Security Classification Framework</w:t>
        </w:r>
      </w:hyperlink>
      <w:r>
        <w:rPr>
          <w:lang w:eastAsia="en-US"/>
        </w:rPr>
        <w:t xml:space="preserve"> (QGISCF) in certain scenarios.</w:t>
      </w:r>
    </w:p>
    <w:p w:rsidR="00E45697" w:rsidRDefault="00E45697" w:rsidP="00E45697">
      <w:pPr>
        <w:pStyle w:val="Blankline"/>
        <w:rPr>
          <w:lang w:eastAsia="en-US"/>
        </w:rPr>
      </w:pPr>
    </w:p>
    <w:tbl>
      <w:tblPr>
        <w:tblStyle w:val="Table-LowInk"/>
        <w:tblW w:w="0" w:type="auto"/>
        <w:tblInd w:w="562" w:type="dxa"/>
        <w:tblLook w:val="01E0" w:firstRow="1" w:lastRow="1" w:firstColumn="1" w:lastColumn="1" w:noHBand="0" w:noVBand="0"/>
      </w:tblPr>
      <w:tblGrid>
        <w:gridCol w:w="3967"/>
        <w:gridCol w:w="4570"/>
      </w:tblGrid>
      <w:tr w:rsidR="00FC30AE" w:rsidRPr="00FC30AE" w:rsidTr="00FC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</w:tcPr>
          <w:p w:rsidR="00E45697" w:rsidRPr="00FC30AE" w:rsidRDefault="00E45697" w:rsidP="00E45697">
            <w:pPr>
              <w:pStyle w:val="TableHeading"/>
              <w:numPr>
                <w:ilvl w:val="0"/>
                <w:numId w:val="15"/>
              </w:numPr>
              <w:rPr>
                <w:color w:val="auto"/>
              </w:rPr>
            </w:pPr>
            <w:r w:rsidRPr="00FC30AE">
              <w:rPr>
                <w:color w:val="auto"/>
              </w:rPr>
              <w:t>Scenario</w:t>
            </w:r>
          </w:p>
        </w:tc>
        <w:tc>
          <w:tcPr>
            <w:tcW w:w="4570" w:type="dxa"/>
          </w:tcPr>
          <w:p w:rsidR="00E45697" w:rsidRPr="00FC30AE" w:rsidRDefault="00E45697" w:rsidP="00E45697">
            <w:pPr>
              <w:pStyle w:val="TableHeading"/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30AE">
              <w:rPr>
                <w:color w:val="auto"/>
              </w:rPr>
              <w:t>Potential outcomes</w:t>
            </w:r>
          </w:p>
        </w:tc>
      </w:tr>
      <w:tr w:rsidR="00E45697" w:rsidTr="00FC30AE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</w:tcPr>
          <w:p w:rsidR="00E45697" w:rsidRPr="00766118" w:rsidRDefault="00E45697" w:rsidP="00737AA4">
            <w:pPr>
              <w:pStyle w:val="BodyText1"/>
            </w:pPr>
            <w:r w:rsidRPr="00766118">
              <w:t>Information has: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44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not been assessed under the QGISCF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44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has been considered for ex ante release.</w:t>
            </w:r>
          </w:p>
        </w:tc>
        <w:tc>
          <w:tcPr>
            <w:tcW w:w="4570" w:type="dxa"/>
          </w:tcPr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Information is tagged ‘yes’ for release and is to be published should be classified as PUBLIC.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Information is tagged ‘yes’ for release and is not to be published should be classified as UNCLASSIFIED.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 all other cases (i.e. ‘undetermined’ and ‘no’) a security classification should be determined in accordance with the QGISCF.</w:t>
            </w:r>
          </w:p>
        </w:tc>
      </w:tr>
      <w:tr w:rsidR="00E45697" w:rsidTr="00FC30AE">
        <w:tblPrEx>
          <w:tblCellMar>
            <w:top w:w="57" w:type="dxa"/>
            <w:left w:w="119" w:type="dxa"/>
            <w:right w:w="119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</w:tcPr>
          <w:p w:rsidR="00E45697" w:rsidRPr="00766118" w:rsidRDefault="00E45697" w:rsidP="000F2AFE">
            <w:pPr>
              <w:pStyle w:val="TableText"/>
            </w:pPr>
            <w:r w:rsidRPr="00766118">
              <w:rPr>
                <w:rStyle w:val="BodytextChar0"/>
                <w:sz w:val="20"/>
              </w:rPr>
              <w:t>Information has not been considered for ex ante release</w:t>
            </w:r>
            <w:r w:rsidRPr="00766118">
              <w:t>.</w:t>
            </w:r>
          </w:p>
        </w:tc>
        <w:tc>
          <w:tcPr>
            <w:tcW w:w="4570" w:type="dxa"/>
          </w:tcPr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If the information does not have a QGISCF security classification, it should be assessed in the first instance under the QGISCF.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Information classified as PUBLIC should be published (i.e. tagged ‘yes).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 xml:space="preserve">Information that is UNCLASSIFIED requires review under </w:t>
            </w:r>
            <w:r w:rsidRPr="00766118">
              <w:rPr>
                <w:i/>
                <w:sz w:val="20"/>
                <w:szCs w:val="20"/>
              </w:rPr>
              <w:t xml:space="preserve">ex ante </w:t>
            </w:r>
            <w:r w:rsidRPr="00766118">
              <w:rPr>
                <w:sz w:val="20"/>
                <w:szCs w:val="20"/>
              </w:rPr>
              <w:t>decision-making considerations (i.e. could be tagged either ‘yes’, ‘undetermined’ or ‘no’).</w:t>
            </w:r>
          </w:p>
          <w:p w:rsidR="00E45697" w:rsidRPr="00766118" w:rsidRDefault="00E45697" w:rsidP="00766118">
            <w:pPr>
              <w:pStyle w:val="Bullet1"/>
              <w:tabs>
                <w:tab w:val="clear" w:pos="1134"/>
              </w:tabs>
              <w:ind w:left="45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 xml:space="preserve">Information that is classified as X-IN-CONFIDENCE or above, or is national security information should not be released (i.e. tagged ‘no’). Note: that this information will continue to be subject to legislative access applications under the </w:t>
            </w:r>
            <w:r w:rsidRPr="00766118">
              <w:rPr>
                <w:i/>
                <w:sz w:val="20"/>
                <w:szCs w:val="20"/>
              </w:rPr>
              <w:t>Right to Information Act 2009 (Qld).</w:t>
            </w:r>
          </w:p>
        </w:tc>
      </w:tr>
    </w:tbl>
    <w:p w:rsidR="00061652" w:rsidRDefault="00061652" w:rsidP="00737AA4">
      <w:pPr>
        <w:pStyle w:val="BodyText1"/>
      </w:pPr>
    </w:p>
    <w:p w:rsidR="00AD0A26" w:rsidRDefault="00E45697" w:rsidP="00B12183">
      <w:pPr>
        <w:pStyle w:val="Appendix1"/>
      </w:pPr>
      <w:bookmarkStart w:id="65" w:name="_Toc245868817"/>
      <w:bookmarkStart w:id="66" w:name="_Toc503348400"/>
      <w:bookmarkStart w:id="67" w:name="_Toc504572208"/>
      <w:bookmarkEnd w:id="13"/>
      <w:r w:rsidRPr="00C46626">
        <w:rPr>
          <w:i/>
        </w:rPr>
        <w:lastRenderedPageBreak/>
        <w:t>Ex ante</w:t>
      </w:r>
      <w:r>
        <w:t xml:space="preserve"> decision-making </w:t>
      </w:r>
      <w:bookmarkEnd w:id="65"/>
      <w:r>
        <w:t>considerations</w:t>
      </w:r>
      <w:bookmarkEnd w:id="66"/>
      <w:bookmarkEnd w:id="67"/>
    </w:p>
    <w:p w:rsidR="0068690E" w:rsidRDefault="0068690E" w:rsidP="0068690E">
      <w:pPr>
        <w:pStyle w:val="BodyTex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1" w:type="dxa"/>
        </w:tblCellMar>
        <w:tblLook w:val="01E0" w:firstRow="1" w:lastRow="1" w:firstColumn="1" w:lastColumn="1" w:noHBand="0" w:noVBand="0"/>
      </w:tblPr>
      <w:tblGrid>
        <w:gridCol w:w="6943"/>
        <w:gridCol w:w="562"/>
        <w:gridCol w:w="473"/>
        <w:gridCol w:w="1650"/>
      </w:tblGrid>
      <w:tr w:rsidR="009A1863" w:rsidRPr="009A1863" w:rsidTr="009A1863">
        <w:trPr>
          <w:tblHeader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9A1863" w:rsidRDefault="0068690E" w:rsidP="0068690E">
            <w:pPr>
              <w:pStyle w:val="TableHeading"/>
              <w:widowControl w:val="0"/>
              <w:numPr>
                <w:ilvl w:val="0"/>
                <w:numId w:val="15"/>
              </w:numPr>
              <w:spacing w:line="280" w:lineRule="atLeast"/>
              <w:rPr>
                <w:b/>
                <w:color w:val="auto"/>
              </w:rPr>
            </w:pPr>
            <w:r w:rsidRPr="009A1863">
              <w:rPr>
                <w:b/>
                <w:color w:val="auto"/>
              </w:rPr>
              <w:t>Considerations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9A1863" w:rsidRDefault="0068690E" w:rsidP="0068690E">
            <w:pPr>
              <w:pStyle w:val="TableHeading"/>
              <w:widowControl w:val="0"/>
              <w:numPr>
                <w:ilvl w:val="0"/>
                <w:numId w:val="15"/>
              </w:numPr>
              <w:spacing w:line="280" w:lineRule="atLeast"/>
              <w:rPr>
                <w:b/>
                <w:color w:val="auto"/>
              </w:rPr>
            </w:pPr>
            <w:r w:rsidRPr="009A1863">
              <w:rPr>
                <w:b/>
                <w:color w:val="auto"/>
              </w:rPr>
              <w:t>Yes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9A1863" w:rsidRDefault="0068690E" w:rsidP="0068690E">
            <w:pPr>
              <w:pStyle w:val="TableHeading"/>
              <w:widowControl w:val="0"/>
              <w:numPr>
                <w:ilvl w:val="0"/>
                <w:numId w:val="15"/>
              </w:numPr>
              <w:spacing w:line="280" w:lineRule="atLeast"/>
              <w:rPr>
                <w:b/>
                <w:color w:val="auto"/>
              </w:rPr>
            </w:pPr>
            <w:r w:rsidRPr="009A1863">
              <w:rPr>
                <w:b/>
                <w:color w:val="auto"/>
              </w:rPr>
              <w:t>No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9A1863" w:rsidRDefault="0068690E" w:rsidP="0068690E">
            <w:pPr>
              <w:pStyle w:val="TableHeading"/>
              <w:widowControl w:val="0"/>
              <w:numPr>
                <w:ilvl w:val="0"/>
                <w:numId w:val="15"/>
              </w:numPr>
              <w:spacing w:line="280" w:lineRule="atLeast"/>
              <w:rPr>
                <w:b/>
                <w:color w:val="auto"/>
              </w:rPr>
            </w:pPr>
            <w:r w:rsidRPr="009A1863">
              <w:rPr>
                <w:b/>
                <w:color w:val="auto"/>
              </w:rPr>
              <w:t>Undetermined</w:t>
            </w: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5E4714" w:rsidRDefault="0068690E" w:rsidP="000F2AFE">
            <w:pPr>
              <w:pStyle w:val="TableText"/>
            </w:pPr>
            <w:r>
              <w:t>Release of the information is in the public interest and may</w:t>
            </w:r>
            <w:r w:rsidRPr="005E4714">
              <w:t xml:space="preserve"> result in any of the following: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promote open discussion of public affairs and enhance the Government’s accountability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positive and informed debate on important issues or matters of serious interest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inform the community of the Government’s operations, including, in particular, the policies, guidelines and codes of conduct followed by the Government in its dealings with members of the community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ensure effective oversight of expenditure of public funds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allow or assist inquiry into possible deficiencies in the conduct or administration of an agency or official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reveal or substantiate that an agency or official has engaged in misconduct or negligent, improper or unlawful conduct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advance the fair treatment of individuals and other entities in accordance with the law in their dealings with agencies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reveal the reason for a government decision and any background or contextual information that informed the decision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reveal that the information was either incorrect, out of date, misleading, gratuitous, unfairly subjective or irrelevant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the protection of the environment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reveal environmental/health risks or measures relating to public health and safety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the maintenance of peace and order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the administration of justice generally, including procedural fairness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the administration of justice for a person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the enforcement of the criminal law</w:t>
            </w:r>
          </w:p>
          <w:p w:rsidR="0068690E" w:rsidRPr="00766118" w:rsidRDefault="0068690E" w:rsidP="00766118">
            <w:pPr>
              <w:pStyle w:val="Bullet1"/>
              <w:tabs>
                <w:tab w:val="clear" w:pos="1134"/>
              </w:tabs>
              <w:ind w:left="619"/>
              <w:rPr>
                <w:sz w:val="20"/>
                <w:szCs w:val="20"/>
              </w:rPr>
            </w:pPr>
            <w:r w:rsidRPr="00766118">
              <w:rPr>
                <w:sz w:val="20"/>
                <w:szCs w:val="20"/>
              </w:rPr>
              <w:t>contribute to innovation and the facilitation of research.</w:t>
            </w:r>
          </w:p>
          <w:p w:rsidR="0068690E" w:rsidRPr="0020567A" w:rsidRDefault="0068690E" w:rsidP="000F2AFE">
            <w:pPr>
              <w:pStyle w:val="Tablebulletcircle"/>
              <w:numPr>
                <w:ilvl w:val="0"/>
                <w:numId w:val="0"/>
              </w:numPr>
            </w:pPr>
            <w:r>
              <w:t xml:space="preserve">Source: </w:t>
            </w:r>
            <w:hyperlink r:id="rId34" w:history="1">
              <w:r w:rsidRPr="0022317A">
                <w:rPr>
                  <w:rStyle w:val="Hyperlink"/>
                </w:rPr>
                <w:t xml:space="preserve">RTI Act </w:t>
              </w:r>
              <w:r>
                <w:rPr>
                  <w:rStyle w:val="Hyperlink"/>
                </w:rPr>
                <w:t xml:space="preserve">2009 </w:t>
              </w:r>
              <w:r w:rsidRPr="0022317A">
                <w:rPr>
                  <w:rStyle w:val="Hyperlink"/>
                </w:rPr>
                <w:t>Schedule 3 Part 2</w:t>
              </w:r>
            </w:hyperlink>
          </w:p>
        </w:tc>
        <w:tc>
          <w:tcPr>
            <w:tcW w:w="297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  <w:tc>
          <w:tcPr>
            <w:tcW w:w="832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0F2AFE">
            <w:pPr>
              <w:pStyle w:val="TableText"/>
              <w:rPr>
                <w:rFonts w:ascii="Verdana" w:hAnsi="Verdana"/>
              </w:rPr>
            </w:pPr>
            <w:r>
              <w:t>The i</w:t>
            </w:r>
            <w:r w:rsidRPr="0020567A">
              <w:t xml:space="preserve">nformation </w:t>
            </w:r>
            <w:r>
              <w:t xml:space="preserve">is </w:t>
            </w:r>
            <w:r w:rsidRPr="0020567A">
              <w:t>r</w:t>
            </w:r>
            <w:r>
              <w:t xml:space="preserve">equired to be published/released or </w:t>
            </w:r>
            <w:r w:rsidRPr="0020567A">
              <w:t>has previously been published</w:t>
            </w:r>
            <w:r>
              <w:t>/released</w:t>
            </w:r>
            <w:r w:rsidRPr="0020567A">
              <w:t>.</w:t>
            </w:r>
          </w:p>
        </w:tc>
        <w:tc>
          <w:tcPr>
            <w:tcW w:w="297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  <w:tc>
          <w:tcPr>
            <w:tcW w:w="832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20567A" w:rsidRDefault="0068690E" w:rsidP="000F2AFE">
            <w:pPr>
              <w:pStyle w:val="TableText"/>
            </w:pPr>
            <w:r w:rsidRPr="0020567A">
              <w:t>There is an alternative access mechanism available for the information</w:t>
            </w:r>
            <w:r>
              <w:t>. (Note: t</w:t>
            </w:r>
            <w:r w:rsidRPr="0020567A">
              <w:t xml:space="preserve">his </w:t>
            </w:r>
            <w:r>
              <w:t>does</w:t>
            </w:r>
            <w:r w:rsidRPr="0020567A">
              <w:t xml:space="preserve"> not preclude an agency from being able to charge for such information).</w:t>
            </w:r>
          </w:p>
        </w:tc>
        <w:tc>
          <w:tcPr>
            <w:tcW w:w="297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  <w:tc>
          <w:tcPr>
            <w:tcW w:w="832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</w:t>
            </w:r>
            <w:r w:rsidRPr="0020567A">
              <w:t xml:space="preserve">nformation </w:t>
            </w:r>
            <w:r>
              <w:t xml:space="preserve">is </w:t>
            </w:r>
            <w:r w:rsidRPr="0020567A">
              <w:t>classified as PUBLIC under the Queensland Government Information Security Classification Framework.</w:t>
            </w:r>
          </w:p>
          <w:p w:rsidR="0068690E" w:rsidRPr="005E4714" w:rsidRDefault="0068690E" w:rsidP="000F2AFE">
            <w:pPr>
              <w:pStyle w:val="TableText"/>
            </w:pPr>
            <w:r>
              <w:t xml:space="preserve">Source: </w:t>
            </w:r>
            <w:hyperlink r:id="rId35" w:history="1">
              <w:r w:rsidRPr="00AB0A2C">
                <w:rPr>
                  <w:rStyle w:val="Hyperlink"/>
                </w:rPr>
                <w:t>Queensland Government Information Security Classification Framework</w:t>
              </w:r>
            </w:hyperlink>
          </w:p>
        </w:tc>
        <w:tc>
          <w:tcPr>
            <w:tcW w:w="297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5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 xml:space="preserve">The information is </w:t>
            </w:r>
            <w:r w:rsidRPr="0020567A">
              <w:t>available under</w:t>
            </w:r>
            <w:r>
              <w:t xml:space="preserve"> a Creative Commons licence.</w:t>
            </w:r>
          </w:p>
          <w:p w:rsidR="0068690E" w:rsidRPr="0020567A" w:rsidRDefault="0068690E" w:rsidP="000F2AFE">
            <w:pPr>
              <w:pStyle w:val="TableText"/>
            </w:pPr>
            <w:r>
              <w:t xml:space="preserve">Source: </w:t>
            </w:r>
            <w:hyperlink r:id="rId36" w:history="1">
              <w:r w:rsidRPr="002C1968">
                <w:rPr>
                  <w:rStyle w:val="Hyperlink"/>
                </w:rPr>
                <w:t>Creative Commons Australia</w:t>
              </w:r>
            </w:hyperlink>
          </w:p>
        </w:tc>
        <w:tc>
          <w:tcPr>
            <w:tcW w:w="297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5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  <w:widowControl w:val="0"/>
              <w:spacing w:after="120" w:line="280" w:lineRule="atLeast"/>
            </w:pPr>
            <w:r>
              <w:lastRenderedPageBreak/>
              <w:t>The i</w:t>
            </w:r>
            <w:r w:rsidRPr="0020567A">
              <w:t xml:space="preserve">nformation is </w:t>
            </w:r>
            <w:r>
              <w:t>tagged</w:t>
            </w:r>
            <w:r w:rsidRPr="0020567A">
              <w:t xml:space="preserve"> as </w:t>
            </w:r>
            <w:r>
              <w:t>‘</w:t>
            </w:r>
            <w:r w:rsidRPr="0020567A">
              <w:t>may be released under FOI</w:t>
            </w:r>
            <w:r>
              <w:t>’</w:t>
            </w:r>
            <w:r w:rsidRPr="0020567A">
              <w:t xml:space="preserve"> or </w:t>
            </w:r>
            <w:r>
              <w:t>‘</w:t>
            </w:r>
            <w:r w:rsidRPr="0020567A">
              <w:t>may be published</w:t>
            </w:r>
            <w:r>
              <w:t>’</w:t>
            </w:r>
            <w:r w:rsidRPr="0020567A">
              <w:t xml:space="preserve"> in the </w:t>
            </w:r>
            <w:r>
              <w:t>‘</w:t>
            </w:r>
            <w:r w:rsidRPr="0020567A">
              <w:t>record access</w:t>
            </w:r>
            <w:r>
              <w:t>’</w:t>
            </w:r>
            <w:r w:rsidRPr="0020567A">
              <w:t xml:space="preserve"> element qualifier, </w:t>
            </w:r>
            <w:r>
              <w:t>‘</w:t>
            </w:r>
            <w:r w:rsidRPr="0020567A">
              <w:t>access rights</w:t>
            </w:r>
            <w:r>
              <w:t>’</w:t>
            </w:r>
            <w:r w:rsidRPr="0020567A">
              <w:t>.</w:t>
            </w:r>
          </w:p>
          <w:p w:rsidR="0068690E" w:rsidRPr="0020567A" w:rsidRDefault="0068690E" w:rsidP="000F2AFE">
            <w:pPr>
              <w:pStyle w:val="TableText"/>
              <w:widowControl w:val="0"/>
              <w:spacing w:after="120" w:line="280" w:lineRule="atLeast"/>
            </w:pPr>
            <w:r>
              <w:t xml:space="preserve">Source: </w:t>
            </w:r>
            <w:hyperlink r:id="rId37" w:history="1">
              <w:r w:rsidRPr="0022317A"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ueensland r</w:t>
              </w:r>
              <w:r w:rsidRPr="0022317A">
                <w:rPr>
                  <w:rStyle w:val="Hyperlink"/>
                </w:rPr>
                <w:t>ecordkeeping metadata standard and guideline</w:t>
              </w:r>
            </w:hyperlink>
          </w:p>
        </w:tc>
        <w:tc>
          <w:tcPr>
            <w:tcW w:w="297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</w:t>
            </w:r>
            <w:r w:rsidRPr="0020567A">
              <w:t>nformation has previously been assessed by an authorised officer as exempt or not in the public interest to release.</w:t>
            </w:r>
            <w:r>
              <w:t xml:space="preserve"> </w:t>
            </w:r>
          </w:p>
          <w:p w:rsidR="0068690E" w:rsidRDefault="0068690E" w:rsidP="000F2AFE">
            <w:pPr>
              <w:pStyle w:val="TableText"/>
            </w:pPr>
            <w:r>
              <w:t>Note: this information should be tagged ‘no – assessed under RTI legislation’.</w:t>
            </w:r>
          </w:p>
          <w:p w:rsidR="0068690E" w:rsidRPr="0020567A" w:rsidRDefault="0068690E" w:rsidP="000F2AFE">
            <w:pPr>
              <w:pStyle w:val="TableText"/>
            </w:pPr>
            <w:r>
              <w:t xml:space="preserve">Source: </w:t>
            </w:r>
            <w:r w:rsidRPr="00FF0F8F">
              <w:t>RTI Act 2009</w:t>
            </w:r>
            <w:r>
              <w:t xml:space="preserve"> Part 4, Part 5, Schedule 3</w:t>
            </w:r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20567A" w:rsidRDefault="0068690E" w:rsidP="000F2AFE">
            <w:pPr>
              <w:pStyle w:val="TableText"/>
            </w:pPr>
            <w:r>
              <w:t>T</w:t>
            </w:r>
            <w:r w:rsidRPr="0020567A">
              <w:t xml:space="preserve">here is clearly the possibility of harm being occasioned by </w:t>
            </w:r>
            <w:r>
              <w:t>release of the information</w:t>
            </w:r>
            <w:r w:rsidRPr="0020567A">
              <w:t xml:space="preserve">. That is, </w:t>
            </w:r>
            <w:r>
              <w:t>release</w:t>
            </w:r>
            <w:r w:rsidRPr="0020567A">
              <w:t xml:space="preserve"> of the information could reasonably be expected to</w:t>
            </w:r>
            <w:r>
              <w:t xml:space="preserve"> result in any of the following: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collective responsibility of Cabinet or the individual responsibility of members of Parliament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private, business, professional, commercial or financial affairs of individuals or entities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fair treatment of individuals and the information is about unsubstantiated allegations of misconduct or unlawful, negligent or improper conduct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security, law enforcement or public safety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impede the administration of justice generally, including procedural fairness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impede the administration of justice for an individual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security or good order of a corrective services facility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impede the protection of the environment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economy of the State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flow of information to the police or another law enforcement or regulatory agency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intergovernmental relations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trade secrets, business affairs or research of an agency or person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an agency’s ability to obtain confidential information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competitive commercial activities of an agency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financial or property interests of State or agency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conduct of investigations, audits or reviews by the ombudsman or auditor-general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the management function of an agency or the conduct of industrial relations by an agency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prejudice a deliberative process of government</w:t>
            </w:r>
          </w:p>
          <w:p w:rsidR="0068690E" w:rsidRDefault="0068690E" w:rsidP="00D151F7">
            <w:pPr>
              <w:pStyle w:val="Bullet1"/>
              <w:tabs>
                <w:tab w:val="clear" w:pos="1134"/>
              </w:tabs>
              <w:ind w:left="477"/>
            </w:pPr>
            <w:r w:rsidRPr="00D151F7">
              <w:rPr>
                <w:sz w:val="20"/>
                <w:szCs w:val="20"/>
              </w:rPr>
              <w:t>prejudice the effectiveness of testing or auditing procedures.</w:t>
            </w:r>
          </w:p>
          <w:p w:rsidR="0068690E" w:rsidRPr="0020567A" w:rsidRDefault="0068690E" w:rsidP="000F2AFE">
            <w:pPr>
              <w:pStyle w:val="Tablebulletcircle"/>
              <w:numPr>
                <w:ilvl w:val="0"/>
                <w:numId w:val="0"/>
              </w:numPr>
            </w:pPr>
            <w:r>
              <w:t xml:space="preserve">Source: </w:t>
            </w:r>
            <w:hyperlink r:id="rId38" w:history="1">
              <w:r w:rsidRPr="0022317A">
                <w:rPr>
                  <w:rStyle w:val="Hyperlink"/>
                </w:rPr>
                <w:t xml:space="preserve">RTI Act </w:t>
              </w:r>
              <w:r>
                <w:rPr>
                  <w:rStyle w:val="Hyperlink"/>
                </w:rPr>
                <w:t xml:space="preserve">2009 </w:t>
              </w:r>
              <w:r w:rsidRPr="0022317A">
                <w:rPr>
                  <w:rStyle w:val="Hyperlink"/>
                </w:rPr>
                <w:t>Schedule 4 Part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 w:rsidRPr="0020567A">
              <w:t>Disclosure of the information is prohibited by an Act.</w:t>
            </w:r>
          </w:p>
          <w:p w:rsidR="0068690E" w:rsidRPr="0020567A" w:rsidRDefault="0068690E" w:rsidP="000F2AFE">
            <w:pPr>
              <w:pStyle w:val="TableText"/>
            </w:pPr>
            <w:r>
              <w:t xml:space="preserve">Source: </w:t>
            </w:r>
            <w:hyperlink r:id="rId39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lastRenderedPageBreak/>
              <w:t>The information is either a Cabinet matter or Cabinet information, unless it is published by decision of Cabinet.</w:t>
            </w:r>
          </w:p>
          <w:p w:rsidR="0068690E" w:rsidRPr="0020567A" w:rsidRDefault="0068690E" w:rsidP="000F2AFE">
            <w:pPr>
              <w:pStyle w:val="TableText"/>
            </w:pPr>
            <w:r>
              <w:t xml:space="preserve">Source: </w:t>
            </w:r>
            <w:hyperlink r:id="rId40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 xml:space="preserve">The information is Executive Council information. 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1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is briefing an incoming Minister.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2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reveals communications between the Sovereign and the Sovereign’s representative.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3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reveals communications between the Sovereign or the Sovereign’s representative and the Premier.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4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Release of the information would be contempt of court (including a royal commission, commission of inquiry or other having power to take evidence on oath) or Parliament.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5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is subject to legal professional privilege.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6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Release of the information would found an action for breach of confidence.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7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is national or state security information.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8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Release of the information may prejudice law enforcement or public safety.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49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is investment incentive scheme information.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50" w:history="1">
              <w:r w:rsidRPr="003C7111">
                <w:rPr>
                  <w:rStyle w:val="Hyperlink"/>
                </w:rPr>
                <w:t>RTI Act 2009 Schedule 3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 xml:space="preserve">The information is tagged with any of the following under the </w:t>
            </w:r>
            <w:smartTag w:uri="urn:schemas-microsoft-com:office:smarttags" w:element="State">
              <w:smartTag w:uri="urn:schemas-microsoft-com:office:smarttags" w:element="place">
                <w:r>
                  <w:t>Queensland</w:t>
                </w:r>
              </w:smartTag>
            </w:smartTag>
            <w:r>
              <w:t xml:space="preserve"> recordkeeping metadata standard’s access rights scheme: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‘not for release’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‘limited release’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‘open after &lt;x&gt; years’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‘embargoed’.</w:t>
            </w:r>
          </w:p>
          <w:p w:rsidR="0068690E" w:rsidRDefault="0068690E" w:rsidP="000F2AFE">
            <w:pPr>
              <w:pStyle w:val="Tablebulletcircle"/>
              <w:numPr>
                <w:ilvl w:val="0"/>
                <w:numId w:val="0"/>
              </w:numPr>
            </w:pPr>
            <w:r>
              <w:t xml:space="preserve">Source: </w:t>
            </w:r>
            <w:hyperlink r:id="rId51" w:history="1">
              <w:r w:rsidRPr="0022317A"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ueensland r</w:t>
              </w:r>
              <w:r w:rsidRPr="0022317A">
                <w:rPr>
                  <w:rStyle w:val="Hyperlink"/>
                </w:rPr>
                <w:t>ecordkeeping metadata standard and guideline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There may be risk of damage to the information if it is released or made available for viewing.</w:t>
            </w:r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contains intellectual property under development.</w:t>
            </w:r>
          </w:p>
          <w:p w:rsidR="0068690E" w:rsidRDefault="0068690E" w:rsidP="000F2AFE">
            <w:pPr>
              <w:pStyle w:val="TableText"/>
            </w:pPr>
            <w:r>
              <w:t xml:space="preserve">Source: IP Principle 2.4 </w:t>
            </w:r>
            <w:hyperlink r:id="rId52" w:history="1">
              <w:r w:rsidRPr="003C7111">
                <w:rPr>
                  <w:rStyle w:val="Hyperlink"/>
                </w:rPr>
                <w:t>Queensland Public Sector Intellectual Property Principles</w:t>
              </w:r>
            </w:hyperlink>
            <w:r>
              <w:t xml:space="preserve"> </w:t>
            </w:r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lastRenderedPageBreak/>
              <w:t>The information is classified as X-IN-CONFIDENCE or above under the Queensland Government Information Security Classification Framework</w:t>
            </w:r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832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0F2AFE">
            <w:pPr>
              <w:pStyle w:val="BodyText"/>
              <w:ind w:left="0"/>
              <w:rPr>
                <w:rFonts w:ascii="Verdana" w:hAnsi="Verdana"/>
                <w:lang w:eastAsia="en-US"/>
              </w:rPr>
            </w:pP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is no longer readily available as it is contained in files that have been placed in archive storage, or is difficult to access for similar reasons.</w:t>
            </w:r>
          </w:p>
          <w:p w:rsidR="0068690E" w:rsidRDefault="0068690E" w:rsidP="000F2AFE">
            <w:pPr>
              <w:pStyle w:val="TableText"/>
            </w:pPr>
            <w:r>
              <w:t xml:space="preserve">Source: </w:t>
            </w:r>
            <w:hyperlink r:id="rId53" w:history="1">
              <w:r w:rsidRPr="00AB0A2C">
                <w:rPr>
                  <w:rStyle w:val="Hyperlink"/>
                </w:rPr>
                <w:t>Queensland Government Information Security Classification Framework</w:t>
              </w:r>
            </w:hyperlink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832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Any of the following applies to the information:</w:t>
            </w:r>
          </w:p>
          <w:p w:rsidR="0068690E" w:rsidRPr="00D151F7" w:rsidRDefault="0068690E" w:rsidP="00D151F7">
            <w:pPr>
              <w:pStyle w:val="Bullet1"/>
              <w:tabs>
                <w:tab w:val="clear" w:pos="1134"/>
              </w:tabs>
              <w:ind w:left="477"/>
              <w:rPr>
                <w:sz w:val="20"/>
                <w:szCs w:val="20"/>
              </w:rPr>
            </w:pPr>
            <w:r w:rsidRPr="00D151F7">
              <w:rPr>
                <w:sz w:val="20"/>
                <w:szCs w:val="20"/>
              </w:rPr>
              <w:t>restricted copyright licence (commercial)</w:t>
            </w:r>
          </w:p>
          <w:p w:rsidR="0068690E" w:rsidRDefault="0068690E" w:rsidP="00D151F7">
            <w:pPr>
              <w:pStyle w:val="Bullet1"/>
              <w:tabs>
                <w:tab w:val="clear" w:pos="1134"/>
              </w:tabs>
              <w:ind w:left="477"/>
            </w:pPr>
            <w:r w:rsidRPr="00D151F7">
              <w:rPr>
                <w:sz w:val="20"/>
                <w:szCs w:val="20"/>
              </w:rPr>
              <w:t>copyright is not owned by the Crown.</w:t>
            </w:r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832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</w:tr>
      <w:tr w:rsidR="0068690E" w:rsidRPr="00352574" w:rsidTr="000F2AFE">
        <w:trPr>
          <w:cantSplit/>
        </w:trPr>
        <w:tc>
          <w:tcPr>
            <w:tcW w:w="3614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Default="0068690E" w:rsidP="000F2AFE">
            <w:pPr>
              <w:pStyle w:val="TableText"/>
            </w:pPr>
            <w:r>
              <w:t>The information is in draft form.</w:t>
            </w:r>
          </w:p>
        </w:tc>
        <w:tc>
          <w:tcPr>
            <w:tcW w:w="29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257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Wingdings" w:hAnsi="Wingdings"/>
              </w:rPr>
            </w:pPr>
          </w:p>
        </w:tc>
        <w:tc>
          <w:tcPr>
            <w:tcW w:w="832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690E" w:rsidRPr="00352574" w:rsidRDefault="0068690E" w:rsidP="0068690E">
            <w:pPr>
              <w:pStyle w:val="BodyText"/>
              <w:widowControl w:val="0"/>
              <w:numPr>
                <w:ilvl w:val="0"/>
                <w:numId w:val="34"/>
              </w:numPr>
              <w:spacing w:before="60" w:after="120"/>
              <w:ind w:left="0"/>
              <w:rPr>
                <w:rFonts w:ascii="Verdana" w:hAnsi="Verdana"/>
                <w:lang w:eastAsia="en-US"/>
              </w:rPr>
            </w:pPr>
            <w:r w:rsidRPr="00352574">
              <w:rPr>
                <w:rFonts w:ascii="Wingdings" w:hAnsi="Wingdings"/>
              </w:rPr>
              <w:sym w:font="Wingdings" w:char="F0FC"/>
            </w:r>
          </w:p>
        </w:tc>
      </w:tr>
    </w:tbl>
    <w:p w:rsidR="0068690E" w:rsidRPr="0068690E" w:rsidRDefault="0068690E" w:rsidP="0068690E">
      <w:pPr>
        <w:pStyle w:val="BodyText"/>
      </w:pPr>
    </w:p>
    <w:p w:rsidR="00CA23BE" w:rsidRPr="00055798" w:rsidRDefault="00CA23BE" w:rsidP="006517B2">
      <w:pPr>
        <w:pStyle w:val="BodyText"/>
      </w:pPr>
    </w:p>
    <w:sectPr w:rsidR="00CA23BE" w:rsidRPr="00055798" w:rsidSect="00B5132B">
      <w:headerReference w:type="even" r:id="rId54"/>
      <w:headerReference w:type="default" r:id="rId55"/>
      <w:pgSz w:w="11906" w:h="16838" w:code="9"/>
      <w:pgMar w:top="1134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AFE" w:rsidRDefault="000F2AFE" w:rsidP="00766CCB">
      <w:r>
        <w:separator/>
      </w:r>
    </w:p>
    <w:p w:rsidR="000F2AFE" w:rsidRDefault="000F2AFE" w:rsidP="00766CCB"/>
    <w:p w:rsidR="000F2AFE" w:rsidRDefault="000F2AFE" w:rsidP="00766CCB"/>
    <w:p w:rsidR="000F2AFE" w:rsidRDefault="000F2AFE" w:rsidP="00766CCB"/>
  </w:endnote>
  <w:endnote w:type="continuationSeparator" w:id="0">
    <w:p w:rsidR="000F2AFE" w:rsidRDefault="000F2AFE" w:rsidP="00766CCB">
      <w:r>
        <w:continuationSeparator/>
      </w:r>
    </w:p>
    <w:p w:rsidR="000F2AFE" w:rsidRDefault="000F2AFE" w:rsidP="00766CCB"/>
    <w:p w:rsidR="000F2AFE" w:rsidRDefault="000F2AFE" w:rsidP="00766CCB"/>
    <w:p w:rsidR="000F2AFE" w:rsidRDefault="000F2AFE" w:rsidP="00766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taOT-Nor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Pr="006517B2" w:rsidRDefault="000F2AFE" w:rsidP="00E55257">
    <w:pPr>
      <w:pStyle w:val="Footerred"/>
      <w:pBdr>
        <w:top w:val="single" w:sz="4" w:space="1" w:color="808080"/>
      </w:pBdr>
      <w:rPr>
        <w:color w:val="A6A6A6" w:themeColor="background1" w:themeShade="A6"/>
      </w:rPr>
    </w:pPr>
    <w:r>
      <w:rPr>
        <w:caps w:val="0"/>
        <w:color w:val="A6A6A6" w:themeColor="background1" w:themeShade="A6"/>
      </w:rPr>
      <w:t>Final</w:t>
    </w:r>
    <w:r w:rsidRPr="006517B2">
      <w:rPr>
        <w:caps w:val="0"/>
        <w:color w:val="A6A6A6" w:themeColor="background1" w:themeShade="A6"/>
      </w:rPr>
      <w:t xml:space="preserve"> </w:t>
    </w:r>
    <w:r w:rsidRPr="006517B2">
      <w:rPr>
        <w:rFonts w:cs="Arial"/>
        <w:caps w:val="0"/>
        <w:color w:val="A6A6A6" w:themeColor="background1" w:themeShade="A6"/>
      </w:rPr>
      <w:t>|</w:t>
    </w:r>
    <w:r w:rsidRPr="006517B2">
      <w:rPr>
        <w:caps w:val="0"/>
        <w:color w:val="A6A6A6" w:themeColor="background1" w:themeShade="A6"/>
      </w:rPr>
      <w:t xml:space="preserve"> </w:t>
    </w:r>
    <w:r>
      <w:rPr>
        <w:caps w:val="0"/>
        <w:color w:val="A6A6A6" w:themeColor="background1" w:themeShade="A6"/>
      </w:rPr>
      <w:t xml:space="preserve">v3.0.0 </w:t>
    </w:r>
    <w:r w:rsidRPr="006517B2">
      <w:rPr>
        <w:rFonts w:cs="Arial"/>
        <w:caps w:val="0"/>
        <w:color w:val="A6A6A6" w:themeColor="background1" w:themeShade="A6"/>
      </w:rPr>
      <w:t>|</w:t>
    </w:r>
    <w:r w:rsidRPr="006517B2">
      <w:rPr>
        <w:caps w:val="0"/>
        <w:color w:val="A6A6A6" w:themeColor="background1" w:themeShade="A6"/>
      </w:rPr>
      <w:t xml:space="preserve"> </w:t>
    </w:r>
    <w:r>
      <w:rPr>
        <w:caps w:val="0"/>
        <w:color w:val="A6A6A6" w:themeColor="background1" w:themeShade="A6"/>
      </w:rPr>
      <w:t>February 2018</w:t>
    </w:r>
    <w:r w:rsidRPr="006517B2">
      <w:rPr>
        <w:color w:val="A6A6A6" w:themeColor="background1" w:themeShade="A6"/>
      </w:rPr>
      <w:tab/>
    </w:r>
    <w:r w:rsidRPr="006517B2">
      <w:rPr>
        <w:color w:val="A6A6A6" w:themeColor="background1" w:themeShade="A6"/>
      </w:rPr>
      <w:tab/>
    </w:r>
    <w:r w:rsidRPr="006517B2">
      <w:rPr>
        <w:caps w:val="0"/>
        <w:color w:val="A6A6A6" w:themeColor="background1" w:themeShade="A6"/>
      </w:rPr>
      <w:t xml:space="preserve">Page </w:t>
    </w:r>
    <w:r w:rsidRPr="006517B2">
      <w:rPr>
        <w:caps w:val="0"/>
        <w:color w:val="A6A6A6" w:themeColor="background1" w:themeShade="A6"/>
      </w:rPr>
      <w:fldChar w:fldCharType="begin"/>
    </w:r>
    <w:r w:rsidRPr="006517B2">
      <w:rPr>
        <w:caps w:val="0"/>
        <w:color w:val="A6A6A6" w:themeColor="background1" w:themeShade="A6"/>
      </w:rPr>
      <w:instrText xml:space="preserve"> PAGE </w:instrText>
    </w:r>
    <w:r w:rsidRPr="006517B2">
      <w:rPr>
        <w:caps w:val="0"/>
        <w:color w:val="A6A6A6" w:themeColor="background1" w:themeShade="A6"/>
      </w:rPr>
      <w:fldChar w:fldCharType="separate"/>
    </w:r>
    <w:r w:rsidR="00737AA4">
      <w:rPr>
        <w:caps w:val="0"/>
        <w:noProof/>
        <w:color w:val="A6A6A6" w:themeColor="background1" w:themeShade="A6"/>
      </w:rPr>
      <w:t>6</w:t>
    </w:r>
    <w:r w:rsidRPr="006517B2">
      <w:rPr>
        <w:caps w:val="0"/>
        <w:color w:val="A6A6A6" w:themeColor="background1" w:themeShade="A6"/>
      </w:rPr>
      <w:fldChar w:fldCharType="end"/>
    </w:r>
    <w:r w:rsidRPr="006517B2">
      <w:rPr>
        <w:caps w:val="0"/>
        <w:color w:val="A6A6A6" w:themeColor="background1" w:themeShade="A6"/>
      </w:rPr>
      <w:t xml:space="preserve"> of </w:t>
    </w:r>
    <w:r w:rsidRPr="006517B2">
      <w:rPr>
        <w:caps w:val="0"/>
        <w:color w:val="A6A6A6" w:themeColor="background1" w:themeShade="A6"/>
      </w:rPr>
      <w:fldChar w:fldCharType="begin"/>
    </w:r>
    <w:r w:rsidRPr="006517B2">
      <w:rPr>
        <w:caps w:val="0"/>
        <w:color w:val="A6A6A6" w:themeColor="background1" w:themeShade="A6"/>
      </w:rPr>
      <w:instrText xml:space="preserve"> NUMPAGES </w:instrText>
    </w:r>
    <w:r w:rsidRPr="006517B2">
      <w:rPr>
        <w:caps w:val="0"/>
        <w:color w:val="A6A6A6" w:themeColor="background1" w:themeShade="A6"/>
      </w:rPr>
      <w:fldChar w:fldCharType="separate"/>
    </w:r>
    <w:r w:rsidR="00737AA4">
      <w:rPr>
        <w:caps w:val="0"/>
        <w:noProof/>
        <w:color w:val="A6A6A6" w:themeColor="background1" w:themeShade="A6"/>
      </w:rPr>
      <w:t>16</w:t>
    </w:r>
    <w:r w:rsidRPr="006517B2">
      <w:rPr>
        <w:caps w:val="0"/>
        <w:color w:val="A6A6A6" w:themeColor="background1" w:themeShade="A6"/>
      </w:rPr>
      <w:fldChar w:fldCharType="end"/>
    </w:r>
  </w:p>
  <w:p w:rsidR="000F2AFE" w:rsidRPr="009773A9" w:rsidRDefault="000F2AFE" w:rsidP="00E55257">
    <w:pPr>
      <w:pStyle w:val="Footerred"/>
      <w:pBdr>
        <w:top w:val="none" w:sz="0" w:space="0" w:color="auto"/>
      </w:pBdr>
      <w:jc w:val="center"/>
      <w:rPr>
        <w:caps w:val="0"/>
      </w:rPr>
    </w:pPr>
    <w:r>
      <w:rPr>
        <w:caps w:val="0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6517B2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66432" behindDoc="1" locked="0" layoutInCell="1" allowOverlap="1" wp14:anchorId="0EDF8C00" wp14:editId="310AA6A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619125" cy="904875"/>
          <wp:effectExtent l="0" t="0" r="9525" b="9525"/>
          <wp:wrapNone/>
          <wp:docPr id="13" name="Picture 13" descr="QGCIO-branding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GCIO-branding-foo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6" r="5000"/>
                  <a:stretch/>
                </pic:blipFill>
                <pic:spPr bwMode="auto">
                  <a:xfrm>
                    <a:off x="0" y="0"/>
                    <a:ext cx="619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Pr="006517B2" w:rsidRDefault="001604D9" w:rsidP="00061652">
    <w:pPr>
      <w:pStyle w:val="Footerred"/>
      <w:pBdr>
        <w:top w:val="single" w:sz="4" w:space="1" w:color="808080"/>
      </w:pBdr>
      <w:tabs>
        <w:tab w:val="clear" w:pos="9639"/>
        <w:tab w:val="right" w:pos="14570"/>
      </w:tabs>
      <w:rPr>
        <w:color w:val="A6A6A6" w:themeColor="background1" w:themeShade="A6"/>
      </w:rPr>
    </w:pPr>
    <w:r>
      <w:rPr>
        <w:caps w:val="0"/>
        <w:color w:val="A6A6A6" w:themeColor="background1" w:themeShade="A6"/>
      </w:rPr>
      <w:t>Final</w:t>
    </w:r>
    <w:r w:rsidR="000F2AFE" w:rsidRPr="006517B2">
      <w:rPr>
        <w:caps w:val="0"/>
        <w:color w:val="A6A6A6" w:themeColor="background1" w:themeShade="A6"/>
      </w:rPr>
      <w:t xml:space="preserve"> </w:t>
    </w:r>
    <w:r w:rsidR="000F2AFE" w:rsidRPr="006517B2">
      <w:rPr>
        <w:rFonts w:cs="Arial"/>
        <w:caps w:val="0"/>
        <w:color w:val="A6A6A6" w:themeColor="background1" w:themeShade="A6"/>
      </w:rPr>
      <w:t>|</w:t>
    </w:r>
    <w:r w:rsidR="000F2AFE" w:rsidRPr="006517B2">
      <w:rPr>
        <w:caps w:val="0"/>
        <w:color w:val="A6A6A6" w:themeColor="background1" w:themeShade="A6"/>
      </w:rPr>
      <w:t xml:space="preserve"> </w:t>
    </w:r>
    <w:r w:rsidR="000F2AFE">
      <w:rPr>
        <w:caps w:val="0"/>
        <w:color w:val="A6A6A6" w:themeColor="background1" w:themeShade="A6"/>
      </w:rPr>
      <w:t>v</w:t>
    </w:r>
    <w:r>
      <w:rPr>
        <w:caps w:val="0"/>
        <w:color w:val="A6A6A6" w:themeColor="background1" w:themeShade="A6"/>
      </w:rPr>
      <w:t>3</w:t>
    </w:r>
    <w:r w:rsidR="000F2AFE">
      <w:rPr>
        <w:caps w:val="0"/>
        <w:color w:val="A6A6A6" w:themeColor="background1" w:themeShade="A6"/>
      </w:rPr>
      <w:t>.0.</w:t>
    </w:r>
    <w:r>
      <w:rPr>
        <w:caps w:val="0"/>
        <w:color w:val="A6A6A6" w:themeColor="background1" w:themeShade="A6"/>
      </w:rPr>
      <w:t>0</w:t>
    </w:r>
    <w:r w:rsidR="000F2AFE">
      <w:rPr>
        <w:caps w:val="0"/>
        <w:color w:val="A6A6A6" w:themeColor="background1" w:themeShade="A6"/>
      </w:rPr>
      <w:t xml:space="preserve"> </w:t>
    </w:r>
    <w:r w:rsidR="000F2AFE" w:rsidRPr="006517B2">
      <w:rPr>
        <w:rFonts w:cs="Arial"/>
        <w:caps w:val="0"/>
        <w:color w:val="A6A6A6" w:themeColor="background1" w:themeShade="A6"/>
      </w:rPr>
      <w:t>|</w:t>
    </w:r>
    <w:r w:rsidR="000F2AFE" w:rsidRPr="006517B2">
      <w:rPr>
        <w:caps w:val="0"/>
        <w:color w:val="A6A6A6" w:themeColor="background1" w:themeShade="A6"/>
      </w:rPr>
      <w:t xml:space="preserve"> </w:t>
    </w:r>
    <w:r>
      <w:rPr>
        <w:caps w:val="0"/>
        <w:color w:val="A6A6A6" w:themeColor="background1" w:themeShade="A6"/>
      </w:rPr>
      <w:t>February</w:t>
    </w:r>
    <w:r w:rsidR="000F2AFE">
      <w:rPr>
        <w:caps w:val="0"/>
        <w:color w:val="A6A6A6" w:themeColor="background1" w:themeShade="A6"/>
      </w:rPr>
      <w:t xml:space="preserve"> 2018</w:t>
    </w:r>
    <w:r w:rsidR="000F2AFE" w:rsidRPr="006517B2">
      <w:rPr>
        <w:color w:val="A6A6A6" w:themeColor="background1" w:themeShade="A6"/>
      </w:rPr>
      <w:tab/>
    </w:r>
    <w:r w:rsidR="000F2AFE" w:rsidRPr="006517B2">
      <w:rPr>
        <w:color w:val="A6A6A6" w:themeColor="background1" w:themeShade="A6"/>
      </w:rPr>
      <w:tab/>
    </w:r>
    <w:r w:rsidR="000F2AFE" w:rsidRPr="006517B2">
      <w:rPr>
        <w:caps w:val="0"/>
        <w:color w:val="A6A6A6" w:themeColor="background1" w:themeShade="A6"/>
      </w:rPr>
      <w:t xml:space="preserve">Page </w:t>
    </w:r>
    <w:r w:rsidR="000F2AFE" w:rsidRPr="006517B2">
      <w:rPr>
        <w:caps w:val="0"/>
        <w:color w:val="A6A6A6" w:themeColor="background1" w:themeShade="A6"/>
      </w:rPr>
      <w:fldChar w:fldCharType="begin"/>
    </w:r>
    <w:r w:rsidR="000F2AFE" w:rsidRPr="006517B2">
      <w:rPr>
        <w:caps w:val="0"/>
        <w:color w:val="A6A6A6" w:themeColor="background1" w:themeShade="A6"/>
      </w:rPr>
      <w:instrText xml:space="preserve"> PAGE </w:instrText>
    </w:r>
    <w:r w:rsidR="000F2AFE" w:rsidRPr="006517B2">
      <w:rPr>
        <w:caps w:val="0"/>
        <w:color w:val="A6A6A6" w:themeColor="background1" w:themeShade="A6"/>
      </w:rPr>
      <w:fldChar w:fldCharType="separate"/>
    </w:r>
    <w:r w:rsidR="00737AA4">
      <w:rPr>
        <w:caps w:val="0"/>
        <w:noProof/>
        <w:color w:val="A6A6A6" w:themeColor="background1" w:themeShade="A6"/>
      </w:rPr>
      <w:t>16</w:t>
    </w:r>
    <w:r w:rsidR="000F2AFE" w:rsidRPr="006517B2">
      <w:rPr>
        <w:caps w:val="0"/>
        <w:color w:val="A6A6A6" w:themeColor="background1" w:themeShade="A6"/>
      </w:rPr>
      <w:fldChar w:fldCharType="end"/>
    </w:r>
    <w:r w:rsidR="000F2AFE" w:rsidRPr="006517B2">
      <w:rPr>
        <w:caps w:val="0"/>
        <w:color w:val="A6A6A6" w:themeColor="background1" w:themeShade="A6"/>
      </w:rPr>
      <w:t xml:space="preserve"> of </w:t>
    </w:r>
    <w:r w:rsidR="000F2AFE" w:rsidRPr="006517B2">
      <w:rPr>
        <w:caps w:val="0"/>
        <w:color w:val="A6A6A6" w:themeColor="background1" w:themeShade="A6"/>
      </w:rPr>
      <w:fldChar w:fldCharType="begin"/>
    </w:r>
    <w:r w:rsidR="000F2AFE" w:rsidRPr="006517B2">
      <w:rPr>
        <w:caps w:val="0"/>
        <w:color w:val="A6A6A6" w:themeColor="background1" w:themeShade="A6"/>
      </w:rPr>
      <w:instrText xml:space="preserve"> NUMPAGES </w:instrText>
    </w:r>
    <w:r w:rsidR="000F2AFE" w:rsidRPr="006517B2">
      <w:rPr>
        <w:caps w:val="0"/>
        <w:color w:val="A6A6A6" w:themeColor="background1" w:themeShade="A6"/>
      </w:rPr>
      <w:fldChar w:fldCharType="separate"/>
    </w:r>
    <w:r w:rsidR="00737AA4">
      <w:rPr>
        <w:caps w:val="0"/>
        <w:noProof/>
        <w:color w:val="A6A6A6" w:themeColor="background1" w:themeShade="A6"/>
      </w:rPr>
      <w:t>16</w:t>
    </w:r>
    <w:r w:rsidR="000F2AFE" w:rsidRPr="006517B2">
      <w:rPr>
        <w:caps w:val="0"/>
        <w:color w:val="A6A6A6" w:themeColor="background1" w:themeShade="A6"/>
      </w:rPr>
      <w:fldChar w:fldCharType="end"/>
    </w:r>
  </w:p>
  <w:p w:rsidR="000F2AFE" w:rsidRPr="00061652" w:rsidRDefault="001604D9" w:rsidP="00061652">
    <w:pPr>
      <w:pStyle w:val="Blankline"/>
      <w:jc w:val="center"/>
      <w:rPr>
        <w:color w:val="FF0000"/>
        <w:sz w:val="16"/>
        <w:szCs w:val="16"/>
      </w:rPr>
    </w:pPr>
    <w:r>
      <w:rPr>
        <w:color w:val="FF0000"/>
        <w:sz w:val="16"/>
        <w:szCs w:val="16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AFE" w:rsidRDefault="000F2AFE" w:rsidP="00766CCB">
      <w:r>
        <w:separator/>
      </w:r>
    </w:p>
  </w:footnote>
  <w:footnote w:type="continuationSeparator" w:id="0">
    <w:p w:rsidR="000F2AFE" w:rsidRDefault="000F2AFE" w:rsidP="00766CCB">
      <w:r>
        <w:continuationSeparator/>
      </w:r>
    </w:p>
  </w:footnote>
  <w:footnote w:type="continuationNotice" w:id="1">
    <w:p w:rsidR="000F2AFE" w:rsidRDefault="000F2AFE" w:rsidP="00766CCB"/>
  </w:footnote>
  <w:footnote w:id="2">
    <w:p w:rsidR="000F2AFE" w:rsidRPr="00D0695B" w:rsidRDefault="000F2AFE" w:rsidP="00C5356E">
      <w:pPr>
        <w:pStyle w:val="FootnoteText"/>
      </w:pPr>
      <w:r>
        <w:rPr>
          <w:rStyle w:val="FootnoteReference"/>
        </w:rPr>
        <w:footnoteRef/>
      </w:r>
      <w:r>
        <w:t xml:space="preserve"> Queensland Government, </w:t>
      </w:r>
      <w:hyperlink r:id="rId1" w:history="1">
        <w:r w:rsidRPr="00FF4BD9">
          <w:rPr>
            <w:rStyle w:val="Hyperlink"/>
          </w:rPr>
          <w:t>The right to information: A response to the review of Queensland’s Freedom of Information Act</w:t>
        </w:r>
      </w:hyperlink>
      <w:r>
        <w:rPr>
          <w:i/>
        </w:rPr>
        <w:t xml:space="preserve"> </w:t>
      </w:r>
      <w:r>
        <w:t xml:space="preserve">(PDF), accessed 4 January 2018. </w:t>
      </w:r>
    </w:p>
  </w:footnote>
  <w:footnote w:id="3">
    <w:p w:rsidR="000F2AFE" w:rsidRPr="00557B45" w:rsidRDefault="000F2AFE" w:rsidP="00C5356E">
      <w:pPr>
        <w:pStyle w:val="FootnoteText"/>
        <w:rPr>
          <w:rFonts w:ascii="Verdana" w:hAnsi="Verdana"/>
          <w:lang w:eastAsia="en-US"/>
        </w:rPr>
      </w:pPr>
      <w:r>
        <w:rPr>
          <w:rStyle w:val="FootnoteReference"/>
        </w:rPr>
        <w:footnoteRef/>
      </w:r>
      <w:r>
        <w:t xml:space="preserve"> Although this is a policy obligation, some administrative release arrangements have statutory authority. See further the Office of the Information Commissioner’s </w:t>
      </w:r>
      <w:hyperlink r:id="rId2" w:history="1">
        <w:r w:rsidRPr="00172A21">
          <w:rPr>
            <w:rStyle w:val="Hyperlink"/>
          </w:rPr>
          <w:t>Administrative release of information guideline</w:t>
        </w:r>
      </w:hyperlink>
      <w:r>
        <w:t>.</w:t>
      </w:r>
    </w:p>
  </w:footnote>
  <w:footnote w:id="4">
    <w:p w:rsidR="000F2AFE" w:rsidRDefault="000F2AFE" w:rsidP="00061652">
      <w:pPr>
        <w:pStyle w:val="FootnoteText"/>
      </w:pPr>
      <w:r>
        <w:rPr>
          <w:rStyle w:val="FootnoteReference"/>
        </w:rPr>
        <w:footnoteRef/>
      </w:r>
      <w:r>
        <w:t xml:space="preserve"> See footnote 1.</w:t>
      </w:r>
    </w:p>
  </w:footnote>
  <w:footnote w:id="5">
    <w:p w:rsidR="000F2AFE" w:rsidRDefault="000F2AFE" w:rsidP="00061652">
      <w:pPr>
        <w:pStyle w:val="FootnoteText"/>
      </w:pPr>
      <w:r>
        <w:rPr>
          <w:rStyle w:val="FootnoteReference"/>
        </w:rPr>
        <w:footnoteRef/>
      </w:r>
      <w:r>
        <w:t xml:space="preserve"> See further the </w:t>
      </w:r>
      <w:hyperlink r:id="rId3" w:history="1">
        <w:r w:rsidRPr="00153F29">
          <w:rPr>
            <w:rStyle w:val="Hyperlink"/>
            <w:i/>
          </w:rPr>
          <w:t>QGEA Definition Paper: Information Architecture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1C5D52">
    <w:pPr>
      <w:pStyle w:val="Header"/>
      <w:pBdr>
        <w:top w:val="single" w:sz="4" w:space="1" w:color="808080"/>
        <w:bottom w:val="single" w:sz="4" w:space="1" w:color="808080"/>
      </w:pBdr>
      <w:tabs>
        <w:tab w:val="clear" w:pos="4153"/>
        <w:tab w:val="clear" w:pos="8306"/>
        <w:tab w:val="center" w:pos="4820"/>
        <w:tab w:val="right" w:pos="9638"/>
      </w:tabs>
      <w:spacing w:before="120" w:after="120"/>
    </w:pPr>
    <w:r>
      <w:rPr>
        <w:sz w:val="16"/>
        <w:szCs w:val="16"/>
      </w:rPr>
      <w:t>QGEA</w:t>
    </w:r>
    <w:r>
      <w:tab/>
    </w:r>
    <w:r>
      <w:rPr>
        <w:color w:val="FF0000"/>
        <w:sz w:val="16"/>
        <w:szCs w:val="16"/>
      </w:rPr>
      <w:t>PUBLIC</w:t>
    </w:r>
    <w:r w:rsidR="001C5D52">
      <w:rPr>
        <w:color w:val="FF0000"/>
        <w:sz w:val="16"/>
        <w:szCs w:val="16"/>
      </w:rPr>
      <w:tab/>
    </w:r>
    <w:r>
      <w:rPr>
        <w:sz w:val="16"/>
        <w:szCs w:val="16"/>
      </w:rPr>
      <w:t>Pre-determining the re</w:t>
    </w:r>
    <w:r w:rsidR="001C5D52">
      <w:rPr>
        <w:sz w:val="16"/>
        <w:szCs w:val="16"/>
      </w:rPr>
      <w:t>lease status of information</w:t>
    </w:r>
  </w:p>
  <w:p w:rsidR="000F2AFE" w:rsidRPr="00E55257" w:rsidRDefault="000F2AFE" w:rsidP="00E5525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0F2AFE">
    <w:pPr>
      <w:pStyle w:val="Header"/>
      <w:pBdr>
        <w:bottom w:val="none" w:sz="0" w:space="0" w:color="auto"/>
      </w:pBdr>
    </w:pPr>
    <w:r w:rsidRPr="002751A1">
      <w:rPr>
        <w:noProof/>
        <w:sz w:val="22"/>
        <w:szCs w:val="24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86C099" wp14:editId="6D97633A">
              <wp:simplePos x="0" y="0"/>
              <wp:positionH relativeFrom="margin">
                <wp:align>center</wp:align>
              </wp:positionH>
              <wp:positionV relativeFrom="paragraph">
                <wp:posOffset>357505</wp:posOffset>
              </wp:positionV>
              <wp:extent cx="685800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85750"/>
                      </a:xfrm>
                      <a:prstGeom prst="rect">
                        <a:avLst/>
                      </a:prstGeom>
                      <a:solidFill>
                        <a:srgbClr val="003E6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2AFE" w:rsidRPr="008B40F8" w:rsidRDefault="000F2AFE" w:rsidP="000F2AFE">
                          <w:pPr>
                            <w:spacing w:before="0" w:after="60"/>
                            <w:ind w:right="485"/>
                            <w:jc w:val="right"/>
                            <w:rPr>
                              <w:rFonts w:cs="Arial"/>
                              <w:sz w:val="26"/>
                              <w:szCs w:val="26"/>
                            </w:rPr>
                          </w:pPr>
                          <w:r w:rsidRPr="008B40F8">
                            <w:rPr>
                              <w:rFonts w:cs="Arial"/>
                              <w:sz w:val="26"/>
                              <w:szCs w:val="26"/>
                            </w:rPr>
                            <w:t>Queensland Government Enterprise Architecture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6C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15pt;width:540pt;height:22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" fillcolor="#003e68" stroked="f">
              <v:textbox>
                <w:txbxContent>
                  <w:p w:rsidR="000F2AFE" w:rsidRPr="008B40F8" w:rsidRDefault="000F2AFE" w:rsidP="000F2AFE">
                    <w:pPr>
                      <w:spacing w:before="0" w:after="60"/>
                      <w:ind w:right="485"/>
                      <w:jc w:val="right"/>
                      <w:rPr>
                        <w:rFonts w:cs="Arial"/>
                        <w:sz w:val="26"/>
                        <w:szCs w:val="26"/>
                      </w:rPr>
                    </w:pPr>
                    <w:r w:rsidRPr="008B40F8">
                      <w:rPr>
                        <w:rFonts w:cs="Arial"/>
                        <w:sz w:val="26"/>
                        <w:szCs w:val="26"/>
                      </w:rPr>
                      <w:t>Queensland Government Enterprise Architecture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3C6AA5E" wp14:editId="5782D38E">
          <wp:simplePos x="0" y="0"/>
          <wp:positionH relativeFrom="margin">
            <wp:align>center</wp:align>
          </wp:positionH>
          <wp:positionV relativeFrom="paragraph">
            <wp:posOffset>641350</wp:posOffset>
          </wp:positionV>
          <wp:extent cx="6807600" cy="3096000"/>
          <wp:effectExtent l="0" t="0" r="0" b="9525"/>
          <wp:wrapNone/>
          <wp:docPr id="12" name="Picture 12" descr="QGCIO-branding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QGCIO-branding-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600" cy="30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ACEA5" wp14:editId="40D66489">
              <wp:simplePos x="0" y="0"/>
              <wp:positionH relativeFrom="page">
                <wp:posOffset>612140</wp:posOffset>
              </wp:positionH>
              <wp:positionV relativeFrom="page">
                <wp:posOffset>9587865</wp:posOffset>
              </wp:positionV>
              <wp:extent cx="2286000" cy="342900"/>
              <wp:effectExtent l="2540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FE" w:rsidRPr="00A867F7" w:rsidRDefault="000F2AFE" w:rsidP="000F2AFE">
                          <w:pPr>
                            <w:rPr>
                              <w:rStyle w:val="Titlepageinf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FACEA5" id="Text Box 5" o:spid="_x0000_s1027" type="#_x0000_t202" style="position:absolute;margin-left:48.2pt;margin-top:754.95pt;width:18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" filled="f" stroked="f">
              <v:textbox inset="0,0,0,0">
                <w:txbxContent>
                  <w:p w:rsidR="000F2AFE" w:rsidRPr="00A867F7" w:rsidRDefault="000F2AFE" w:rsidP="000F2AFE">
                    <w:pPr>
                      <w:rPr>
                        <w:rStyle w:val="Titlepageinf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F2AFE" w:rsidRDefault="000F2AFE" w:rsidP="006517B2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E8A77">
              <wp:simplePos x="0" y="0"/>
              <wp:positionH relativeFrom="page">
                <wp:posOffset>612140</wp:posOffset>
              </wp:positionH>
              <wp:positionV relativeFrom="page">
                <wp:posOffset>9587865</wp:posOffset>
              </wp:positionV>
              <wp:extent cx="2286000" cy="342900"/>
              <wp:effectExtent l="2540" t="0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FE" w:rsidRPr="00A867F7" w:rsidRDefault="000F2AFE" w:rsidP="00766CCB">
                          <w:pPr>
                            <w:rPr>
                              <w:rStyle w:val="Titlepageinf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E8A77" id="_x0000_s1028" type="#_x0000_t202" style="position:absolute;margin-left:48.2pt;margin-top:754.95pt;width:18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oArQIAAKk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" filled="f" stroked="f">
              <v:textbox inset="0,0,0,0">
                <w:txbxContent>
                  <w:p w:rsidR="000F2AFE" w:rsidRPr="00A867F7" w:rsidRDefault="000F2AFE" w:rsidP="00766CCB">
                    <w:pPr>
                      <w:rPr>
                        <w:rStyle w:val="Titlepageinf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C5356E">
    <w:pPr>
      <w:pStyle w:val="Header"/>
      <w:widowControl w:val="0"/>
      <w:numPr>
        <w:ilvl w:val="0"/>
        <w:numId w:val="34"/>
      </w:numPr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1C5D52">
    <w:pPr>
      <w:pStyle w:val="Header"/>
      <w:pBdr>
        <w:top w:val="single" w:sz="4" w:space="1" w:color="808080"/>
        <w:bottom w:val="single" w:sz="4" w:space="1" w:color="808080"/>
      </w:pBdr>
      <w:tabs>
        <w:tab w:val="clear" w:pos="4153"/>
        <w:tab w:val="clear" w:pos="8306"/>
        <w:tab w:val="center" w:pos="7371"/>
        <w:tab w:val="right" w:pos="9638"/>
      </w:tabs>
      <w:spacing w:before="120" w:after="120"/>
    </w:pPr>
    <w:r>
      <w:rPr>
        <w:sz w:val="16"/>
        <w:szCs w:val="16"/>
      </w:rPr>
      <w:t>QGEA</w:t>
    </w:r>
    <w:r>
      <w:tab/>
    </w:r>
    <w:r>
      <w:rPr>
        <w:color w:val="FF0000"/>
        <w:sz w:val="16"/>
        <w:szCs w:val="16"/>
      </w:rPr>
      <w:t>UNCLASSIFIED</w:t>
    </w:r>
    <w:r>
      <w:tab/>
    </w:r>
    <w:r w:rsidR="001C5D52">
      <w:tab/>
    </w:r>
    <w:r>
      <w:rPr>
        <w:sz w:val="16"/>
        <w:szCs w:val="16"/>
      </w:rPr>
      <w:t>Pre-determining t</w:t>
    </w:r>
    <w:r w:rsidR="001C5D52">
      <w:rPr>
        <w:sz w:val="16"/>
        <w:szCs w:val="16"/>
      </w:rPr>
      <w:t>he release status of information</w:t>
    </w:r>
  </w:p>
  <w:p w:rsidR="000F2AFE" w:rsidRPr="00E55257" w:rsidRDefault="000F2AFE" w:rsidP="00E55257">
    <w:pPr>
      <w:pStyle w:val="Header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766CC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FE" w:rsidRDefault="000F2AFE" w:rsidP="001C5D52">
    <w:pPr>
      <w:pStyle w:val="Header"/>
      <w:pBdr>
        <w:top w:val="single" w:sz="4" w:space="1" w:color="808080"/>
        <w:bottom w:val="single" w:sz="4" w:space="1" w:color="808080"/>
      </w:pBdr>
      <w:tabs>
        <w:tab w:val="clear" w:pos="4153"/>
        <w:tab w:val="clear" w:pos="8306"/>
        <w:tab w:val="center" w:pos="4820"/>
        <w:tab w:val="right" w:pos="9638"/>
      </w:tabs>
      <w:spacing w:before="120" w:after="120"/>
    </w:pPr>
    <w:r>
      <w:rPr>
        <w:sz w:val="16"/>
        <w:szCs w:val="16"/>
      </w:rPr>
      <w:t>QGEA</w:t>
    </w:r>
    <w:r>
      <w:tab/>
    </w:r>
    <w:r w:rsidR="001604D9">
      <w:rPr>
        <w:color w:val="FF0000"/>
        <w:sz w:val="16"/>
        <w:szCs w:val="16"/>
      </w:rPr>
      <w:t>PUBLIC</w:t>
    </w:r>
    <w:r w:rsidR="001C5D52">
      <w:rPr>
        <w:color w:val="FF0000"/>
        <w:sz w:val="16"/>
        <w:szCs w:val="16"/>
      </w:rPr>
      <w:tab/>
    </w:r>
    <w:r>
      <w:rPr>
        <w:sz w:val="16"/>
        <w:szCs w:val="16"/>
      </w:rPr>
      <w:t>Pre-determining the release status of i</w:t>
    </w:r>
    <w:r w:rsidR="001C5D52">
      <w:rPr>
        <w:sz w:val="16"/>
        <w:szCs w:val="16"/>
      </w:rPr>
      <w:t>nformation</w:t>
    </w:r>
  </w:p>
  <w:p w:rsidR="000F2AFE" w:rsidRPr="00E55257" w:rsidRDefault="000F2AFE" w:rsidP="00E5525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B00E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C877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FE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A65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A61F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E0B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2A7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6E5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213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B45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A2C71"/>
    <w:multiLevelType w:val="multilevel"/>
    <w:tmpl w:val="B92C8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7393901"/>
    <w:multiLevelType w:val="multilevel"/>
    <w:tmpl w:val="9610500E"/>
    <w:lvl w:ilvl="0">
      <w:start w:val="1"/>
      <w:numFmt w:val="bullet"/>
      <w:pStyle w:val="Tablebulletcirc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15F"/>
      </w:rPr>
    </w:lvl>
    <w:lvl w:ilvl="1">
      <w:start w:val="1"/>
      <w:numFmt w:val="bullet"/>
      <w:pStyle w:val="Tablebullet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2E526B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2" w15:restartNumberingAfterBreak="0">
    <w:nsid w:val="0B805F49"/>
    <w:multiLevelType w:val="multilevel"/>
    <w:tmpl w:val="308234E8"/>
    <w:lvl w:ilvl="0">
      <w:start w:val="1"/>
      <w:numFmt w:val="none"/>
      <w:suff w:val="nothing"/>
      <w:lvlText w:val="%1"/>
      <w:lvlJc w:val="left"/>
      <w:pPr>
        <w:ind w:left="709" w:firstLine="0"/>
      </w:pPr>
      <w:rPr>
        <w:rFonts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3" w15:restartNumberingAfterBreak="0">
    <w:nsid w:val="11FB6BBC"/>
    <w:multiLevelType w:val="multilevel"/>
    <w:tmpl w:val="C28E59E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4" w15:restartNumberingAfterBreak="0">
    <w:nsid w:val="127F548B"/>
    <w:multiLevelType w:val="multilevel"/>
    <w:tmpl w:val="CD220B08"/>
    <w:lvl w:ilvl="0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5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D305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E9321A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6E1CE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11231E5"/>
    <w:multiLevelType w:val="multilevel"/>
    <w:tmpl w:val="BF42E76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426"/>
      </w:pPr>
      <w:rPr>
        <w:rFonts w:ascii="Courier New" w:hAnsi="Courier New" w:cs="Courier New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0" w15:restartNumberingAfterBreak="0">
    <w:nsid w:val="40F531EF"/>
    <w:multiLevelType w:val="multilevel"/>
    <w:tmpl w:val="F8162AFA"/>
    <w:lvl w:ilvl="0">
      <w:start w:val="1"/>
      <w:numFmt w:val="upperLetter"/>
      <w:pStyle w:val="Appendix1"/>
      <w:lvlText w:val="Appendix %1"/>
      <w:lvlJc w:val="left"/>
      <w:pPr>
        <w:tabs>
          <w:tab w:val="num" w:pos="1701"/>
        </w:tabs>
        <w:ind w:left="1701" w:hanging="1701"/>
      </w:pPr>
      <w:rPr>
        <w:rFonts w:hint="default"/>
        <w:caps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Appendix3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pStyle w:val="Appendix4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1" w15:restartNumberingAfterBreak="0">
    <w:nsid w:val="42EE71A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4FD5E2B"/>
    <w:multiLevelType w:val="hybridMultilevel"/>
    <w:tmpl w:val="3D68277E"/>
    <w:lvl w:ilvl="0" w:tplc="D4CE6D0E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B0AE8D0A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7CD8DECA">
      <w:start w:val="1"/>
      <w:numFmt w:val="lowerRoman"/>
      <w:pStyle w:val="Numberlist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E13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9552A7"/>
    <w:multiLevelType w:val="multilevel"/>
    <w:tmpl w:val="B7EA22CA"/>
    <w:name w:val="Bullets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6621CE"/>
    <w:multiLevelType w:val="multilevel"/>
    <w:tmpl w:val="E64C7EA2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09" w:firstLine="0"/>
      </w:pPr>
      <w:rPr>
        <w:rFonts w:hint="default"/>
      </w:rPr>
    </w:lvl>
  </w:abstractNum>
  <w:abstractNum w:abstractNumId="26" w15:restartNumberingAfterBreak="0">
    <w:nsid w:val="57BE5FC0"/>
    <w:multiLevelType w:val="multilevel"/>
    <w:tmpl w:val="DEF4B5AA"/>
    <w:lvl w:ilvl="0">
      <w:start w:val="1"/>
      <w:numFmt w:val="none"/>
      <w:suff w:val="nothing"/>
      <w:lvlText w:val="%1"/>
      <w:lvlJc w:val="left"/>
      <w:pPr>
        <w:ind w:left="709" w:firstLine="0"/>
      </w:pPr>
      <w:rPr>
        <w:rFonts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7" w15:restartNumberingAfterBreak="0">
    <w:nsid w:val="60AB4897"/>
    <w:multiLevelType w:val="hybridMultilevel"/>
    <w:tmpl w:val="3CDAE068"/>
    <w:lvl w:ilvl="0" w:tplc="B1E09212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3036D9C4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077D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699599C"/>
    <w:multiLevelType w:val="hybridMultilevel"/>
    <w:tmpl w:val="D5C46A08"/>
    <w:lvl w:ilvl="0" w:tplc="261C664C">
      <w:start w:val="1"/>
      <w:numFmt w:val="bullet"/>
      <w:pStyle w:val="Bulletforexecsummary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315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E7B70"/>
    <w:multiLevelType w:val="multilevel"/>
    <w:tmpl w:val="6958F48C"/>
    <w:lvl w:ilvl="0">
      <w:start w:val="1"/>
      <w:numFmt w:val="none"/>
      <w:pStyle w:val="Table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textnumb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tabletextalpha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31" w15:restartNumberingAfterBreak="0">
    <w:nsid w:val="7A1C5473"/>
    <w:multiLevelType w:val="multilevel"/>
    <w:tmpl w:val="54629AE6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opencircle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2" w15:restartNumberingAfterBreak="0">
    <w:nsid w:val="7AD92304"/>
    <w:multiLevelType w:val="multilevel"/>
    <w:tmpl w:val="CA64D8A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3"/>
      <w:lvlText w:val="◦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28"/>
  </w:num>
  <w:num w:numId="14">
    <w:abstractNumId w:val="20"/>
  </w:num>
  <w:num w:numId="15">
    <w:abstractNumId w:val="30"/>
  </w:num>
  <w:num w:numId="16">
    <w:abstractNumId w:val="29"/>
  </w:num>
  <w:num w:numId="17">
    <w:abstractNumId w:val="31"/>
  </w:num>
  <w:num w:numId="18">
    <w:abstractNumId w:val="26"/>
  </w:num>
  <w:num w:numId="19">
    <w:abstractNumId w:val="25"/>
  </w:num>
  <w:num w:numId="20">
    <w:abstractNumId w:val="11"/>
  </w:num>
  <w:num w:numId="21">
    <w:abstractNumId w:val="16"/>
  </w:num>
  <w:num w:numId="22">
    <w:abstractNumId w:val="23"/>
  </w:num>
  <w:num w:numId="23">
    <w:abstractNumId w:val="17"/>
  </w:num>
  <w:num w:numId="24">
    <w:abstractNumId w:val="19"/>
  </w:num>
  <w:num w:numId="25">
    <w:abstractNumId w:val="24"/>
  </w:num>
  <w:num w:numId="26">
    <w:abstractNumId w:val="14"/>
  </w:num>
  <w:num w:numId="27">
    <w:abstractNumId w:val="13"/>
  </w:num>
  <w:num w:numId="28">
    <w:abstractNumId w:val="32"/>
  </w:num>
  <w:num w:numId="29">
    <w:abstractNumId w:val="10"/>
  </w:num>
  <w:num w:numId="30">
    <w:abstractNumId w:val="15"/>
  </w:num>
  <w:num w:numId="31">
    <w:abstractNumId w:val="27"/>
  </w:num>
  <w:num w:numId="32">
    <w:abstractNumId w:val="22"/>
  </w:num>
  <w:num w:numId="33">
    <w:abstractNumId w:val="26"/>
  </w:num>
  <w:num w:numId="3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55"/>
    <w:rsid w:val="00010D0B"/>
    <w:rsid w:val="00013A6E"/>
    <w:rsid w:val="00023993"/>
    <w:rsid w:val="0003232D"/>
    <w:rsid w:val="000373DC"/>
    <w:rsid w:val="00045ECF"/>
    <w:rsid w:val="00055798"/>
    <w:rsid w:val="00061652"/>
    <w:rsid w:val="000624E0"/>
    <w:rsid w:val="000658E9"/>
    <w:rsid w:val="00067AC8"/>
    <w:rsid w:val="00076AFC"/>
    <w:rsid w:val="000852D2"/>
    <w:rsid w:val="00094C82"/>
    <w:rsid w:val="000971C7"/>
    <w:rsid w:val="000B13CF"/>
    <w:rsid w:val="000B62BB"/>
    <w:rsid w:val="000C0B75"/>
    <w:rsid w:val="000D158A"/>
    <w:rsid w:val="000D5487"/>
    <w:rsid w:val="000E2C15"/>
    <w:rsid w:val="000E4CEE"/>
    <w:rsid w:val="000E5D3E"/>
    <w:rsid w:val="000E655A"/>
    <w:rsid w:val="000F03BA"/>
    <w:rsid w:val="000F159E"/>
    <w:rsid w:val="000F2AFE"/>
    <w:rsid w:val="000F3955"/>
    <w:rsid w:val="00102AC2"/>
    <w:rsid w:val="001348ED"/>
    <w:rsid w:val="00142BBB"/>
    <w:rsid w:val="00143885"/>
    <w:rsid w:val="00145E41"/>
    <w:rsid w:val="00150A2F"/>
    <w:rsid w:val="001548C7"/>
    <w:rsid w:val="0015571E"/>
    <w:rsid w:val="001604D9"/>
    <w:rsid w:val="00161EDA"/>
    <w:rsid w:val="00162518"/>
    <w:rsid w:val="0016317D"/>
    <w:rsid w:val="0017064B"/>
    <w:rsid w:val="00176B29"/>
    <w:rsid w:val="00181374"/>
    <w:rsid w:val="00191E69"/>
    <w:rsid w:val="00192F10"/>
    <w:rsid w:val="0019483B"/>
    <w:rsid w:val="001A239C"/>
    <w:rsid w:val="001B02EA"/>
    <w:rsid w:val="001B130F"/>
    <w:rsid w:val="001B45D5"/>
    <w:rsid w:val="001B7DE2"/>
    <w:rsid w:val="001C3407"/>
    <w:rsid w:val="001C5D52"/>
    <w:rsid w:val="001C5E18"/>
    <w:rsid w:val="001C7971"/>
    <w:rsid w:val="001D0AB4"/>
    <w:rsid w:val="001D0B3B"/>
    <w:rsid w:val="001E4E73"/>
    <w:rsid w:val="001F5F67"/>
    <w:rsid w:val="001F5F8B"/>
    <w:rsid w:val="002071CB"/>
    <w:rsid w:val="00213943"/>
    <w:rsid w:val="00217165"/>
    <w:rsid w:val="0022094E"/>
    <w:rsid w:val="00230ABD"/>
    <w:rsid w:val="00237DA5"/>
    <w:rsid w:val="00250E15"/>
    <w:rsid w:val="00251BA2"/>
    <w:rsid w:val="00262BC5"/>
    <w:rsid w:val="002714BB"/>
    <w:rsid w:val="00280BC6"/>
    <w:rsid w:val="00282E8A"/>
    <w:rsid w:val="00294748"/>
    <w:rsid w:val="00296E03"/>
    <w:rsid w:val="002A49E3"/>
    <w:rsid w:val="002A69A8"/>
    <w:rsid w:val="002B014A"/>
    <w:rsid w:val="002B4138"/>
    <w:rsid w:val="002C4084"/>
    <w:rsid w:val="002E5DE8"/>
    <w:rsid w:val="002F118D"/>
    <w:rsid w:val="002F77AE"/>
    <w:rsid w:val="0031308B"/>
    <w:rsid w:val="0031375B"/>
    <w:rsid w:val="00321AFA"/>
    <w:rsid w:val="00335B2D"/>
    <w:rsid w:val="003436FE"/>
    <w:rsid w:val="0034633D"/>
    <w:rsid w:val="003651B5"/>
    <w:rsid w:val="00371AD6"/>
    <w:rsid w:val="003759A6"/>
    <w:rsid w:val="00384FEB"/>
    <w:rsid w:val="0039642A"/>
    <w:rsid w:val="00396DF4"/>
    <w:rsid w:val="003A26F6"/>
    <w:rsid w:val="003A5399"/>
    <w:rsid w:val="003B1F14"/>
    <w:rsid w:val="003B1F45"/>
    <w:rsid w:val="003B5C4B"/>
    <w:rsid w:val="003C3A7F"/>
    <w:rsid w:val="003D06B1"/>
    <w:rsid w:val="003D2B38"/>
    <w:rsid w:val="003E716D"/>
    <w:rsid w:val="003E735F"/>
    <w:rsid w:val="003F0240"/>
    <w:rsid w:val="003F3430"/>
    <w:rsid w:val="003F4D98"/>
    <w:rsid w:val="003F622F"/>
    <w:rsid w:val="00402910"/>
    <w:rsid w:val="00407D8F"/>
    <w:rsid w:val="00425443"/>
    <w:rsid w:val="00446E17"/>
    <w:rsid w:val="00465527"/>
    <w:rsid w:val="00485DEE"/>
    <w:rsid w:val="004A6FEB"/>
    <w:rsid w:val="004B14A0"/>
    <w:rsid w:val="004C22CB"/>
    <w:rsid w:val="004C694F"/>
    <w:rsid w:val="004D353E"/>
    <w:rsid w:val="004D3880"/>
    <w:rsid w:val="004D63D6"/>
    <w:rsid w:val="004F0A9A"/>
    <w:rsid w:val="004F3D74"/>
    <w:rsid w:val="00503B8B"/>
    <w:rsid w:val="00506597"/>
    <w:rsid w:val="005070CB"/>
    <w:rsid w:val="00527E24"/>
    <w:rsid w:val="0053138B"/>
    <w:rsid w:val="00537EA2"/>
    <w:rsid w:val="005452FB"/>
    <w:rsid w:val="00560E74"/>
    <w:rsid w:val="00571312"/>
    <w:rsid w:val="005750A7"/>
    <w:rsid w:val="005757D8"/>
    <w:rsid w:val="005866FC"/>
    <w:rsid w:val="00591588"/>
    <w:rsid w:val="005A54F1"/>
    <w:rsid w:val="005A5F28"/>
    <w:rsid w:val="005B3086"/>
    <w:rsid w:val="005D1D26"/>
    <w:rsid w:val="005D65A5"/>
    <w:rsid w:val="005E5065"/>
    <w:rsid w:val="005E7B99"/>
    <w:rsid w:val="005F34B3"/>
    <w:rsid w:val="0060136A"/>
    <w:rsid w:val="00601AFD"/>
    <w:rsid w:val="00610FC6"/>
    <w:rsid w:val="00611131"/>
    <w:rsid w:val="00616B01"/>
    <w:rsid w:val="00625A55"/>
    <w:rsid w:val="006334ED"/>
    <w:rsid w:val="006364EA"/>
    <w:rsid w:val="0064176D"/>
    <w:rsid w:val="00641A40"/>
    <w:rsid w:val="00647D16"/>
    <w:rsid w:val="00650D7A"/>
    <w:rsid w:val="006517B2"/>
    <w:rsid w:val="00653A37"/>
    <w:rsid w:val="00656672"/>
    <w:rsid w:val="00663D57"/>
    <w:rsid w:val="00676FEE"/>
    <w:rsid w:val="00677657"/>
    <w:rsid w:val="00677B28"/>
    <w:rsid w:val="00680847"/>
    <w:rsid w:val="00683E19"/>
    <w:rsid w:val="0068690E"/>
    <w:rsid w:val="006910B3"/>
    <w:rsid w:val="006A4F21"/>
    <w:rsid w:val="006B22B2"/>
    <w:rsid w:val="006B2302"/>
    <w:rsid w:val="006B4CFD"/>
    <w:rsid w:val="006B6233"/>
    <w:rsid w:val="006C7A5F"/>
    <w:rsid w:val="006C7E44"/>
    <w:rsid w:val="006D5D95"/>
    <w:rsid w:val="006E37B9"/>
    <w:rsid w:val="006F41C6"/>
    <w:rsid w:val="006F77F7"/>
    <w:rsid w:val="00700472"/>
    <w:rsid w:val="00700F1D"/>
    <w:rsid w:val="00702C47"/>
    <w:rsid w:val="00705373"/>
    <w:rsid w:val="00706A30"/>
    <w:rsid w:val="0072013F"/>
    <w:rsid w:val="00732CBB"/>
    <w:rsid w:val="00732EC2"/>
    <w:rsid w:val="00733482"/>
    <w:rsid w:val="00735CBD"/>
    <w:rsid w:val="007361B7"/>
    <w:rsid w:val="00737AA4"/>
    <w:rsid w:val="007416A3"/>
    <w:rsid w:val="00742E5B"/>
    <w:rsid w:val="00743696"/>
    <w:rsid w:val="007449DC"/>
    <w:rsid w:val="0074781B"/>
    <w:rsid w:val="00750113"/>
    <w:rsid w:val="00754C94"/>
    <w:rsid w:val="00754F1F"/>
    <w:rsid w:val="007575A4"/>
    <w:rsid w:val="007659E1"/>
    <w:rsid w:val="00766118"/>
    <w:rsid w:val="00766CCB"/>
    <w:rsid w:val="00785E82"/>
    <w:rsid w:val="00785F19"/>
    <w:rsid w:val="007861C3"/>
    <w:rsid w:val="00793E52"/>
    <w:rsid w:val="007A041B"/>
    <w:rsid w:val="007A1E0A"/>
    <w:rsid w:val="007A3856"/>
    <w:rsid w:val="007A7BB8"/>
    <w:rsid w:val="007B1A97"/>
    <w:rsid w:val="007C0FBB"/>
    <w:rsid w:val="007C5ED8"/>
    <w:rsid w:val="007D23D6"/>
    <w:rsid w:val="007D572A"/>
    <w:rsid w:val="007E6A6E"/>
    <w:rsid w:val="007F5483"/>
    <w:rsid w:val="00831408"/>
    <w:rsid w:val="00831C20"/>
    <w:rsid w:val="008328EC"/>
    <w:rsid w:val="00835906"/>
    <w:rsid w:val="008363A1"/>
    <w:rsid w:val="0083743C"/>
    <w:rsid w:val="00846079"/>
    <w:rsid w:val="00850195"/>
    <w:rsid w:val="008519A0"/>
    <w:rsid w:val="008730F0"/>
    <w:rsid w:val="008876B7"/>
    <w:rsid w:val="008952B9"/>
    <w:rsid w:val="008959E0"/>
    <w:rsid w:val="008A6272"/>
    <w:rsid w:val="008B322D"/>
    <w:rsid w:val="008C052A"/>
    <w:rsid w:val="008C3B96"/>
    <w:rsid w:val="008C406A"/>
    <w:rsid w:val="008C689D"/>
    <w:rsid w:val="008C68F5"/>
    <w:rsid w:val="008E1070"/>
    <w:rsid w:val="008E196C"/>
    <w:rsid w:val="008E3100"/>
    <w:rsid w:val="008E63BF"/>
    <w:rsid w:val="008F0DF8"/>
    <w:rsid w:val="008F468B"/>
    <w:rsid w:val="008F6567"/>
    <w:rsid w:val="008F77FB"/>
    <w:rsid w:val="0090257C"/>
    <w:rsid w:val="009039E0"/>
    <w:rsid w:val="009123BB"/>
    <w:rsid w:val="009142A2"/>
    <w:rsid w:val="00916A2F"/>
    <w:rsid w:val="00920865"/>
    <w:rsid w:val="009445A0"/>
    <w:rsid w:val="009465BC"/>
    <w:rsid w:val="009534F0"/>
    <w:rsid w:val="009570C4"/>
    <w:rsid w:val="009653D8"/>
    <w:rsid w:val="009702EA"/>
    <w:rsid w:val="00973DE6"/>
    <w:rsid w:val="009755F7"/>
    <w:rsid w:val="00975EF3"/>
    <w:rsid w:val="009773A9"/>
    <w:rsid w:val="00984041"/>
    <w:rsid w:val="009A1863"/>
    <w:rsid w:val="009A5B89"/>
    <w:rsid w:val="009C04C0"/>
    <w:rsid w:val="009C52CF"/>
    <w:rsid w:val="009D1A88"/>
    <w:rsid w:val="009D2237"/>
    <w:rsid w:val="009D233D"/>
    <w:rsid w:val="009D3F26"/>
    <w:rsid w:val="009E22E2"/>
    <w:rsid w:val="009E4138"/>
    <w:rsid w:val="009F00D3"/>
    <w:rsid w:val="009F289E"/>
    <w:rsid w:val="009F6F5D"/>
    <w:rsid w:val="009F7209"/>
    <w:rsid w:val="00A03E05"/>
    <w:rsid w:val="00A049F6"/>
    <w:rsid w:val="00A17977"/>
    <w:rsid w:val="00A17D34"/>
    <w:rsid w:val="00A23244"/>
    <w:rsid w:val="00A2418A"/>
    <w:rsid w:val="00A37179"/>
    <w:rsid w:val="00A4289A"/>
    <w:rsid w:val="00A42F6E"/>
    <w:rsid w:val="00A46C31"/>
    <w:rsid w:val="00A5303F"/>
    <w:rsid w:val="00A565FA"/>
    <w:rsid w:val="00A61C5B"/>
    <w:rsid w:val="00A62083"/>
    <w:rsid w:val="00A71094"/>
    <w:rsid w:val="00A74A36"/>
    <w:rsid w:val="00A920B8"/>
    <w:rsid w:val="00A950AC"/>
    <w:rsid w:val="00A95B77"/>
    <w:rsid w:val="00AA4489"/>
    <w:rsid w:val="00AA49F7"/>
    <w:rsid w:val="00AA772E"/>
    <w:rsid w:val="00AB1085"/>
    <w:rsid w:val="00AC03F1"/>
    <w:rsid w:val="00AC46E8"/>
    <w:rsid w:val="00AC787F"/>
    <w:rsid w:val="00AD0A26"/>
    <w:rsid w:val="00AD3D11"/>
    <w:rsid w:val="00AD6087"/>
    <w:rsid w:val="00AE6D7D"/>
    <w:rsid w:val="00AF4AF7"/>
    <w:rsid w:val="00AF55DD"/>
    <w:rsid w:val="00B12183"/>
    <w:rsid w:val="00B12296"/>
    <w:rsid w:val="00B155B4"/>
    <w:rsid w:val="00B21214"/>
    <w:rsid w:val="00B23AA9"/>
    <w:rsid w:val="00B25278"/>
    <w:rsid w:val="00B30BCE"/>
    <w:rsid w:val="00B31FA8"/>
    <w:rsid w:val="00B34784"/>
    <w:rsid w:val="00B44DAE"/>
    <w:rsid w:val="00B5132B"/>
    <w:rsid w:val="00B53029"/>
    <w:rsid w:val="00B70BAE"/>
    <w:rsid w:val="00B7315F"/>
    <w:rsid w:val="00B767E0"/>
    <w:rsid w:val="00B97C38"/>
    <w:rsid w:val="00BA1B72"/>
    <w:rsid w:val="00BB2720"/>
    <w:rsid w:val="00BB41D1"/>
    <w:rsid w:val="00BB472B"/>
    <w:rsid w:val="00BD0119"/>
    <w:rsid w:val="00BD0C70"/>
    <w:rsid w:val="00BD48E2"/>
    <w:rsid w:val="00BE083C"/>
    <w:rsid w:val="00BE120B"/>
    <w:rsid w:val="00BE460E"/>
    <w:rsid w:val="00BF083E"/>
    <w:rsid w:val="00BF4985"/>
    <w:rsid w:val="00BF62D8"/>
    <w:rsid w:val="00BF6FA0"/>
    <w:rsid w:val="00C0176B"/>
    <w:rsid w:val="00C02707"/>
    <w:rsid w:val="00C03CF2"/>
    <w:rsid w:val="00C04112"/>
    <w:rsid w:val="00C21003"/>
    <w:rsid w:val="00C314B4"/>
    <w:rsid w:val="00C4004B"/>
    <w:rsid w:val="00C400B3"/>
    <w:rsid w:val="00C40C29"/>
    <w:rsid w:val="00C43C82"/>
    <w:rsid w:val="00C4432A"/>
    <w:rsid w:val="00C5356E"/>
    <w:rsid w:val="00C61919"/>
    <w:rsid w:val="00C72637"/>
    <w:rsid w:val="00C80CC4"/>
    <w:rsid w:val="00CA23BE"/>
    <w:rsid w:val="00CA30A2"/>
    <w:rsid w:val="00CA72BA"/>
    <w:rsid w:val="00CA79F6"/>
    <w:rsid w:val="00CB5ADB"/>
    <w:rsid w:val="00CB7AFA"/>
    <w:rsid w:val="00CC7907"/>
    <w:rsid w:val="00D025ED"/>
    <w:rsid w:val="00D03743"/>
    <w:rsid w:val="00D1459E"/>
    <w:rsid w:val="00D151F7"/>
    <w:rsid w:val="00D16D58"/>
    <w:rsid w:val="00D23DDF"/>
    <w:rsid w:val="00D24DDF"/>
    <w:rsid w:val="00D34416"/>
    <w:rsid w:val="00D35B3E"/>
    <w:rsid w:val="00D40D58"/>
    <w:rsid w:val="00D431C0"/>
    <w:rsid w:val="00D4635A"/>
    <w:rsid w:val="00D545BE"/>
    <w:rsid w:val="00D65970"/>
    <w:rsid w:val="00D74334"/>
    <w:rsid w:val="00D751D9"/>
    <w:rsid w:val="00D76875"/>
    <w:rsid w:val="00D7711E"/>
    <w:rsid w:val="00D771C1"/>
    <w:rsid w:val="00D8192C"/>
    <w:rsid w:val="00D826F2"/>
    <w:rsid w:val="00D8464E"/>
    <w:rsid w:val="00D97333"/>
    <w:rsid w:val="00DA01C9"/>
    <w:rsid w:val="00DA0BD7"/>
    <w:rsid w:val="00DB10DB"/>
    <w:rsid w:val="00DB5961"/>
    <w:rsid w:val="00DD27BE"/>
    <w:rsid w:val="00DD2812"/>
    <w:rsid w:val="00DD4464"/>
    <w:rsid w:val="00DE6BBA"/>
    <w:rsid w:val="00DF617A"/>
    <w:rsid w:val="00E03F78"/>
    <w:rsid w:val="00E21617"/>
    <w:rsid w:val="00E21E6F"/>
    <w:rsid w:val="00E322F0"/>
    <w:rsid w:val="00E45264"/>
    <w:rsid w:val="00E45697"/>
    <w:rsid w:val="00E55257"/>
    <w:rsid w:val="00E622C0"/>
    <w:rsid w:val="00E6416D"/>
    <w:rsid w:val="00E64BAF"/>
    <w:rsid w:val="00E77924"/>
    <w:rsid w:val="00E81F59"/>
    <w:rsid w:val="00E839CE"/>
    <w:rsid w:val="00E91DDC"/>
    <w:rsid w:val="00E92294"/>
    <w:rsid w:val="00E928EA"/>
    <w:rsid w:val="00E97B21"/>
    <w:rsid w:val="00EA2A20"/>
    <w:rsid w:val="00EA2B80"/>
    <w:rsid w:val="00EA4627"/>
    <w:rsid w:val="00EA6654"/>
    <w:rsid w:val="00EB54D2"/>
    <w:rsid w:val="00ED3E28"/>
    <w:rsid w:val="00ED6D99"/>
    <w:rsid w:val="00ED727B"/>
    <w:rsid w:val="00EE390B"/>
    <w:rsid w:val="00EE550E"/>
    <w:rsid w:val="00EE74F6"/>
    <w:rsid w:val="00EF2086"/>
    <w:rsid w:val="00EF4261"/>
    <w:rsid w:val="00F048EC"/>
    <w:rsid w:val="00F05A09"/>
    <w:rsid w:val="00F14A7C"/>
    <w:rsid w:val="00F21697"/>
    <w:rsid w:val="00F34819"/>
    <w:rsid w:val="00F4173F"/>
    <w:rsid w:val="00F4551C"/>
    <w:rsid w:val="00F70F35"/>
    <w:rsid w:val="00F805E1"/>
    <w:rsid w:val="00F8116C"/>
    <w:rsid w:val="00F818D6"/>
    <w:rsid w:val="00F91A78"/>
    <w:rsid w:val="00F92DD8"/>
    <w:rsid w:val="00FA52B9"/>
    <w:rsid w:val="00FA6C1E"/>
    <w:rsid w:val="00FB1547"/>
    <w:rsid w:val="00FB5186"/>
    <w:rsid w:val="00FC066D"/>
    <w:rsid w:val="00FC1E4A"/>
    <w:rsid w:val="00FC30AE"/>
    <w:rsid w:val="00FC64FF"/>
    <w:rsid w:val="00FD1DE8"/>
    <w:rsid w:val="00FE77A9"/>
    <w:rsid w:val="00FF3DF4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7E93AE8C"/>
  <w15:docId w15:val="{8360B9C2-32C0-4BFC-8158-E4A54C42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66CCB"/>
    <w:pPr>
      <w:spacing w:before="110" w:line="280" w:lineRule="atLeast"/>
      <w:ind w:left="709"/>
    </w:pPr>
    <w:rPr>
      <w:rFonts w:ascii="Arial" w:hAnsi="Arial"/>
      <w:sz w:val="22"/>
      <w:lang w:eastAsia="en-US"/>
    </w:rPr>
  </w:style>
  <w:style w:type="paragraph" w:styleId="Heading1">
    <w:name w:val="heading 1"/>
    <w:next w:val="BodyText"/>
    <w:link w:val="Heading1Char"/>
    <w:autoRedefine/>
    <w:qFormat/>
    <w:rsid w:val="00B12183"/>
    <w:pPr>
      <w:keepNext/>
      <w:numPr>
        <w:numId w:val="19"/>
      </w:numPr>
      <w:shd w:val="clear" w:color="auto" w:fill="FFFFFF"/>
      <w:spacing w:before="400" w:after="140"/>
      <w:outlineLvl w:val="0"/>
    </w:pPr>
    <w:rPr>
      <w:rFonts w:ascii="Arial" w:hAnsi="Arial" w:cs="Arial"/>
      <w:b/>
      <w:bCs/>
      <w:color w:val="336699"/>
      <w:sz w:val="36"/>
    </w:rPr>
  </w:style>
  <w:style w:type="paragraph" w:styleId="Heading2">
    <w:name w:val="heading 2"/>
    <w:basedOn w:val="Heading1"/>
    <w:next w:val="BodyText"/>
    <w:link w:val="Heading2Char"/>
    <w:autoRedefine/>
    <w:qFormat/>
    <w:rsid w:val="001B7DE2"/>
    <w:pPr>
      <w:numPr>
        <w:ilvl w:val="1"/>
      </w:numPr>
      <w:shd w:val="clear" w:color="auto" w:fill="auto"/>
      <w:spacing w:before="320" w:after="100"/>
      <w:outlineLvl w:val="1"/>
    </w:pPr>
    <w:rPr>
      <w:bCs w:val="0"/>
      <w:color w:val="5F5F5F"/>
      <w:sz w:val="28"/>
    </w:rPr>
  </w:style>
  <w:style w:type="paragraph" w:styleId="Heading3">
    <w:name w:val="heading 3"/>
    <w:basedOn w:val="Heading2"/>
    <w:next w:val="BodyText"/>
    <w:link w:val="Heading3Char"/>
    <w:autoRedefine/>
    <w:qFormat/>
    <w:rsid w:val="00CA23BE"/>
    <w:pPr>
      <w:numPr>
        <w:ilvl w:val="2"/>
      </w:numPr>
      <w:spacing w:before="280" w:after="80"/>
      <w:outlineLvl w:val="2"/>
    </w:pPr>
    <w:rPr>
      <w:color w:val="auto"/>
      <w:kern w:val="24"/>
      <w:sz w:val="22"/>
      <w:szCs w:val="24"/>
    </w:rPr>
  </w:style>
  <w:style w:type="paragraph" w:styleId="Heading4">
    <w:name w:val="heading 4"/>
    <w:basedOn w:val="Heading3"/>
    <w:next w:val="BodyText"/>
    <w:autoRedefine/>
    <w:qFormat/>
    <w:rsid w:val="006517B2"/>
    <w:pPr>
      <w:keepLines/>
      <w:numPr>
        <w:ilvl w:val="0"/>
        <w:numId w:val="0"/>
      </w:numPr>
      <w:spacing w:before="260" w:after="70"/>
      <w:ind w:left="709"/>
      <w:outlineLvl w:val="3"/>
    </w:pPr>
    <w:rPr>
      <w:i/>
      <w:szCs w:val="22"/>
      <w:lang w:val="en-US"/>
    </w:rPr>
  </w:style>
  <w:style w:type="paragraph" w:styleId="Heading5">
    <w:name w:val="heading 5"/>
    <w:basedOn w:val="Heading4"/>
    <w:next w:val="BodyText"/>
    <w:autoRedefine/>
    <w:qFormat/>
    <w:rsid w:val="007D23D6"/>
    <w:pPr>
      <w:numPr>
        <w:ilvl w:val="4"/>
      </w:numPr>
      <w:spacing w:before="220" w:after="40"/>
      <w:ind w:left="709"/>
      <w:outlineLvl w:val="4"/>
    </w:pPr>
    <w:rPr>
      <w:b w:val="0"/>
    </w:rPr>
  </w:style>
  <w:style w:type="paragraph" w:styleId="Heading6">
    <w:name w:val="heading 6"/>
    <w:basedOn w:val="BodyText"/>
    <w:next w:val="BodyText"/>
    <w:rsid w:val="0003232D"/>
    <w:pPr>
      <w:keepNext/>
      <w:keepLines/>
      <w:numPr>
        <w:ilvl w:val="5"/>
        <w:numId w:val="19"/>
      </w:numPr>
      <w:outlineLvl w:val="5"/>
    </w:pPr>
    <w:rPr>
      <w:lang w:val="en-US"/>
    </w:rPr>
  </w:style>
  <w:style w:type="paragraph" w:styleId="Heading7">
    <w:name w:val="heading 7"/>
    <w:basedOn w:val="BodyText"/>
    <w:next w:val="BodyText"/>
    <w:rsid w:val="0003232D"/>
    <w:pPr>
      <w:numPr>
        <w:ilvl w:val="6"/>
        <w:numId w:val="19"/>
      </w:numPr>
      <w:jc w:val="both"/>
      <w:outlineLvl w:val="6"/>
    </w:pPr>
    <w:rPr>
      <w:snapToGrid w:val="0"/>
      <w:kern w:val="28"/>
      <w:szCs w:val="22"/>
      <w:lang w:val="en-GB" w:eastAsia="en-US"/>
    </w:rPr>
  </w:style>
  <w:style w:type="paragraph" w:styleId="Heading8">
    <w:name w:val="heading 8"/>
    <w:basedOn w:val="BodyText"/>
    <w:next w:val="BodyText"/>
    <w:rsid w:val="0003232D"/>
    <w:pPr>
      <w:numPr>
        <w:ilvl w:val="7"/>
        <w:numId w:val="19"/>
      </w:numPr>
      <w:jc w:val="both"/>
      <w:outlineLvl w:val="7"/>
    </w:pPr>
    <w:rPr>
      <w:snapToGrid w:val="0"/>
      <w:kern w:val="28"/>
      <w:szCs w:val="22"/>
      <w:lang w:val="en-GB" w:eastAsia="en-US"/>
    </w:rPr>
  </w:style>
  <w:style w:type="paragraph" w:styleId="Heading9">
    <w:name w:val="heading 9"/>
    <w:basedOn w:val="BodyText"/>
    <w:next w:val="BodyText"/>
    <w:rsid w:val="0003232D"/>
    <w:pPr>
      <w:numPr>
        <w:ilvl w:val="8"/>
        <w:numId w:val="19"/>
      </w:numPr>
      <w:jc w:val="both"/>
      <w:outlineLvl w:val="8"/>
    </w:pPr>
    <w:rPr>
      <w:snapToGrid w:val="0"/>
      <w:kern w:val="2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semiHidden/>
    <w:rsid w:val="00F34819"/>
    <w:pPr>
      <w:shd w:val="clear" w:color="auto" w:fill="000080"/>
    </w:pPr>
    <w:rPr>
      <w:rFonts w:ascii="Arial" w:hAnsi="Arial" w:cs="Tahoma"/>
      <w:sz w:val="18"/>
    </w:rPr>
  </w:style>
  <w:style w:type="paragraph" w:customStyle="1" w:styleId="Frontpagetitle">
    <w:name w:val="Front page title"/>
    <w:semiHidden/>
    <w:rsid w:val="00CB7AFA"/>
    <w:pPr>
      <w:spacing w:before="720"/>
      <w:jc w:val="right"/>
    </w:pPr>
    <w:rPr>
      <w:rFonts w:ascii="Arial" w:hAnsi="Arial"/>
      <w:b/>
      <w:noProof/>
      <w:sz w:val="56"/>
    </w:rPr>
  </w:style>
  <w:style w:type="character" w:customStyle="1" w:styleId="Securityclassification">
    <w:name w:val="Security classification"/>
    <w:semiHidden/>
    <w:rsid w:val="00650D7A"/>
    <w:rPr>
      <w:color w:val="FF0000"/>
    </w:rPr>
  </w:style>
  <w:style w:type="paragraph" w:customStyle="1" w:styleId="Footerred">
    <w:name w:val="Footer red"/>
    <w:basedOn w:val="Footer"/>
    <w:semiHidden/>
    <w:rsid w:val="00161EDA"/>
    <w:rPr>
      <w:caps/>
      <w:color w:val="FF0000"/>
      <w:sz w:val="16"/>
    </w:rPr>
  </w:style>
  <w:style w:type="paragraph" w:customStyle="1" w:styleId="TableText">
    <w:name w:val="Table Text"/>
    <w:basedOn w:val="BodyText"/>
    <w:link w:val="TableTextChar"/>
    <w:rsid w:val="001C3407"/>
    <w:pPr>
      <w:numPr>
        <w:numId w:val="15"/>
      </w:numPr>
      <w:spacing w:before="60" w:after="60" w:line="260" w:lineRule="atLeast"/>
    </w:pPr>
    <w:rPr>
      <w:iCs/>
      <w:kern w:val="28"/>
      <w:sz w:val="20"/>
      <w:lang w:eastAsia="en-US"/>
    </w:rPr>
  </w:style>
  <w:style w:type="character" w:customStyle="1" w:styleId="Reporttitle">
    <w:name w:val="Report title"/>
    <w:semiHidden/>
    <w:rsid w:val="00CA23BE"/>
    <w:rPr>
      <w:rFonts w:ascii="Arial" w:hAnsi="Arial"/>
      <w:b/>
      <w:color w:val="auto"/>
      <w:sz w:val="52"/>
    </w:rPr>
  </w:style>
  <w:style w:type="character" w:customStyle="1" w:styleId="Reportdate">
    <w:name w:val="Report date"/>
    <w:semiHidden/>
    <w:rsid w:val="00CA23BE"/>
    <w:rPr>
      <w:rFonts w:ascii="Arial" w:hAnsi="Arial"/>
      <w:b/>
      <w:color w:val="013861"/>
      <w:sz w:val="22"/>
    </w:rPr>
  </w:style>
  <w:style w:type="character" w:customStyle="1" w:styleId="Versionnumber">
    <w:name w:val="Version number"/>
    <w:semiHidden/>
    <w:rsid w:val="00537EA2"/>
    <w:rPr>
      <w:rFonts w:ascii="Arial" w:hAnsi="Arial"/>
      <w:b/>
      <w:color w:val="013861"/>
      <w:sz w:val="22"/>
    </w:rPr>
  </w:style>
  <w:style w:type="paragraph" w:customStyle="1" w:styleId="TableHeading">
    <w:name w:val="Table Heading"/>
    <w:basedOn w:val="TableText"/>
    <w:rsid w:val="00CA23BE"/>
    <w:pPr>
      <w:numPr>
        <w:numId w:val="0"/>
      </w:numPr>
    </w:pPr>
    <w:rPr>
      <w:color w:val="FFFFFF"/>
      <w:sz w:val="22"/>
      <w:szCs w:val="22"/>
    </w:rPr>
  </w:style>
  <w:style w:type="paragraph" w:customStyle="1" w:styleId="Blankline">
    <w:name w:val="Blank line"/>
    <w:next w:val="BodyText"/>
    <w:link w:val="BlanklineCharChar"/>
    <w:rsid w:val="00143885"/>
    <w:pPr>
      <w:widowControl w:val="0"/>
    </w:pPr>
    <w:rPr>
      <w:rFonts w:ascii="Arial" w:hAnsi="Arial"/>
      <w:sz w:val="12"/>
    </w:rPr>
  </w:style>
  <w:style w:type="character" w:customStyle="1" w:styleId="BlanklineCharChar">
    <w:name w:val="Blank line Char Char"/>
    <w:link w:val="Blankline"/>
    <w:rsid w:val="00143885"/>
    <w:rPr>
      <w:rFonts w:ascii="Arial" w:hAnsi="Arial"/>
      <w:sz w:val="12"/>
      <w:lang w:val="en-AU" w:eastAsia="en-AU" w:bidi="ar-SA"/>
    </w:rPr>
  </w:style>
  <w:style w:type="paragraph" w:styleId="BodyText">
    <w:name w:val="Body Text"/>
    <w:link w:val="BodyTextChar"/>
    <w:rsid w:val="006517B2"/>
    <w:pPr>
      <w:spacing w:before="110" w:line="280" w:lineRule="atLeast"/>
      <w:ind w:left="709"/>
    </w:pPr>
    <w:rPr>
      <w:rFonts w:ascii="Arial" w:hAnsi="Arial"/>
      <w:sz w:val="22"/>
    </w:rPr>
  </w:style>
  <w:style w:type="paragraph" w:customStyle="1" w:styleId="Frontpagesubtitle">
    <w:name w:val="Front page subtitle"/>
    <w:basedOn w:val="Frontpagetitle"/>
    <w:semiHidden/>
    <w:rsid w:val="00CB7AFA"/>
    <w:pPr>
      <w:spacing w:before="0"/>
      <w:ind w:right="-108"/>
    </w:pPr>
    <w:rPr>
      <w:i/>
      <w:sz w:val="28"/>
    </w:rPr>
  </w:style>
  <w:style w:type="character" w:styleId="CommentReference">
    <w:name w:val="annotation reference"/>
    <w:semiHidden/>
    <w:rsid w:val="006D5D9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D95"/>
    <w:rPr>
      <w:b/>
      <w:bCs/>
    </w:rPr>
  </w:style>
  <w:style w:type="paragraph" w:styleId="BalloonText">
    <w:name w:val="Balloon Text"/>
    <w:basedOn w:val="Normal"/>
    <w:semiHidden/>
    <w:rsid w:val="006D5D95"/>
    <w:rPr>
      <w:rFonts w:ascii="Tahoma" w:hAnsi="Tahoma" w:cs="Tahoma"/>
      <w:sz w:val="16"/>
      <w:szCs w:val="16"/>
    </w:rPr>
  </w:style>
  <w:style w:type="paragraph" w:customStyle="1" w:styleId="Heading1nonumber">
    <w:name w:val="Heading 1 no number"/>
    <w:basedOn w:val="Heading1"/>
    <w:next w:val="Bodystylefordocumentdetails"/>
    <w:link w:val="Heading1nonumberChar"/>
    <w:rsid w:val="00DF617A"/>
    <w:pPr>
      <w:numPr>
        <w:numId w:val="0"/>
      </w:numPr>
      <w:outlineLvl w:val="9"/>
    </w:pPr>
  </w:style>
  <w:style w:type="paragraph" w:customStyle="1" w:styleId="Bullet-Numbered">
    <w:name w:val="Bullet - Numbered"/>
    <w:basedOn w:val="BodyText"/>
    <w:rsid w:val="00E21E6F"/>
    <w:pPr>
      <w:numPr>
        <w:ilvl w:val="1"/>
      </w:numPr>
      <w:spacing w:before="40" w:after="40"/>
      <w:ind w:left="709"/>
    </w:pPr>
    <w:rPr>
      <w:rFonts w:cs="Times New (W1)"/>
      <w:snapToGrid w:val="0"/>
      <w:szCs w:val="24"/>
      <w:lang w:eastAsia="en-US"/>
    </w:rPr>
  </w:style>
  <w:style w:type="paragraph" w:customStyle="1" w:styleId="TableTextitalics">
    <w:name w:val="Table Text italics"/>
    <w:basedOn w:val="TableText"/>
    <w:semiHidden/>
    <w:rsid w:val="00F34819"/>
    <w:rPr>
      <w:i/>
    </w:rPr>
  </w:style>
  <w:style w:type="paragraph" w:customStyle="1" w:styleId="Appendix1">
    <w:name w:val="Appendix 1"/>
    <w:basedOn w:val="Heading1nonumber"/>
    <w:next w:val="BodyText"/>
    <w:link w:val="Appendix1Char"/>
    <w:rsid w:val="001C3407"/>
    <w:pPr>
      <w:pageBreakBefore/>
      <w:numPr>
        <w:numId w:val="14"/>
      </w:numPr>
      <w:tabs>
        <w:tab w:val="clear" w:pos="1701"/>
        <w:tab w:val="num" w:pos="360"/>
        <w:tab w:val="left" w:pos="2268"/>
      </w:tabs>
      <w:ind w:left="2268" w:hanging="2268"/>
      <w:outlineLvl w:val="0"/>
    </w:pPr>
    <w:rPr>
      <w:szCs w:val="28"/>
    </w:rPr>
  </w:style>
  <w:style w:type="paragraph" w:customStyle="1" w:styleId="Appendix2">
    <w:name w:val="Appendix 2"/>
    <w:basedOn w:val="Heading2"/>
    <w:next w:val="BodyText"/>
    <w:link w:val="Appendix2Char"/>
    <w:rsid w:val="00D35B3E"/>
    <w:pPr>
      <w:numPr>
        <w:numId w:val="14"/>
      </w:numPr>
    </w:pPr>
  </w:style>
  <w:style w:type="paragraph" w:customStyle="1" w:styleId="Appendix3">
    <w:name w:val="Appendix 3"/>
    <w:basedOn w:val="Heading3"/>
    <w:next w:val="BodyText"/>
    <w:link w:val="Appendix3Char"/>
    <w:rsid w:val="00D35B3E"/>
    <w:pPr>
      <w:numPr>
        <w:numId w:val="14"/>
      </w:numPr>
    </w:pPr>
  </w:style>
  <w:style w:type="paragraph" w:customStyle="1" w:styleId="Appendix4">
    <w:name w:val="Appendix 4"/>
    <w:basedOn w:val="Appendix3"/>
    <w:next w:val="BodyText"/>
    <w:link w:val="Appendix4Char"/>
    <w:semiHidden/>
    <w:rsid w:val="00C4432A"/>
    <w:pPr>
      <w:numPr>
        <w:ilvl w:val="3"/>
      </w:numPr>
    </w:pPr>
    <w:rPr>
      <w:b w:val="0"/>
      <w:i/>
      <w:lang w:val="en-US"/>
    </w:rPr>
  </w:style>
  <w:style w:type="paragraph" w:customStyle="1" w:styleId="Bulletcircle">
    <w:name w:val="Bullet circle"/>
    <w:basedOn w:val="BodyText"/>
    <w:link w:val="BulletcircleChar"/>
    <w:rsid w:val="00045ECF"/>
    <w:pPr>
      <w:numPr>
        <w:numId w:val="17"/>
      </w:numPr>
      <w:spacing w:before="40" w:after="40"/>
    </w:pPr>
    <w:rPr>
      <w:szCs w:val="22"/>
    </w:rPr>
  </w:style>
  <w:style w:type="paragraph" w:customStyle="1" w:styleId="Bulletdash">
    <w:name w:val="Bullet dash"/>
    <w:basedOn w:val="BodyText"/>
    <w:link w:val="BulletdashChar"/>
    <w:rsid w:val="00045ECF"/>
    <w:pPr>
      <w:numPr>
        <w:ilvl w:val="1"/>
        <w:numId w:val="17"/>
      </w:numPr>
      <w:spacing w:before="40" w:after="40"/>
    </w:pPr>
    <w:rPr>
      <w:szCs w:val="22"/>
    </w:rPr>
  </w:style>
  <w:style w:type="paragraph" w:customStyle="1" w:styleId="Bulletopencircle">
    <w:name w:val="Bullet open circle"/>
    <w:basedOn w:val="BodyText"/>
    <w:link w:val="BulletopencircleChar"/>
    <w:rsid w:val="00045ECF"/>
    <w:pPr>
      <w:numPr>
        <w:ilvl w:val="2"/>
        <w:numId w:val="17"/>
      </w:numPr>
      <w:spacing w:before="40" w:after="40"/>
    </w:pPr>
    <w:rPr>
      <w:szCs w:val="22"/>
    </w:rPr>
  </w:style>
  <w:style w:type="paragraph" w:styleId="Footer">
    <w:name w:val="footer"/>
    <w:basedOn w:val="Header"/>
    <w:semiHidden/>
    <w:rsid w:val="00ED3E28"/>
    <w:pPr>
      <w:pBdr>
        <w:top w:val="single" w:sz="4" w:space="3" w:color="auto"/>
        <w:bottom w:val="none" w:sz="0" w:space="0" w:color="auto"/>
      </w:pBdr>
      <w:tabs>
        <w:tab w:val="clear" w:pos="4153"/>
        <w:tab w:val="clear" w:pos="8306"/>
        <w:tab w:val="center" w:pos="4820"/>
        <w:tab w:val="right" w:pos="9639"/>
      </w:tabs>
      <w:jc w:val="both"/>
    </w:pPr>
    <w:rPr>
      <w:snapToGrid w:val="0"/>
      <w:kern w:val="28"/>
      <w:szCs w:val="16"/>
      <w:lang w:eastAsia="en-US"/>
    </w:rPr>
  </w:style>
  <w:style w:type="paragraph" w:styleId="Header">
    <w:name w:val="header"/>
    <w:basedOn w:val="BodyText"/>
    <w:rsid w:val="00CA23BE"/>
    <w:pPr>
      <w:pBdr>
        <w:bottom w:val="single" w:sz="4" w:space="1" w:color="auto"/>
      </w:pBdr>
      <w:tabs>
        <w:tab w:val="center" w:pos="4153"/>
        <w:tab w:val="right" w:pos="8306"/>
      </w:tabs>
      <w:spacing w:before="0" w:line="240" w:lineRule="auto"/>
      <w:ind w:left="0"/>
    </w:pPr>
    <w:rPr>
      <w:sz w:val="18"/>
      <w:szCs w:val="22"/>
    </w:rPr>
  </w:style>
  <w:style w:type="paragraph" w:customStyle="1" w:styleId="Tablebulletcircle">
    <w:name w:val="Table bullet circle"/>
    <w:basedOn w:val="TableText"/>
    <w:rsid w:val="00045ECF"/>
    <w:pPr>
      <w:numPr>
        <w:numId w:val="20"/>
      </w:numPr>
      <w:spacing w:before="40" w:after="40"/>
    </w:pPr>
    <w:rPr>
      <w:szCs w:val="22"/>
      <w:lang w:eastAsia="en-AU"/>
    </w:rPr>
  </w:style>
  <w:style w:type="paragraph" w:customStyle="1" w:styleId="Tablebulletdash">
    <w:name w:val="Table bullet dash"/>
    <w:basedOn w:val="TableText"/>
    <w:rsid w:val="00045ECF"/>
    <w:pPr>
      <w:numPr>
        <w:ilvl w:val="1"/>
        <w:numId w:val="20"/>
      </w:numPr>
      <w:spacing w:before="40" w:after="40"/>
    </w:pPr>
    <w:rPr>
      <w:szCs w:val="22"/>
    </w:rPr>
  </w:style>
  <w:style w:type="paragraph" w:styleId="Title">
    <w:name w:val="Title"/>
    <w:basedOn w:val="Normal"/>
    <w:rsid w:val="00F34819"/>
    <w:pPr>
      <w:tabs>
        <w:tab w:val="num" w:pos="720"/>
      </w:tabs>
      <w:suppressAutoHyphens/>
      <w:spacing w:before="240" w:after="60"/>
      <w:ind w:left="720" w:hanging="360"/>
      <w:jc w:val="center"/>
    </w:pPr>
    <w:rPr>
      <w:smallCaps/>
      <w:kern w:val="28"/>
      <w:sz w:val="32"/>
      <w:lang w:val="en-GB"/>
    </w:rPr>
  </w:style>
  <w:style w:type="paragraph" w:styleId="TOC1">
    <w:name w:val="toc 1"/>
    <w:next w:val="Normal"/>
    <w:uiPriority w:val="39"/>
    <w:rsid w:val="001C3407"/>
    <w:pPr>
      <w:tabs>
        <w:tab w:val="left" w:pos="567"/>
        <w:tab w:val="left" w:pos="1418"/>
        <w:tab w:val="right" w:leader="dot" w:pos="9629"/>
      </w:tabs>
      <w:spacing w:before="240" w:after="60"/>
      <w:ind w:left="567" w:right="567" w:hanging="567"/>
    </w:pPr>
    <w:rPr>
      <w:rFonts w:ascii="Arial" w:hAnsi="Arial"/>
      <w:b/>
      <w:noProof/>
      <w:snapToGrid w:val="0"/>
      <w:kern w:val="24"/>
      <w:sz w:val="22"/>
    </w:rPr>
  </w:style>
  <w:style w:type="paragraph" w:styleId="TOC2">
    <w:name w:val="toc 2"/>
    <w:basedOn w:val="Normal"/>
    <w:next w:val="Normal"/>
    <w:autoRedefine/>
    <w:uiPriority w:val="39"/>
    <w:rsid w:val="001C3407"/>
    <w:pPr>
      <w:tabs>
        <w:tab w:val="left" w:pos="1134"/>
        <w:tab w:val="right" w:leader="dot" w:pos="9629"/>
      </w:tabs>
      <w:spacing w:after="60"/>
      <w:ind w:left="1134" w:right="567" w:hanging="567"/>
      <w:jc w:val="both"/>
    </w:pPr>
    <w:rPr>
      <w:noProof/>
      <w:snapToGrid w:val="0"/>
      <w:kern w:val="24"/>
    </w:rPr>
  </w:style>
  <w:style w:type="paragraph" w:styleId="TOC3">
    <w:name w:val="toc 3"/>
    <w:basedOn w:val="Normal"/>
    <w:next w:val="Normal"/>
    <w:autoRedefine/>
    <w:semiHidden/>
    <w:rsid w:val="006C7A5F"/>
    <w:pPr>
      <w:tabs>
        <w:tab w:val="left" w:pos="1980"/>
        <w:tab w:val="right" w:leader="dot" w:pos="9629"/>
      </w:tabs>
      <w:spacing w:after="60"/>
      <w:ind w:left="1980" w:hanging="846"/>
      <w:jc w:val="both"/>
    </w:pPr>
    <w:rPr>
      <w:noProof/>
      <w:snapToGrid w:val="0"/>
      <w:kern w:val="24"/>
    </w:rPr>
  </w:style>
  <w:style w:type="character" w:styleId="Hyperlink">
    <w:name w:val="Hyperlink"/>
    <w:uiPriority w:val="99"/>
    <w:rsid w:val="00571312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571312"/>
    <w:pPr>
      <w:tabs>
        <w:tab w:val="left" w:pos="1134"/>
        <w:tab w:val="left" w:pos="2977"/>
        <w:tab w:val="right" w:leader="dot" w:pos="9629"/>
      </w:tabs>
      <w:ind w:left="1985"/>
      <w:jc w:val="both"/>
    </w:pPr>
    <w:rPr>
      <w:smallCaps/>
      <w:snapToGrid w:val="0"/>
      <w:kern w:val="28"/>
    </w:rPr>
  </w:style>
  <w:style w:type="paragraph" w:styleId="TOC5">
    <w:name w:val="toc 5"/>
    <w:basedOn w:val="Normal"/>
    <w:next w:val="Normal"/>
    <w:autoRedefine/>
    <w:semiHidden/>
    <w:rsid w:val="00571312"/>
    <w:pPr>
      <w:ind w:left="960"/>
    </w:pPr>
  </w:style>
  <w:style w:type="paragraph" w:styleId="TOC6">
    <w:name w:val="toc 6"/>
    <w:basedOn w:val="Normal"/>
    <w:next w:val="Normal"/>
    <w:autoRedefine/>
    <w:semiHidden/>
    <w:rsid w:val="00571312"/>
    <w:pPr>
      <w:ind w:left="1200"/>
    </w:pPr>
  </w:style>
  <w:style w:type="paragraph" w:styleId="TOC7">
    <w:name w:val="toc 7"/>
    <w:basedOn w:val="Normal"/>
    <w:next w:val="Normal"/>
    <w:autoRedefine/>
    <w:semiHidden/>
    <w:rsid w:val="00571312"/>
    <w:pPr>
      <w:ind w:left="1440"/>
    </w:pPr>
  </w:style>
  <w:style w:type="paragraph" w:styleId="TOC8">
    <w:name w:val="toc 8"/>
    <w:basedOn w:val="Normal"/>
    <w:next w:val="Normal"/>
    <w:autoRedefine/>
    <w:semiHidden/>
    <w:rsid w:val="00571312"/>
    <w:pPr>
      <w:ind w:left="1680"/>
    </w:pPr>
  </w:style>
  <w:style w:type="paragraph" w:styleId="TOC9">
    <w:name w:val="toc 9"/>
    <w:basedOn w:val="Normal"/>
    <w:next w:val="Normal"/>
    <w:autoRedefine/>
    <w:semiHidden/>
    <w:rsid w:val="00571312"/>
    <w:pPr>
      <w:ind w:left="1920"/>
    </w:pPr>
  </w:style>
  <w:style w:type="paragraph" w:styleId="Caption">
    <w:name w:val="caption"/>
    <w:basedOn w:val="BodyText"/>
    <w:next w:val="BodyText"/>
    <w:autoRedefine/>
    <w:qFormat/>
    <w:rsid w:val="00AB1085"/>
    <w:pPr>
      <w:spacing w:before="220" w:after="330" w:line="260" w:lineRule="atLeast"/>
    </w:pPr>
    <w:rPr>
      <w:bCs/>
      <w:sz w:val="18"/>
    </w:rPr>
  </w:style>
  <w:style w:type="numbering" w:styleId="111111">
    <w:name w:val="Outline List 2"/>
    <w:basedOn w:val="NoList"/>
    <w:semiHidden/>
    <w:rsid w:val="007E6A6E"/>
    <w:pPr>
      <w:numPr>
        <w:numId w:val="11"/>
      </w:numPr>
    </w:pPr>
  </w:style>
  <w:style w:type="numbering" w:styleId="1ai">
    <w:name w:val="Outline List 1"/>
    <w:basedOn w:val="NoList"/>
    <w:semiHidden/>
    <w:rsid w:val="007E6A6E"/>
    <w:pPr>
      <w:numPr>
        <w:numId w:val="12"/>
      </w:numPr>
    </w:pPr>
  </w:style>
  <w:style w:type="numbering" w:styleId="ArticleSection">
    <w:name w:val="Outline List 3"/>
    <w:basedOn w:val="NoList"/>
    <w:semiHidden/>
    <w:rsid w:val="007E6A6E"/>
    <w:pPr>
      <w:numPr>
        <w:numId w:val="13"/>
      </w:numPr>
    </w:pPr>
  </w:style>
  <w:style w:type="paragraph" w:styleId="BlockText">
    <w:name w:val="Block Text"/>
    <w:basedOn w:val="Normal"/>
    <w:semiHidden/>
    <w:rsid w:val="007E6A6E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E6A6E"/>
    <w:pPr>
      <w:spacing w:after="120" w:line="480" w:lineRule="auto"/>
    </w:pPr>
  </w:style>
  <w:style w:type="paragraph" w:styleId="BodyText3">
    <w:name w:val="Body Text 3"/>
    <w:basedOn w:val="Normal"/>
    <w:semiHidden/>
    <w:rsid w:val="007E6A6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64176D"/>
    <w:pPr>
      <w:ind w:firstLine="210"/>
    </w:pPr>
  </w:style>
  <w:style w:type="paragraph" w:styleId="BodyTextIndent">
    <w:name w:val="Body Text Indent"/>
    <w:basedOn w:val="BodyText"/>
    <w:rsid w:val="0015571E"/>
    <w:pPr>
      <w:ind w:left="1134"/>
    </w:pPr>
  </w:style>
  <w:style w:type="paragraph" w:styleId="BodyTextFirstIndent2">
    <w:name w:val="Body Text First Indent 2"/>
    <w:basedOn w:val="BodyTextIndent"/>
    <w:semiHidden/>
    <w:rsid w:val="007E6A6E"/>
    <w:pPr>
      <w:ind w:firstLine="210"/>
    </w:pPr>
  </w:style>
  <w:style w:type="paragraph" w:styleId="BodyTextIndent2">
    <w:name w:val="Body Text Indent 2"/>
    <w:basedOn w:val="Normal"/>
    <w:semiHidden/>
    <w:rsid w:val="007E6A6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E6A6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E6A6E"/>
    <w:pPr>
      <w:ind w:left="4252"/>
    </w:pPr>
  </w:style>
  <w:style w:type="paragraph" w:styleId="CommentText">
    <w:name w:val="annotation text"/>
    <w:basedOn w:val="Normal"/>
    <w:semiHidden/>
    <w:rsid w:val="007E6A6E"/>
  </w:style>
  <w:style w:type="paragraph" w:styleId="Date">
    <w:name w:val="Date"/>
    <w:basedOn w:val="Normal"/>
    <w:next w:val="Normal"/>
    <w:semiHidden/>
    <w:rsid w:val="00CA23BE"/>
  </w:style>
  <w:style w:type="paragraph" w:styleId="E-mailSignature">
    <w:name w:val="E-mail Signature"/>
    <w:basedOn w:val="Normal"/>
    <w:semiHidden/>
    <w:rsid w:val="007E6A6E"/>
  </w:style>
  <w:style w:type="character" w:styleId="Emphasis">
    <w:name w:val="Emphasis"/>
    <w:rsid w:val="007E6A6E"/>
    <w:rPr>
      <w:i/>
      <w:iCs/>
    </w:rPr>
  </w:style>
  <w:style w:type="paragraph" w:styleId="EnvelopeAddress">
    <w:name w:val="envelope address"/>
    <w:basedOn w:val="Normal"/>
    <w:semiHidden/>
    <w:rsid w:val="007E6A6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7E6A6E"/>
    <w:rPr>
      <w:rFonts w:cs="Arial"/>
    </w:rPr>
  </w:style>
  <w:style w:type="character" w:styleId="FollowedHyperlink">
    <w:name w:val="FollowedHyperlink"/>
    <w:semiHidden/>
    <w:rsid w:val="007E6A6E"/>
    <w:rPr>
      <w:color w:val="800080"/>
      <w:u w:val="single"/>
    </w:rPr>
  </w:style>
  <w:style w:type="character" w:styleId="FootnoteReference">
    <w:name w:val="footnote reference"/>
    <w:semiHidden/>
    <w:rsid w:val="007E6A6E"/>
    <w:rPr>
      <w:vertAlign w:val="superscript"/>
    </w:rPr>
  </w:style>
  <w:style w:type="paragraph" w:styleId="FootnoteText">
    <w:name w:val="footnote text"/>
    <w:basedOn w:val="BodyText"/>
    <w:semiHidden/>
    <w:rsid w:val="00F92DD8"/>
    <w:pPr>
      <w:spacing w:after="60" w:line="240" w:lineRule="auto"/>
      <w:ind w:left="0"/>
    </w:pPr>
    <w:rPr>
      <w:sz w:val="18"/>
    </w:rPr>
  </w:style>
  <w:style w:type="character" w:styleId="HTMLAcronym">
    <w:name w:val="HTML Acronym"/>
    <w:basedOn w:val="DefaultParagraphFont"/>
    <w:semiHidden/>
    <w:rsid w:val="007E6A6E"/>
  </w:style>
  <w:style w:type="paragraph" w:styleId="HTMLAddress">
    <w:name w:val="HTML Address"/>
    <w:basedOn w:val="Normal"/>
    <w:semiHidden/>
    <w:rsid w:val="007E6A6E"/>
    <w:rPr>
      <w:i/>
      <w:iCs/>
    </w:rPr>
  </w:style>
  <w:style w:type="character" w:styleId="HTMLCite">
    <w:name w:val="HTML Cite"/>
    <w:semiHidden/>
    <w:rsid w:val="007E6A6E"/>
    <w:rPr>
      <w:i/>
      <w:iCs/>
    </w:rPr>
  </w:style>
  <w:style w:type="character" w:styleId="HTMLCode">
    <w:name w:val="HTML Code"/>
    <w:semiHidden/>
    <w:rsid w:val="007E6A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E6A6E"/>
    <w:rPr>
      <w:i/>
      <w:iCs/>
    </w:rPr>
  </w:style>
  <w:style w:type="character" w:styleId="HTMLKeyboard">
    <w:name w:val="HTML Keyboard"/>
    <w:semiHidden/>
    <w:rsid w:val="007E6A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E6A6E"/>
    <w:rPr>
      <w:rFonts w:ascii="Courier New" w:hAnsi="Courier New" w:cs="Courier New"/>
    </w:rPr>
  </w:style>
  <w:style w:type="character" w:styleId="HTMLSample">
    <w:name w:val="HTML Sample"/>
    <w:semiHidden/>
    <w:rsid w:val="007E6A6E"/>
    <w:rPr>
      <w:rFonts w:ascii="Courier New" w:hAnsi="Courier New" w:cs="Courier New"/>
    </w:rPr>
  </w:style>
  <w:style w:type="character" w:styleId="HTMLTypewriter">
    <w:name w:val="HTML Typewriter"/>
    <w:semiHidden/>
    <w:rsid w:val="007E6A6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E6A6E"/>
    <w:rPr>
      <w:i/>
      <w:iCs/>
    </w:rPr>
  </w:style>
  <w:style w:type="character" w:styleId="LineNumber">
    <w:name w:val="line number"/>
    <w:basedOn w:val="DefaultParagraphFont"/>
    <w:semiHidden/>
    <w:rsid w:val="007E6A6E"/>
  </w:style>
  <w:style w:type="paragraph" w:styleId="List">
    <w:name w:val="List"/>
    <w:basedOn w:val="Normal"/>
    <w:semiHidden/>
    <w:rsid w:val="007E6A6E"/>
    <w:pPr>
      <w:ind w:left="283" w:hanging="283"/>
    </w:pPr>
  </w:style>
  <w:style w:type="paragraph" w:styleId="List2">
    <w:name w:val="List 2"/>
    <w:basedOn w:val="Normal"/>
    <w:semiHidden/>
    <w:rsid w:val="007E6A6E"/>
    <w:pPr>
      <w:ind w:left="566" w:hanging="283"/>
    </w:pPr>
  </w:style>
  <w:style w:type="paragraph" w:styleId="List3">
    <w:name w:val="List 3"/>
    <w:basedOn w:val="Normal"/>
    <w:semiHidden/>
    <w:rsid w:val="007E6A6E"/>
    <w:pPr>
      <w:ind w:left="849" w:hanging="283"/>
    </w:pPr>
  </w:style>
  <w:style w:type="paragraph" w:styleId="List4">
    <w:name w:val="List 4"/>
    <w:basedOn w:val="Normal"/>
    <w:semiHidden/>
    <w:rsid w:val="007E6A6E"/>
    <w:pPr>
      <w:ind w:left="1132" w:hanging="283"/>
    </w:pPr>
  </w:style>
  <w:style w:type="paragraph" w:styleId="List5">
    <w:name w:val="List 5"/>
    <w:basedOn w:val="Normal"/>
    <w:semiHidden/>
    <w:rsid w:val="007E6A6E"/>
    <w:pPr>
      <w:ind w:left="1415" w:hanging="283"/>
    </w:pPr>
  </w:style>
  <w:style w:type="paragraph" w:styleId="ListBullet">
    <w:name w:val="List Bullet"/>
    <w:basedOn w:val="Normal"/>
    <w:autoRedefine/>
    <w:rsid w:val="00AF55DD"/>
    <w:pPr>
      <w:numPr>
        <w:numId w:val="31"/>
      </w:numPr>
      <w:ind w:left="1134" w:hanging="425"/>
    </w:pPr>
  </w:style>
  <w:style w:type="paragraph" w:styleId="ListBullet2">
    <w:name w:val="List Bullet 2"/>
    <w:basedOn w:val="Normal"/>
    <w:autoRedefine/>
    <w:rsid w:val="007E6A6E"/>
    <w:pPr>
      <w:numPr>
        <w:numId w:val="2"/>
      </w:numPr>
    </w:pPr>
  </w:style>
  <w:style w:type="paragraph" w:styleId="ListBullet3">
    <w:name w:val="List Bullet 3"/>
    <w:basedOn w:val="Normal"/>
    <w:autoRedefine/>
    <w:rsid w:val="007E6A6E"/>
    <w:pPr>
      <w:numPr>
        <w:numId w:val="3"/>
      </w:numPr>
    </w:pPr>
  </w:style>
  <w:style w:type="paragraph" w:styleId="ListBullet4">
    <w:name w:val="List Bullet 4"/>
    <w:basedOn w:val="Normal"/>
    <w:autoRedefine/>
    <w:rsid w:val="007E6A6E"/>
    <w:pPr>
      <w:numPr>
        <w:numId w:val="4"/>
      </w:numPr>
    </w:pPr>
  </w:style>
  <w:style w:type="paragraph" w:styleId="ListBullet5">
    <w:name w:val="List Bullet 5"/>
    <w:basedOn w:val="Normal"/>
    <w:autoRedefine/>
    <w:rsid w:val="007E6A6E"/>
    <w:pPr>
      <w:numPr>
        <w:numId w:val="5"/>
      </w:numPr>
    </w:pPr>
  </w:style>
  <w:style w:type="paragraph" w:styleId="ListContinue">
    <w:name w:val="List Continue"/>
    <w:basedOn w:val="Normal"/>
    <w:semiHidden/>
    <w:rsid w:val="007E6A6E"/>
    <w:pPr>
      <w:spacing w:after="120"/>
      <w:ind w:left="283"/>
    </w:pPr>
  </w:style>
  <w:style w:type="paragraph" w:styleId="ListContinue2">
    <w:name w:val="List Continue 2"/>
    <w:basedOn w:val="Normal"/>
    <w:semiHidden/>
    <w:rsid w:val="007E6A6E"/>
    <w:pPr>
      <w:spacing w:after="120"/>
      <w:ind w:left="566"/>
    </w:pPr>
  </w:style>
  <w:style w:type="paragraph" w:styleId="ListContinue3">
    <w:name w:val="List Continue 3"/>
    <w:basedOn w:val="Normal"/>
    <w:semiHidden/>
    <w:rsid w:val="007E6A6E"/>
    <w:pPr>
      <w:spacing w:after="120"/>
      <w:ind w:left="849"/>
    </w:pPr>
  </w:style>
  <w:style w:type="paragraph" w:styleId="ListContinue4">
    <w:name w:val="List Continue 4"/>
    <w:basedOn w:val="Normal"/>
    <w:semiHidden/>
    <w:rsid w:val="007E6A6E"/>
    <w:pPr>
      <w:spacing w:after="120"/>
      <w:ind w:left="1132"/>
    </w:pPr>
  </w:style>
  <w:style w:type="paragraph" w:styleId="ListContinue5">
    <w:name w:val="List Continue 5"/>
    <w:basedOn w:val="Normal"/>
    <w:semiHidden/>
    <w:rsid w:val="007E6A6E"/>
    <w:pPr>
      <w:spacing w:after="120"/>
      <w:ind w:left="1415"/>
    </w:pPr>
  </w:style>
  <w:style w:type="paragraph" w:styleId="ListNumber">
    <w:name w:val="List Number"/>
    <w:basedOn w:val="Normal"/>
    <w:rsid w:val="007E6A6E"/>
    <w:pPr>
      <w:numPr>
        <w:numId w:val="6"/>
      </w:numPr>
    </w:pPr>
  </w:style>
  <w:style w:type="paragraph" w:styleId="ListNumber2">
    <w:name w:val="List Number 2"/>
    <w:basedOn w:val="Normal"/>
    <w:rsid w:val="007E6A6E"/>
    <w:pPr>
      <w:numPr>
        <w:numId w:val="7"/>
      </w:numPr>
    </w:pPr>
  </w:style>
  <w:style w:type="paragraph" w:styleId="ListNumber3">
    <w:name w:val="List Number 3"/>
    <w:basedOn w:val="Normal"/>
    <w:rsid w:val="007E6A6E"/>
    <w:pPr>
      <w:numPr>
        <w:numId w:val="8"/>
      </w:numPr>
    </w:pPr>
  </w:style>
  <w:style w:type="paragraph" w:styleId="ListNumber4">
    <w:name w:val="List Number 4"/>
    <w:basedOn w:val="Normal"/>
    <w:rsid w:val="007E6A6E"/>
    <w:pPr>
      <w:numPr>
        <w:numId w:val="9"/>
      </w:numPr>
    </w:pPr>
  </w:style>
  <w:style w:type="paragraph" w:styleId="ListNumber5">
    <w:name w:val="List Number 5"/>
    <w:basedOn w:val="Normal"/>
    <w:rsid w:val="007E6A6E"/>
    <w:pPr>
      <w:numPr>
        <w:numId w:val="10"/>
      </w:numPr>
    </w:pPr>
  </w:style>
  <w:style w:type="paragraph" w:styleId="MessageHeader">
    <w:name w:val="Message Header"/>
    <w:basedOn w:val="Normal"/>
    <w:semiHidden/>
    <w:rsid w:val="007E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1C3407"/>
    <w:rPr>
      <w:sz w:val="24"/>
      <w:szCs w:val="24"/>
    </w:rPr>
  </w:style>
  <w:style w:type="paragraph" w:styleId="NormalIndent">
    <w:name w:val="Normal Indent"/>
    <w:basedOn w:val="Normal"/>
    <w:semiHidden/>
    <w:rsid w:val="007E6A6E"/>
    <w:pPr>
      <w:ind w:left="720"/>
    </w:pPr>
  </w:style>
  <w:style w:type="paragraph" w:styleId="NoteHeading">
    <w:name w:val="Note Heading"/>
    <w:basedOn w:val="Normal"/>
    <w:next w:val="Normal"/>
    <w:semiHidden/>
    <w:rsid w:val="007E6A6E"/>
  </w:style>
  <w:style w:type="character" w:styleId="PageNumber">
    <w:name w:val="page number"/>
    <w:basedOn w:val="DefaultParagraphFont"/>
    <w:semiHidden/>
    <w:rsid w:val="007E6A6E"/>
  </w:style>
  <w:style w:type="paragraph" w:styleId="PlainText">
    <w:name w:val="Plain Text"/>
    <w:basedOn w:val="Normal"/>
    <w:semiHidden/>
    <w:rsid w:val="007E6A6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E6A6E"/>
  </w:style>
  <w:style w:type="paragraph" w:styleId="Signature">
    <w:name w:val="Signature"/>
    <w:basedOn w:val="Normal"/>
    <w:semiHidden/>
    <w:rsid w:val="007E6A6E"/>
    <w:pPr>
      <w:ind w:left="4252"/>
    </w:pPr>
  </w:style>
  <w:style w:type="character" w:styleId="Strong">
    <w:name w:val="Strong"/>
    <w:rsid w:val="007E6A6E"/>
    <w:rPr>
      <w:b/>
      <w:bCs/>
    </w:rPr>
  </w:style>
  <w:style w:type="paragraph" w:styleId="Subtitle">
    <w:name w:val="Subtitle"/>
    <w:basedOn w:val="Normal"/>
    <w:rsid w:val="007E6A6E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7E6A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E6A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E6A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E6A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E6A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E6A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E6A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E6A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E6A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E6A6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E6A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E6A6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E6A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E6A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E6A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E6A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E6A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E6A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E6A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E6A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E6A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E6A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E6A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E6A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E6A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E6A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E6A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E6A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E6A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E6A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E6A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QGEAtable">
    <w:name w:val="QGEA table"/>
    <w:basedOn w:val="TableNormal"/>
    <w:rsid w:val="006334ED"/>
    <w:rPr>
      <w:rFonts w:ascii="Arial" w:hAnsi="Arial"/>
    </w:rPr>
    <w:tblPr>
      <w:tblInd w:w="709" w:type="dxa"/>
      <w:tblBorders>
        <w:top w:val="single" w:sz="4" w:space="0" w:color="3B6E8F"/>
        <w:left w:val="single" w:sz="4" w:space="0" w:color="3B6E8F"/>
        <w:bottom w:val="single" w:sz="4" w:space="0" w:color="3B6E8F"/>
        <w:right w:val="single" w:sz="4" w:space="0" w:color="3B6E8F"/>
        <w:insideH w:val="single" w:sz="4" w:space="0" w:color="3B6E8F"/>
        <w:insideV w:val="single" w:sz="4" w:space="0" w:color="3B6E8F"/>
      </w:tblBorders>
      <w:tblCellMar>
        <w:left w:w="57" w:type="dxa"/>
        <w:right w:w="51" w:type="dxa"/>
      </w:tblCellMar>
    </w:tblPr>
    <w:trPr>
      <w:cantSplit/>
    </w:tr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rFonts w:ascii="Arial" w:hAnsi="Arial"/>
        <w:b w:val="0"/>
        <w:i w:val="0"/>
        <w:color w:val="auto"/>
        <w:sz w:val="20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3B6E8F"/>
      </w:tcPr>
    </w:tblStylePr>
  </w:style>
  <w:style w:type="paragraph" w:customStyle="1" w:styleId="Bodystylefordocumentdetails">
    <w:name w:val="Body style for document details"/>
    <w:basedOn w:val="BodyText"/>
    <w:semiHidden/>
    <w:rsid w:val="001C3407"/>
    <w:pPr>
      <w:spacing w:line="240" w:lineRule="atLeast"/>
      <w:ind w:left="0"/>
    </w:pPr>
  </w:style>
  <w:style w:type="paragraph" w:customStyle="1" w:styleId="Heading2nonumber">
    <w:name w:val="Heading 2 no number"/>
    <w:basedOn w:val="Heading2"/>
    <w:next w:val="Bodystylefordocumentdetails"/>
    <w:rsid w:val="00CA23BE"/>
    <w:pPr>
      <w:numPr>
        <w:ilvl w:val="0"/>
        <w:numId w:val="0"/>
      </w:numPr>
      <w:outlineLvl w:val="9"/>
    </w:pPr>
  </w:style>
  <w:style w:type="paragraph" w:customStyle="1" w:styleId="Bulletforexecsummary">
    <w:name w:val="Bullet for exec summary"/>
    <w:basedOn w:val="Bulletcircle"/>
    <w:rsid w:val="00045ECF"/>
    <w:pPr>
      <w:numPr>
        <w:numId w:val="16"/>
      </w:numPr>
    </w:pPr>
  </w:style>
  <w:style w:type="paragraph" w:customStyle="1" w:styleId="Image">
    <w:name w:val="Image"/>
    <w:basedOn w:val="BodyText"/>
    <w:next w:val="Caption"/>
    <w:rsid w:val="001C3407"/>
    <w:pPr>
      <w:keepNext/>
      <w:spacing w:before="0" w:line="240" w:lineRule="auto"/>
    </w:pPr>
  </w:style>
  <w:style w:type="paragraph" w:styleId="TableofFigures">
    <w:name w:val="table of figures"/>
    <w:uiPriority w:val="99"/>
    <w:rsid w:val="001C3407"/>
    <w:pPr>
      <w:spacing w:before="60" w:after="60"/>
      <w:ind w:right="567"/>
    </w:pPr>
    <w:rPr>
      <w:rFonts w:ascii="Arial" w:hAnsi="Arial"/>
      <w:sz w:val="22"/>
      <w:szCs w:val="24"/>
    </w:rPr>
  </w:style>
  <w:style w:type="character" w:customStyle="1" w:styleId="Artefacttype">
    <w:name w:val="Artefact type"/>
    <w:semiHidden/>
    <w:rsid w:val="009F7209"/>
  </w:style>
  <w:style w:type="paragraph" w:customStyle="1" w:styleId="Guidancetext">
    <w:name w:val="Guidance text"/>
    <w:basedOn w:val="BodyText"/>
    <w:semiHidden/>
    <w:rsid w:val="001C340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CC"/>
      <w:spacing w:line="260" w:lineRule="atLeast"/>
      <w:ind w:left="0"/>
    </w:pPr>
    <w:rPr>
      <w:sz w:val="20"/>
      <w:lang w:eastAsia="en-US"/>
    </w:rPr>
  </w:style>
  <w:style w:type="character" w:customStyle="1" w:styleId="Reportstatus">
    <w:name w:val="Report status"/>
    <w:semiHidden/>
    <w:rsid w:val="00CA23BE"/>
    <w:rPr>
      <w:rFonts w:ascii="Arial" w:hAnsi="Arial"/>
      <w:b/>
      <w:color w:val="013861"/>
      <w:sz w:val="22"/>
    </w:rPr>
  </w:style>
  <w:style w:type="character" w:customStyle="1" w:styleId="Heading2Char">
    <w:name w:val="Heading 2 Char"/>
    <w:link w:val="Heading2"/>
    <w:rsid w:val="001B7DE2"/>
    <w:rPr>
      <w:rFonts w:ascii="Arial" w:hAnsi="Arial" w:cs="Arial"/>
      <w:b/>
      <w:color w:val="5F5F5F"/>
      <w:sz w:val="28"/>
    </w:rPr>
  </w:style>
  <w:style w:type="character" w:customStyle="1" w:styleId="BodyTextChar">
    <w:name w:val="Body Text Char"/>
    <w:link w:val="BodyText"/>
    <w:rsid w:val="006517B2"/>
    <w:rPr>
      <w:rFonts w:ascii="Arial" w:hAnsi="Arial"/>
      <w:sz w:val="22"/>
    </w:rPr>
  </w:style>
  <w:style w:type="paragraph" w:customStyle="1" w:styleId="TitlePageOptionalTextLine">
    <w:name w:val="Title Page Optional Text Line"/>
    <w:basedOn w:val="Normal"/>
    <w:link w:val="TitlePageOptionalTextLineChar"/>
    <w:rsid w:val="00CA23BE"/>
    <w:rPr>
      <w:color w:val="FFFFFF"/>
      <w:sz w:val="30"/>
      <w:szCs w:val="24"/>
    </w:rPr>
  </w:style>
  <w:style w:type="paragraph" w:customStyle="1" w:styleId="tabletextnumber">
    <w:name w:val="table text number"/>
    <w:basedOn w:val="TableText"/>
    <w:rsid w:val="001C3407"/>
    <w:pPr>
      <w:numPr>
        <w:ilvl w:val="1"/>
      </w:numPr>
      <w:spacing w:before="40" w:after="40"/>
    </w:pPr>
  </w:style>
  <w:style w:type="paragraph" w:customStyle="1" w:styleId="tabletextalpha">
    <w:name w:val="table text alpha"/>
    <w:basedOn w:val="TableText"/>
    <w:rsid w:val="001C3407"/>
    <w:pPr>
      <w:numPr>
        <w:ilvl w:val="2"/>
      </w:numPr>
      <w:spacing w:before="40" w:after="40"/>
    </w:pPr>
  </w:style>
  <w:style w:type="paragraph" w:customStyle="1" w:styleId="TitlePageSubtitle">
    <w:name w:val="Title Page Subtitle"/>
    <w:basedOn w:val="Normal"/>
    <w:rsid w:val="00CA23BE"/>
    <w:pPr>
      <w:spacing w:after="60"/>
    </w:pPr>
    <w:rPr>
      <w:color w:val="FFFFFF"/>
      <w:sz w:val="40"/>
      <w:szCs w:val="24"/>
    </w:rPr>
  </w:style>
  <w:style w:type="paragraph" w:customStyle="1" w:styleId="Titlepageheading">
    <w:name w:val="Title page heading"/>
    <w:basedOn w:val="TitlePageSubtitle"/>
    <w:next w:val="TitlePageSubtitle"/>
    <w:rsid w:val="00506597"/>
    <w:pPr>
      <w:pBdr>
        <w:bottom w:val="single" w:sz="4" w:space="1" w:color="5F5F5F"/>
      </w:pBdr>
      <w:spacing w:before="2400" w:after="240" w:line="264" w:lineRule="auto"/>
    </w:pPr>
    <w:rPr>
      <w:rFonts w:cs="Arial"/>
      <w:color w:val="4D4D4D"/>
      <w:sz w:val="72"/>
    </w:rPr>
  </w:style>
  <w:style w:type="character" w:customStyle="1" w:styleId="TitlePageOptionalTextLineChar">
    <w:name w:val="Title Page Optional Text Line Char"/>
    <w:link w:val="TitlePageOptionalTextLine"/>
    <w:rsid w:val="00506597"/>
    <w:rPr>
      <w:rFonts w:ascii="Arial" w:hAnsi="Arial"/>
      <w:color w:val="FFFFFF"/>
      <w:sz w:val="30"/>
      <w:szCs w:val="24"/>
      <w:lang w:eastAsia="en-US"/>
    </w:rPr>
  </w:style>
  <w:style w:type="table" w:customStyle="1" w:styleId="Table-LowInk">
    <w:name w:val="Table - Low Ink"/>
    <w:basedOn w:val="TableNormal"/>
    <w:rsid w:val="007D23D6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auto"/>
        <w:sz w:val="24"/>
      </w:rPr>
      <w:tblPr>
        <w:tblCellMar>
          <w:top w:w="0" w:type="dxa"/>
          <w:left w:w="113" w:type="dxa"/>
          <w:bottom w:w="28" w:type="dxa"/>
          <w:right w:w="113" w:type="dxa"/>
        </w:tblCellMar>
      </w:tblPr>
      <w:tcPr>
        <w:tcBorders>
          <w:top w:val="single" w:sz="4" w:space="0" w:color="C0C0C0"/>
          <w:left w:val="single" w:sz="4" w:space="0" w:color="C0C0C0"/>
          <w:bottom w:val="single" w:sz="18" w:space="0" w:color="C0C0C0"/>
          <w:right w:val="single" w:sz="4" w:space="0" w:color="C0C0C0"/>
          <w:insideH w:val="single" w:sz="18" w:space="0" w:color="C0C0C0"/>
          <w:insideV w:val="single" w:sz="4" w:space="0" w:color="C0C0C0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rsid w:val="007D23D6"/>
    <w:pPr>
      <w:spacing w:before="20" w:after="20" w:line="264" w:lineRule="auto"/>
    </w:pPr>
  </w:style>
  <w:style w:type="paragraph" w:customStyle="1" w:styleId="Tableheadings">
    <w:name w:val="Table headings"/>
    <w:basedOn w:val="Normal"/>
    <w:rsid w:val="007D23D6"/>
    <w:pPr>
      <w:spacing w:before="180" w:after="60" w:line="264" w:lineRule="auto"/>
    </w:pPr>
    <w:rPr>
      <w:szCs w:val="24"/>
    </w:rPr>
  </w:style>
  <w:style w:type="paragraph" w:customStyle="1" w:styleId="Bullet3">
    <w:name w:val="Bullet3"/>
    <w:basedOn w:val="Bulletopencircle"/>
    <w:link w:val="Bullet3Char"/>
    <w:autoRedefine/>
    <w:qFormat/>
    <w:rsid w:val="00702C47"/>
    <w:pPr>
      <w:numPr>
        <w:numId w:val="28"/>
      </w:numPr>
    </w:pPr>
  </w:style>
  <w:style w:type="paragraph" w:customStyle="1" w:styleId="Bullet2">
    <w:name w:val="Bullet2"/>
    <w:basedOn w:val="Bulletdash"/>
    <w:link w:val="Bullet2Char"/>
    <w:autoRedefine/>
    <w:qFormat/>
    <w:rsid w:val="00702C47"/>
  </w:style>
  <w:style w:type="character" w:customStyle="1" w:styleId="BulletopencircleChar">
    <w:name w:val="Bullet open circle Char"/>
    <w:link w:val="Bulletopencircle"/>
    <w:rsid w:val="00702C47"/>
    <w:rPr>
      <w:rFonts w:ascii="Arial" w:hAnsi="Arial"/>
      <w:sz w:val="22"/>
      <w:szCs w:val="22"/>
      <w:lang w:val="en-AU" w:eastAsia="en-AU" w:bidi="ar-SA"/>
    </w:rPr>
  </w:style>
  <w:style w:type="character" w:customStyle="1" w:styleId="Bullet3Char">
    <w:name w:val="Bullet3 Char"/>
    <w:link w:val="Bullet3"/>
    <w:rsid w:val="00702C47"/>
    <w:rPr>
      <w:rFonts w:ascii="Arial" w:hAnsi="Arial"/>
      <w:sz w:val="22"/>
      <w:szCs w:val="22"/>
      <w:lang w:val="en-AU" w:eastAsia="en-AU" w:bidi="ar-SA"/>
    </w:rPr>
  </w:style>
  <w:style w:type="character" w:customStyle="1" w:styleId="BulletdashChar">
    <w:name w:val="Bullet dash Char"/>
    <w:link w:val="Bulletdash"/>
    <w:rsid w:val="00702C47"/>
    <w:rPr>
      <w:rFonts w:ascii="Arial" w:hAnsi="Arial"/>
      <w:sz w:val="22"/>
      <w:szCs w:val="22"/>
      <w:lang w:val="en-AU" w:eastAsia="en-AU" w:bidi="ar-SA"/>
    </w:rPr>
  </w:style>
  <w:style w:type="character" w:customStyle="1" w:styleId="Bullet2Char">
    <w:name w:val="Bullet2 Char"/>
    <w:link w:val="Bullet2"/>
    <w:rsid w:val="00702C47"/>
    <w:rPr>
      <w:rFonts w:ascii="Arial" w:hAnsi="Arial"/>
      <w:sz w:val="22"/>
      <w:szCs w:val="22"/>
      <w:lang w:val="en-AU" w:eastAsia="en-AU" w:bidi="ar-SA"/>
    </w:rPr>
  </w:style>
  <w:style w:type="paragraph" w:customStyle="1" w:styleId="QGEA">
    <w:name w:val="QGEA"/>
    <w:basedOn w:val="Normal"/>
    <w:rsid w:val="005E7B99"/>
    <w:pPr>
      <w:widowControl w:val="0"/>
      <w:suppressAutoHyphens/>
      <w:autoSpaceDE w:val="0"/>
      <w:autoSpaceDN w:val="0"/>
      <w:adjustRightInd w:val="0"/>
      <w:spacing w:before="1200" w:line="288" w:lineRule="auto"/>
      <w:textAlignment w:val="center"/>
    </w:pPr>
    <w:rPr>
      <w:rFonts w:cs="MetaOT-Norm"/>
      <w:color w:val="003E68"/>
      <w:spacing w:val="-2"/>
      <w:sz w:val="34"/>
      <w:lang w:val="en-GB"/>
    </w:rPr>
  </w:style>
  <w:style w:type="character" w:customStyle="1" w:styleId="Titlepageinfo">
    <w:name w:val="Title page info"/>
    <w:rsid w:val="005E7B99"/>
    <w:rPr>
      <w:color w:val="003E68"/>
      <w:sz w:val="30"/>
    </w:rPr>
  </w:style>
  <w:style w:type="numbering" w:customStyle="1" w:styleId="StyleNumbered">
    <w:name w:val="Style Numbered"/>
    <w:basedOn w:val="NoList"/>
    <w:rsid w:val="005E7B99"/>
    <w:pPr>
      <w:numPr>
        <w:numId w:val="30"/>
      </w:numPr>
    </w:pPr>
  </w:style>
  <w:style w:type="paragraph" w:customStyle="1" w:styleId="Appendix">
    <w:name w:val="Appendix"/>
    <w:basedOn w:val="Appendix1"/>
    <w:next w:val="BodyText1"/>
    <w:link w:val="AppendixChar"/>
    <w:autoRedefine/>
    <w:qFormat/>
    <w:rsid w:val="00766CCB"/>
  </w:style>
  <w:style w:type="paragraph" w:customStyle="1" w:styleId="BodyText1">
    <w:name w:val="Body Text1"/>
    <w:basedOn w:val="BodyText"/>
    <w:link w:val="BodytextChar0"/>
    <w:autoRedefine/>
    <w:qFormat/>
    <w:rsid w:val="00737AA4"/>
  </w:style>
  <w:style w:type="character" w:customStyle="1" w:styleId="Heading1Char">
    <w:name w:val="Heading 1 Char"/>
    <w:basedOn w:val="DefaultParagraphFont"/>
    <w:link w:val="Heading1"/>
    <w:rsid w:val="00B12183"/>
    <w:rPr>
      <w:rFonts w:ascii="Arial" w:hAnsi="Arial" w:cs="Arial"/>
      <w:b/>
      <w:bCs/>
      <w:color w:val="336699"/>
      <w:sz w:val="36"/>
      <w:shd w:val="clear" w:color="auto" w:fill="FFFFFF"/>
    </w:rPr>
  </w:style>
  <w:style w:type="character" w:customStyle="1" w:styleId="Heading1nonumberChar">
    <w:name w:val="Heading 1 no number Char"/>
    <w:basedOn w:val="Heading1Char"/>
    <w:link w:val="Heading1nonumber"/>
    <w:rsid w:val="00766CCB"/>
    <w:rPr>
      <w:rFonts w:ascii="Arial Bold" w:hAnsi="Arial Bold" w:cs="Arial"/>
      <w:b/>
      <w:bCs/>
      <w:snapToGrid/>
      <w:color w:val="004068"/>
      <w:kern w:val="28"/>
      <w:sz w:val="36"/>
      <w:szCs w:val="32"/>
      <w:shd w:val="clear" w:color="auto" w:fill="FFFFFF"/>
      <w:lang w:eastAsia="en-US"/>
    </w:rPr>
  </w:style>
  <w:style w:type="character" w:customStyle="1" w:styleId="Appendix1Char">
    <w:name w:val="Appendix 1 Char"/>
    <w:basedOn w:val="Heading1nonumberChar"/>
    <w:link w:val="Appendix1"/>
    <w:rsid w:val="00766CCB"/>
    <w:rPr>
      <w:rFonts w:ascii="Arial Bold" w:hAnsi="Arial Bold" w:cs="Arial"/>
      <w:b/>
      <w:bCs/>
      <w:snapToGrid/>
      <w:color w:val="004068"/>
      <w:kern w:val="28"/>
      <w:sz w:val="36"/>
      <w:szCs w:val="28"/>
      <w:shd w:val="clear" w:color="auto" w:fill="FFFFFF"/>
      <w:lang w:eastAsia="en-US"/>
    </w:rPr>
  </w:style>
  <w:style w:type="character" w:customStyle="1" w:styleId="AppendixChar">
    <w:name w:val="Appendix Char"/>
    <w:basedOn w:val="Appendix1Char"/>
    <w:link w:val="Appendix"/>
    <w:rsid w:val="00766CCB"/>
    <w:rPr>
      <w:rFonts w:ascii="Arial Bold" w:hAnsi="Arial Bold" w:cs="Arial"/>
      <w:b/>
      <w:bCs/>
      <w:snapToGrid/>
      <w:color w:val="004068"/>
      <w:kern w:val="28"/>
      <w:sz w:val="36"/>
      <w:szCs w:val="28"/>
      <w:shd w:val="clear" w:color="auto" w:fill="FFFFFF"/>
      <w:lang w:eastAsia="en-US"/>
    </w:rPr>
  </w:style>
  <w:style w:type="paragraph" w:customStyle="1" w:styleId="Bullet1">
    <w:name w:val="Bullet 1"/>
    <w:basedOn w:val="Bulletcircle"/>
    <w:link w:val="Bullet1Char"/>
    <w:autoRedefine/>
    <w:qFormat/>
    <w:rsid w:val="00766CCB"/>
    <w:pPr>
      <w:numPr>
        <w:numId w:val="26"/>
      </w:numPr>
    </w:pPr>
  </w:style>
  <w:style w:type="character" w:customStyle="1" w:styleId="BodytextChar0">
    <w:name w:val="Body text Char"/>
    <w:basedOn w:val="BodyTextChar"/>
    <w:link w:val="BodyText1"/>
    <w:rsid w:val="00737AA4"/>
    <w:rPr>
      <w:rFonts w:ascii="Arial" w:hAnsi="Arial"/>
      <w:sz w:val="22"/>
    </w:rPr>
  </w:style>
  <w:style w:type="paragraph" w:customStyle="1" w:styleId="Numberlist1">
    <w:name w:val="Number list 1"/>
    <w:basedOn w:val="Bullet3"/>
    <w:link w:val="Numberlist1Char"/>
    <w:autoRedefine/>
    <w:qFormat/>
    <w:rsid w:val="00766CCB"/>
    <w:pPr>
      <w:numPr>
        <w:ilvl w:val="0"/>
        <w:numId w:val="32"/>
      </w:numPr>
      <w:ind w:left="1134" w:hanging="425"/>
    </w:pPr>
  </w:style>
  <w:style w:type="character" w:customStyle="1" w:styleId="BulletcircleChar">
    <w:name w:val="Bullet circle Char"/>
    <w:basedOn w:val="BodyTextChar"/>
    <w:link w:val="Bulletcircle"/>
    <w:rsid w:val="00766CCB"/>
    <w:rPr>
      <w:rFonts w:ascii="Arial" w:hAnsi="Arial"/>
      <w:sz w:val="22"/>
      <w:szCs w:val="22"/>
    </w:rPr>
  </w:style>
  <w:style w:type="character" w:customStyle="1" w:styleId="Bullet1Char">
    <w:name w:val="Bullet 1 Char"/>
    <w:basedOn w:val="BulletcircleChar"/>
    <w:link w:val="Bullet1"/>
    <w:rsid w:val="00766CCB"/>
    <w:rPr>
      <w:rFonts w:ascii="Arial" w:hAnsi="Arial"/>
      <w:sz w:val="22"/>
      <w:szCs w:val="22"/>
    </w:rPr>
  </w:style>
  <w:style w:type="paragraph" w:customStyle="1" w:styleId="Numberlist2">
    <w:name w:val="Number list 2"/>
    <w:basedOn w:val="Bullet3"/>
    <w:link w:val="Numberlist2Char"/>
    <w:autoRedefine/>
    <w:qFormat/>
    <w:rsid w:val="00766CCB"/>
    <w:pPr>
      <w:numPr>
        <w:ilvl w:val="1"/>
        <w:numId w:val="32"/>
      </w:numPr>
      <w:ind w:left="1559" w:hanging="425"/>
    </w:pPr>
  </w:style>
  <w:style w:type="character" w:customStyle="1" w:styleId="Numberlist1Char">
    <w:name w:val="Number list 1 Char"/>
    <w:basedOn w:val="Bullet3Char"/>
    <w:link w:val="Numberlist1"/>
    <w:rsid w:val="00766CCB"/>
    <w:rPr>
      <w:rFonts w:ascii="Arial" w:hAnsi="Arial"/>
      <w:sz w:val="22"/>
      <w:szCs w:val="22"/>
      <w:lang w:val="en-AU" w:eastAsia="en-AU" w:bidi="ar-SA"/>
    </w:rPr>
  </w:style>
  <w:style w:type="paragraph" w:customStyle="1" w:styleId="Numberlist3">
    <w:name w:val="Number list 3"/>
    <w:basedOn w:val="Bullet3"/>
    <w:link w:val="Numberlist3Char"/>
    <w:qFormat/>
    <w:rsid w:val="00766CCB"/>
    <w:pPr>
      <w:numPr>
        <w:numId w:val="32"/>
      </w:numPr>
      <w:ind w:left="1984" w:hanging="425"/>
    </w:pPr>
  </w:style>
  <w:style w:type="character" w:customStyle="1" w:styleId="Numberlist2Char">
    <w:name w:val="Number list 2 Char"/>
    <w:basedOn w:val="Bullet3Char"/>
    <w:link w:val="Numberlist2"/>
    <w:rsid w:val="00766CCB"/>
    <w:rPr>
      <w:rFonts w:ascii="Arial" w:hAnsi="Arial"/>
      <w:sz w:val="22"/>
      <w:szCs w:val="22"/>
      <w:lang w:val="en-AU" w:eastAsia="en-AU" w:bidi="ar-SA"/>
    </w:rPr>
  </w:style>
  <w:style w:type="paragraph" w:customStyle="1" w:styleId="Appendixlvl3">
    <w:name w:val="Appendix lvl 3"/>
    <w:basedOn w:val="Appendix3"/>
    <w:next w:val="BodyText1"/>
    <w:link w:val="Appendixlvl3Char"/>
    <w:autoRedefine/>
    <w:qFormat/>
    <w:rsid w:val="00766CCB"/>
  </w:style>
  <w:style w:type="character" w:customStyle="1" w:styleId="Numberlist3Char">
    <w:name w:val="Number list 3 Char"/>
    <w:basedOn w:val="Bullet3Char"/>
    <w:link w:val="Numberlist3"/>
    <w:rsid w:val="00766CCB"/>
    <w:rPr>
      <w:rFonts w:ascii="Arial" w:hAnsi="Arial"/>
      <w:sz w:val="22"/>
      <w:szCs w:val="22"/>
      <w:lang w:val="en-AU" w:eastAsia="en-AU" w:bidi="ar-SA"/>
    </w:rPr>
  </w:style>
  <w:style w:type="paragraph" w:customStyle="1" w:styleId="Appendixlvl2">
    <w:name w:val="Appendix lvl 2"/>
    <w:basedOn w:val="Appendix2"/>
    <w:next w:val="BodyText1"/>
    <w:link w:val="Appendixlvl2Char"/>
    <w:autoRedefine/>
    <w:qFormat/>
    <w:rsid w:val="00FA6C1E"/>
  </w:style>
  <w:style w:type="character" w:customStyle="1" w:styleId="Heading3Char">
    <w:name w:val="Heading 3 Char"/>
    <w:basedOn w:val="Heading2Char"/>
    <w:link w:val="Heading3"/>
    <w:rsid w:val="00766CCB"/>
    <w:rPr>
      <w:rFonts w:ascii="Arial Bold" w:hAnsi="Arial Bold" w:cs="Arial"/>
      <w:b/>
      <w:bCs w:val="0"/>
      <w:snapToGrid/>
      <w:color w:val="336699"/>
      <w:kern w:val="24"/>
      <w:sz w:val="22"/>
      <w:szCs w:val="24"/>
      <w:lang w:eastAsia="en-US"/>
    </w:rPr>
  </w:style>
  <w:style w:type="character" w:customStyle="1" w:styleId="Appendix3Char">
    <w:name w:val="Appendix 3 Char"/>
    <w:basedOn w:val="Heading3Char"/>
    <w:link w:val="Appendix3"/>
    <w:rsid w:val="00766CCB"/>
    <w:rPr>
      <w:rFonts w:ascii="Arial Bold" w:hAnsi="Arial Bold" w:cs="Arial"/>
      <w:b/>
      <w:bCs w:val="0"/>
      <w:snapToGrid/>
      <w:color w:val="336699"/>
      <w:kern w:val="24"/>
      <w:sz w:val="22"/>
      <w:szCs w:val="24"/>
      <w:lang w:eastAsia="en-US"/>
    </w:rPr>
  </w:style>
  <w:style w:type="character" w:customStyle="1" w:styleId="Appendixlvl3Char">
    <w:name w:val="Appendix lvl 3 Char"/>
    <w:basedOn w:val="Appendix3Char"/>
    <w:link w:val="Appendixlvl3"/>
    <w:rsid w:val="00766CCB"/>
    <w:rPr>
      <w:rFonts w:ascii="Arial Bold" w:hAnsi="Arial Bold" w:cs="Arial"/>
      <w:b/>
      <w:bCs w:val="0"/>
      <w:snapToGrid/>
      <w:color w:val="336699"/>
      <w:kern w:val="24"/>
      <w:sz w:val="22"/>
      <w:szCs w:val="24"/>
      <w:lang w:eastAsia="en-US"/>
    </w:rPr>
  </w:style>
  <w:style w:type="paragraph" w:customStyle="1" w:styleId="Appendixlvl4">
    <w:name w:val="Appendix lvl 4"/>
    <w:basedOn w:val="Appendix4"/>
    <w:next w:val="BodyText1"/>
    <w:link w:val="Appendixlvl4Char"/>
    <w:autoRedefine/>
    <w:qFormat/>
    <w:rsid w:val="00766CCB"/>
  </w:style>
  <w:style w:type="character" w:customStyle="1" w:styleId="Appendix2Char">
    <w:name w:val="Appendix 2 Char"/>
    <w:basedOn w:val="Heading2Char"/>
    <w:link w:val="Appendix2"/>
    <w:rsid w:val="00766CCB"/>
    <w:rPr>
      <w:rFonts w:ascii="Arial Bold" w:hAnsi="Arial Bold" w:cs="Arial"/>
      <w:b/>
      <w:bCs w:val="0"/>
      <w:snapToGrid/>
      <w:color w:val="336699"/>
      <w:kern w:val="28"/>
      <w:sz w:val="28"/>
      <w:szCs w:val="32"/>
      <w:lang w:eastAsia="en-US"/>
    </w:rPr>
  </w:style>
  <w:style w:type="character" w:customStyle="1" w:styleId="Appendixlvl2Char">
    <w:name w:val="Appendix lvl 2 Char"/>
    <w:basedOn w:val="Appendix2Char"/>
    <w:link w:val="Appendixlvl2"/>
    <w:rsid w:val="00FA6C1E"/>
    <w:rPr>
      <w:rFonts w:ascii="Arial" w:hAnsi="Arial" w:cs="Arial"/>
      <w:b/>
      <w:bCs w:val="0"/>
      <w:snapToGrid/>
      <w:color w:val="555555"/>
      <w:kern w:val="28"/>
      <w:sz w:val="28"/>
      <w:szCs w:val="32"/>
      <w:lang w:eastAsia="en-US"/>
    </w:rPr>
  </w:style>
  <w:style w:type="character" w:customStyle="1" w:styleId="Appendix4Char">
    <w:name w:val="Appendix 4 Char"/>
    <w:basedOn w:val="Appendix3Char"/>
    <w:link w:val="Appendix4"/>
    <w:semiHidden/>
    <w:rsid w:val="00766CCB"/>
    <w:rPr>
      <w:rFonts w:ascii="Arial Bold" w:hAnsi="Arial Bold" w:cs="Arial"/>
      <w:b w:val="0"/>
      <w:bCs w:val="0"/>
      <w:i/>
      <w:snapToGrid/>
      <w:color w:val="336699"/>
      <w:kern w:val="24"/>
      <w:sz w:val="22"/>
      <w:szCs w:val="24"/>
      <w:lang w:val="en-US" w:eastAsia="en-US"/>
    </w:rPr>
  </w:style>
  <w:style w:type="character" w:customStyle="1" w:styleId="Appendixlvl4Char">
    <w:name w:val="Appendix lvl 4 Char"/>
    <w:basedOn w:val="Appendix4Char"/>
    <w:link w:val="Appendixlvl4"/>
    <w:rsid w:val="00766CCB"/>
    <w:rPr>
      <w:rFonts w:ascii="Arial Bold" w:hAnsi="Arial Bold" w:cs="Arial"/>
      <w:b w:val="0"/>
      <w:bCs w:val="0"/>
      <w:i/>
      <w:snapToGrid/>
      <w:color w:val="336699"/>
      <w:kern w:val="24"/>
      <w:sz w:val="22"/>
      <w:szCs w:val="24"/>
      <w:lang w:val="en-US" w:eastAsia="en-US"/>
    </w:rPr>
  </w:style>
  <w:style w:type="paragraph" w:customStyle="1" w:styleId="Paragraph">
    <w:name w:val="Paragraph"/>
    <w:basedOn w:val="BodyText"/>
    <w:link w:val="ParagraphChar"/>
    <w:autoRedefine/>
    <w:rsid w:val="00485DEE"/>
  </w:style>
  <w:style w:type="character" w:customStyle="1" w:styleId="ParagraphChar">
    <w:name w:val="Paragraph Char"/>
    <w:basedOn w:val="BodyTextChar"/>
    <w:link w:val="Paragraph"/>
    <w:rsid w:val="00485DEE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465BC"/>
    <w:rPr>
      <w:color w:val="808080"/>
      <w:shd w:val="clear" w:color="auto" w:fill="E6E6E6"/>
    </w:rPr>
  </w:style>
  <w:style w:type="character" w:customStyle="1" w:styleId="TableTextChar">
    <w:name w:val="Table Text Char"/>
    <w:link w:val="TableText"/>
    <w:rsid w:val="00E45697"/>
    <w:rPr>
      <w:rFonts w:ascii="Arial" w:hAnsi="Arial"/>
      <w:iCs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qgcio.qld.gov.au/qgcio/architectureandstandards/informationstandards/current/Pages/InformationAccessandUse.aspx" TargetMode="External"/><Relationship Id="rId26" Type="http://schemas.openxmlformats.org/officeDocument/2006/relationships/hyperlink" Target="https://www.oic.qld.gov.au/guidelines/for-government/access-and-amendment/proactive-disclosure/proactive-disclosure-and-publication-schemes" TargetMode="External"/><Relationship Id="rId39" Type="http://schemas.openxmlformats.org/officeDocument/2006/relationships/hyperlink" Target="https://www.legislation.qld.gov.au/view/whole/html/inforce/current/act-2009-013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www.legislation.qld.gov.au/view/whole/html/inforce/current/act-2009-013" TargetMode="External"/><Relationship Id="rId42" Type="http://schemas.openxmlformats.org/officeDocument/2006/relationships/hyperlink" Target="https://www.legislation.qld.gov.au/view/whole/html/inforce/current/act-2009-013" TargetMode="External"/><Relationship Id="rId47" Type="http://schemas.openxmlformats.org/officeDocument/2006/relationships/hyperlink" Target="https://www.legislation.qld.gov.au/view/whole/html/inforce/current/act-2009-013" TargetMode="External"/><Relationship Id="rId50" Type="http://schemas.openxmlformats.org/officeDocument/2006/relationships/hyperlink" Target="https://www.legislation.qld.gov.au/view/whole/html/inforce/current/act-2009-013" TargetMode="External"/><Relationship Id="rId55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mailto:qgcio@qgcio.qld.gov.au" TargetMode="External"/><Relationship Id="rId17" Type="http://schemas.openxmlformats.org/officeDocument/2006/relationships/hyperlink" Target="http://www.rti.qld.gov.au/__data/assets/pdf_file/0019/107632/solomon-report.pdf" TargetMode="External"/><Relationship Id="rId25" Type="http://schemas.openxmlformats.org/officeDocument/2006/relationships/footer" Target="footer3.xml"/><Relationship Id="rId33" Type="http://schemas.openxmlformats.org/officeDocument/2006/relationships/hyperlink" Target="https://www.qgcio.qld.gov.au/documents/information-security-classification-framework-qgiscf" TargetMode="External"/><Relationship Id="rId38" Type="http://schemas.openxmlformats.org/officeDocument/2006/relationships/hyperlink" Target="https://www.legislation.qld.gov.au/view/whole/html/inforce/current/act-2009-013" TargetMode="External"/><Relationship Id="rId46" Type="http://schemas.openxmlformats.org/officeDocument/2006/relationships/hyperlink" Target="https://www.legislation.qld.gov.au/view/whole/html/inforce/current/act-2009-013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oic.qld.gov.au/files/RTIGuidelines/Guideline%20-%20Administrative%20release%20of%20information%20-%2002-07-09.pdf" TargetMode="External"/><Relationship Id="rId29" Type="http://schemas.openxmlformats.org/officeDocument/2006/relationships/hyperlink" Target="https://www.qgcio.qld.gov.au/documents/information-access-and-use-guideline" TargetMode="External"/><Relationship Id="rId41" Type="http://schemas.openxmlformats.org/officeDocument/2006/relationships/hyperlink" Target="https://www.legislation.qld.gov.au/view/whole/html/inforce/current/act-2009-013" TargetMode="External"/><Relationship Id="rId54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5.xml"/><Relationship Id="rId32" Type="http://schemas.openxmlformats.org/officeDocument/2006/relationships/hyperlink" Target="https://creativecommons.org/" TargetMode="External"/><Relationship Id="rId37" Type="http://schemas.openxmlformats.org/officeDocument/2006/relationships/hyperlink" Target="https://www.forgov.qld.gov.au/apply-metadata-records" TargetMode="External"/><Relationship Id="rId40" Type="http://schemas.openxmlformats.org/officeDocument/2006/relationships/hyperlink" Target="https://www.legislation.qld.gov.au/view/whole/html/inforce/current/act-2009-013" TargetMode="External"/><Relationship Id="rId45" Type="http://schemas.openxmlformats.org/officeDocument/2006/relationships/hyperlink" Target="https://www.legislation.qld.gov.au/view/whole/html/inforce/current/act-2009-013" TargetMode="External"/><Relationship Id="rId53" Type="http://schemas.openxmlformats.org/officeDocument/2006/relationships/hyperlink" Target="https://www.qgcio.qld.gov.au/documents/information-security-classification-framework-qgisc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4.png"/><Relationship Id="rId28" Type="http://schemas.openxmlformats.org/officeDocument/2006/relationships/hyperlink" Target="https://www.oic.qld.gov.au/guidelines/for-government/access-and-amendment/disclosure-logs" TargetMode="External"/><Relationship Id="rId36" Type="http://schemas.openxmlformats.org/officeDocument/2006/relationships/hyperlink" Target="http://creativecommons.org.au/" TargetMode="External"/><Relationship Id="rId49" Type="http://schemas.openxmlformats.org/officeDocument/2006/relationships/hyperlink" Target="https://www.legislation.qld.gov.au/view/whole/html/inforce/current/act-2009-013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oic.qld.gov.au/guidelines/for-government/access-and-amendment/proactive-disclosure/administrative-release-of-information" TargetMode="External"/><Relationship Id="rId31" Type="http://schemas.openxmlformats.org/officeDocument/2006/relationships/hyperlink" Target="https://www.oic.qld.gov.au/guidelines/for-government/access-and-amendment/proactive-disclosure/administrative-release-of-information" TargetMode="External"/><Relationship Id="rId44" Type="http://schemas.openxmlformats.org/officeDocument/2006/relationships/hyperlink" Target="https://www.legislation.qld.gov.au/view/whole/html/inforce/current/act-2009-013" TargetMode="External"/><Relationship Id="rId52" Type="http://schemas.openxmlformats.org/officeDocument/2006/relationships/hyperlink" Target="https://www.qld.gov.au/dsiti/assets/documents/ip-principl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hyperlink" Target="https://www.oic.qld.gov.au/guidelines/for-government/access-and-amendment/proactive-disclosure/administrative-release-of-information" TargetMode="External"/><Relationship Id="rId30" Type="http://schemas.openxmlformats.org/officeDocument/2006/relationships/hyperlink" Target="https://www.qgcio.qld.gov.au/documents/implementing-information-governance-guideline" TargetMode="External"/><Relationship Id="rId35" Type="http://schemas.openxmlformats.org/officeDocument/2006/relationships/hyperlink" Target="https://www.qgcio.qld.gov.au/documents/information-security-classification-framework-qgiscf" TargetMode="External"/><Relationship Id="rId43" Type="http://schemas.openxmlformats.org/officeDocument/2006/relationships/hyperlink" Target="https://www.legislation.qld.gov.au/view/whole/html/inforce/current/act-2009-013" TargetMode="External"/><Relationship Id="rId48" Type="http://schemas.openxmlformats.org/officeDocument/2006/relationships/hyperlink" Target="https://www.legislation.qld.gov.au/view/whole/html/inforce/current/act-2009-013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qgcio@qgcio.qld.gov.au" TargetMode="External"/><Relationship Id="rId51" Type="http://schemas.openxmlformats.org/officeDocument/2006/relationships/hyperlink" Target="https://www.forgov.qld.gov.au/apply-metadata-records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qgcio.qld.gov.au/documents/information-architecture-white-paper" TargetMode="External"/><Relationship Id="rId2" Type="http://schemas.openxmlformats.org/officeDocument/2006/relationships/hyperlink" Target="http://www.oic.qld.gov.au/files/Guideline%20-%20Administrative%20release%20of%20information.pdf" TargetMode="External"/><Relationship Id="rId1" Type="http://schemas.openxmlformats.org/officeDocument/2006/relationships/hyperlink" Target="https://www.qld.gov.au/about/rights-accountability/right-to-information/assets/right-to-informat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AE2C-A65E-4709-B50D-5CB5DA88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3620</Words>
  <Characters>27149</Characters>
  <Application>Microsoft Office Word</Application>
  <DocSecurity>4</DocSecurity>
  <Lines>226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type document title</vt:lpstr>
    </vt:vector>
  </TitlesOfParts>
  <Company>QGCIO</Company>
  <LinksUpToDate>false</LinksUpToDate>
  <CharactersWithSpaces>30708</CharactersWithSpaces>
  <SharedDoc>false</SharedDoc>
  <HLinks>
    <vt:vector size="84" baseType="variant">
      <vt:variant>
        <vt:i4>1769529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_Toc220983342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_Toc242600057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_Toc337112813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_Toc337112812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_Toc337112811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_Toc337112810</vt:lpwstr>
      </vt:variant>
      <vt:variant>
        <vt:i4>1507389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_Toc337112809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_Toc337112808</vt:lpwstr>
      </vt:variant>
      <vt:variant>
        <vt:i4>1507389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_Toc337112807</vt:lpwstr>
      </vt:variant>
      <vt:variant>
        <vt:i4>1507389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_Toc337112806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_Toc337112805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_Toc337112804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_Toc337112803</vt:lpwstr>
      </vt:variant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http://creativecommons.org/licenses/by/2.5/au/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type document title</dc:title>
  <dc:subject>QGEA generic report</dc:subject>
  <dc:creator>Lisa Irwin</dc:creator>
  <cp:keywords/>
  <dc:description/>
  <cp:lastModifiedBy>Wendy Corn</cp:lastModifiedBy>
  <cp:revision>2</cp:revision>
  <cp:lastPrinted>2011-02-16T03:33:00Z</cp:lastPrinted>
  <dcterms:created xsi:type="dcterms:W3CDTF">2018-03-01T00:49:00Z</dcterms:created>
  <dcterms:modified xsi:type="dcterms:W3CDTF">2018-03-01T00:49:00Z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</vt:lpwstr>
  </property>
  <property fmtid="{D5CDD505-2E9C-101B-9397-08002B2CF9AE}" pid="3" name="Date completed">
    <vt:lpwstr>19 June 2010</vt:lpwstr>
  </property>
  <property fmtid="{D5CDD505-2E9C-101B-9397-08002B2CF9AE}" pid="4" name="Template">
    <vt:lpwstr>QGEA generic report</vt:lpwstr>
  </property>
</Properties>
</file>