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5A18622B" w:rsidR="00AF090D" w:rsidRPr="00083269" w:rsidRDefault="00083269" w:rsidP="00083269">
      <w:pPr>
        <w:pStyle w:val="Title"/>
        <w:rPr>
          <w:rStyle w:val="SubtleEmphasis"/>
          <w:rFonts w:ascii="Arial Nova" w:hAnsi="Arial Nova"/>
          <w:b w:val="0"/>
          <w:bCs/>
          <w:i w:val="0"/>
          <w:iCs w:val="0"/>
          <w:color w:val="FFFFFF" w:themeColor="background1"/>
          <w:sz w:val="56"/>
        </w:rPr>
      </w:pPr>
      <w:r>
        <w:rPr>
          <w:rFonts w:ascii="Arial Nova" w:hAnsi="Arial Nova"/>
          <w:bCs/>
        </w:rPr>
        <w:t>Probity and integrity in procurement guide</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29A180FF" w14:textId="77777777" w:rsidR="00083269" w:rsidRDefault="00083269" w:rsidP="00083269">
      <w:pPr>
        <w:rPr>
          <w:b/>
          <w:i/>
          <w:sz w:val="18"/>
        </w:rPr>
      </w:pPr>
    </w:p>
    <w:p w14:paraId="33DE6FBC" w14:textId="77777777" w:rsidR="00083269" w:rsidRDefault="00083269" w:rsidP="00083269">
      <w:pPr>
        <w:rPr>
          <w:b/>
          <w:i/>
          <w:sz w:val="18"/>
        </w:rPr>
      </w:pPr>
    </w:p>
    <w:p w14:paraId="77714281" w14:textId="77777777" w:rsidR="00083269" w:rsidRDefault="00083269" w:rsidP="00083269">
      <w:pPr>
        <w:rPr>
          <w:b/>
          <w:i/>
          <w:sz w:val="18"/>
        </w:rPr>
      </w:pPr>
    </w:p>
    <w:p w14:paraId="4F114C71" w14:textId="77777777" w:rsidR="00083269" w:rsidRDefault="00083269" w:rsidP="00083269">
      <w:pPr>
        <w:rPr>
          <w:b/>
          <w:i/>
          <w:sz w:val="18"/>
        </w:rPr>
      </w:pPr>
    </w:p>
    <w:p w14:paraId="65AE755F" w14:textId="77777777" w:rsidR="00083269" w:rsidRDefault="00083269" w:rsidP="00083269">
      <w:pPr>
        <w:rPr>
          <w:b/>
          <w:i/>
          <w:sz w:val="18"/>
        </w:rPr>
      </w:pPr>
    </w:p>
    <w:p w14:paraId="70D9B40C" w14:textId="77777777" w:rsidR="00083269" w:rsidRDefault="00083269" w:rsidP="00083269">
      <w:pPr>
        <w:rPr>
          <w:b/>
          <w:i/>
          <w:sz w:val="18"/>
        </w:rPr>
      </w:pPr>
    </w:p>
    <w:p w14:paraId="6ADD17D5" w14:textId="77777777" w:rsidR="00083269" w:rsidRDefault="00083269" w:rsidP="00083269">
      <w:pPr>
        <w:rPr>
          <w:b/>
          <w:i/>
          <w:sz w:val="18"/>
        </w:rPr>
      </w:pPr>
    </w:p>
    <w:p w14:paraId="3EE840BD" w14:textId="77777777" w:rsidR="00083269" w:rsidRDefault="00083269" w:rsidP="00083269">
      <w:pPr>
        <w:rPr>
          <w:b/>
          <w:i/>
          <w:sz w:val="18"/>
        </w:rPr>
      </w:pPr>
    </w:p>
    <w:p w14:paraId="6F085DF6" w14:textId="77777777" w:rsidR="00083269" w:rsidRDefault="00083269" w:rsidP="00083269">
      <w:pPr>
        <w:rPr>
          <w:b/>
          <w:i/>
          <w:sz w:val="18"/>
        </w:rPr>
      </w:pPr>
    </w:p>
    <w:p w14:paraId="1DAFFE96" w14:textId="77777777" w:rsidR="00083269" w:rsidRDefault="00083269" w:rsidP="00083269">
      <w:pPr>
        <w:rPr>
          <w:b/>
          <w:i/>
          <w:sz w:val="18"/>
        </w:rPr>
      </w:pPr>
    </w:p>
    <w:p w14:paraId="03C692C4" w14:textId="77777777" w:rsidR="00083269" w:rsidRDefault="00083269" w:rsidP="00083269">
      <w:pPr>
        <w:rPr>
          <w:b/>
          <w:i/>
          <w:sz w:val="18"/>
        </w:rPr>
      </w:pPr>
    </w:p>
    <w:p w14:paraId="73F92D9C" w14:textId="77777777" w:rsidR="00083269" w:rsidRPr="00385067" w:rsidRDefault="00083269" w:rsidP="00083269">
      <w:pPr>
        <w:rPr>
          <w:b/>
          <w:i/>
          <w:sz w:val="18"/>
        </w:rPr>
      </w:pPr>
      <w:r>
        <w:rPr>
          <w:b/>
          <w:i/>
          <w:sz w:val="18"/>
        </w:rPr>
        <w:t>Probity and integrity in procurement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083269" w14:paraId="1FFCDC4C" w14:textId="77777777" w:rsidTr="0037352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957B3A8" w14:textId="77777777" w:rsidR="00083269" w:rsidRDefault="00083269" w:rsidP="00373528">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49402C7" w14:textId="77777777" w:rsidR="00083269" w:rsidRDefault="00083269" w:rsidP="00373528">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6D3B88D2" w14:textId="77777777" w:rsidR="00083269" w:rsidRDefault="00083269" w:rsidP="00373528">
            <w:pPr>
              <w:jc w:val="center"/>
              <w:rPr>
                <w:rFonts w:cs="Arial"/>
              </w:rPr>
            </w:pPr>
            <w:r>
              <w:rPr>
                <w:rFonts w:cs="Arial"/>
                <w:b/>
                <w:bCs/>
                <w:color w:val="FFFFFF" w:themeColor="background1"/>
              </w:rPr>
              <w:t>Comments</w:t>
            </w:r>
          </w:p>
        </w:tc>
      </w:tr>
      <w:tr w:rsidR="00083269" w:rsidRPr="00986344" w14:paraId="2AF77B2E" w14:textId="77777777" w:rsidTr="0037352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29C1AC3" w14:textId="77777777" w:rsidR="00083269" w:rsidRPr="00CF48F4" w:rsidRDefault="00083269" w:rsidP="00373528">
            <w:pPr>
              <w:rPr>
                <w:rFonts w:cs="Arial"/>
                <w:sz w:val="16"/>
                <w:szCs w:val="16"/>
              </w:rPr>
            </w:pPr>
            <w:r>
              <w:rPr>
                <w:rFonts w:cs="Arial"/>
                <w:sz w:val="16"/>
                <w:szCs w:val="16"/>
              </w:rPr>
              <w:t>v3.1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9BB8BCB" w14:textId="77777777" w:rsidR="00083269" w:rsidRPr="00CF48F4" w:rsidRDefault="00083269" w:rsidP="00373528">
            <w:pPr>
              <w:rPr>
                <w:rFonts w:cs="Arial"/>
                <w:sz w:val="16"/>
                <w:szCs w:val="16"/>
              </w:rPr>
            </w:pPr>
            <w:r>
              <w:rPr>
                <w:rFonts w:cs="Arial"/>
                <w:sz w:val="16"/>
                <w:szCs w:val="16"/>
              </w:rPr>
              <w:t>June 2021</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AEEEC99" w14:textId="77777777" w:rsidR="00083269" w:rsidRPr="00CF48F4" w:rsidRDefault="00083269" w:rsidP="00373528">
            <w:pPr>
              <w:rPr>
                <w:rFonts w:cs="Arial"/>
                <w:sz w:val="16"/>
                <w:szCs w:val="16"/>
              </w:rPr>
            </w:pPr>
            <w:r>
              <w:rPr>
                <w:rFonts w:cs="Arial"/>
                <w:sz w:val="16"/>
                <w:szCs w:val="16"/>
              </w:rPr>
              <w:t>Published</w:t>
            </w:r>
          </w:p>
        </w:tc>
      </w:tr>
      <w:tr w:rsidR="00083269" w14:paraId="129AEEB6" w14:textId="77777777" w:rsidTr="0037352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3D6621" w14:textId="77777777" w:rsidR="00083269" w:rsidRPr="006B61ED" w:rsidRDefault="00083269" w:rsidP="00373528">
            <w:pPr>
              <w:rPr>
                <w:rFonts w:cs="Arial"/>
                <w:sz w:val="16"/>
                <w:szCs w:val="16"/>
              </w:rPr>
            </w:pPr>
            <w:r>
              <w:rPr>
                <w:rFonts w:cs="Arial"/>
                <w:sz w:val="16"/>
                <w:szCs w:val="16"/>
              </w:rPr>
              <w:t>v3.2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583F8B3" w14:textId="77777777" w:rsidR="00083269" w:rsidRDefault="00083269" w:rsidP="00373528">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2E8B67C" w14:textId="77777777" w:rsidR="00083269" w:rsidRDefault="00083269" w:rsidP="00373528">
            <w:pPr>
              <w:rPr>
                <w:rFonts w:cs="Arial"/>
                <w:sz w:val="16"/>
                <w:szCs w:val="16"/>
              </w:rPr>
            </w:pPr>
            <w:r>
              <w:rPr>
                <w:rFonts w:cs="Arial"/>
                <w:sz w:val="16"/>
                <w:szCs w:val="16"/>
              </w:rPr>
              <w:t>Minor updates made – highlights:</w:t>
            </w:r>
          </w:p>
          <w:p w14:paraId="34AD6327" w14:textId="77777777" w:rsidR="00083269" w:rsidRDefault="00083269" w:rsidP="00083269">
            <w:pPr>
              <w:pStyle w:val="ListParagraph"/>
              <w:numPr>
                <w:ilvl w:val="0"/>
                <w:numId w:val="36"/>
              </w:numPr>
              <w:spacing w:after="0"/>
              <w:rPr>
                <w:rFonts w:cs="Arial"/>
                <w:sz w:val="16"/>
                <w:szCs w:val="16"/>
              </w:rPr>
            </w:pPr>
            <w:r>
              <w:rPr>
                <w:rFonts w:cs="Arial"/>
                <w:sz w:val="16"/>
                <w:szCs w:val="16"/>
              </w:rPr>
              <w:t>DHPW corporate branding</w:t>
            </w:r>
          </w:p>
          <w:p w14:paraId="7AC19A2C" w14:textId="77777777" w:rsidR="00083269" w:rsidRDefault="00083269" w:rsidP="00083269">
            <w:pPr>
              <w:pStyle w:val="ListParagraph"/>
              <w:numPr>
                <w:ilvl w:val="0"/>
                <w:numId w:val="36"/>
              </w:numPr>
              <w:spacing w:after="0"/>
              <w:rPr>
                <w:rFonts w:cs="Arial"/>
                <w:sz w:val="16"/>
                <w:szCs w:val="16"/>
              </w:rPr>
            </w:pPr>
            <w:r>
              <w:rPr>
                <w:rFonts w:cs="Arial"/>
                <w:sz w:val="16"/>
                <w:szCs w:val="16"/>
              </w:rPr>
              <w:t>Machinery-of-government changes</w:t>
            </w:r>
          </w:p>
          <w:p w14:paraId="70447401" w14:textId="77777777" w:rsidR="00083269" w:rsidRDefault="00083269" w:rsidP="00083269">
            <w:pPr>
              <w:pStyle w:val="ListParagraph"/>
              <w:numPr>
                <w:ilvl w:val="0"/>
                <w:numId w:val="36"/>
              </w:numPr>
              <w:spacing w:after="0"/>
              <w:rPr>
                <w:rFonts w:cs="Arial"/>
                <w:sz w:val="16"/>
                <w:szCs w:val="16"/>
              </w:rPr>
            </w:pPr>
            <w:r>
              <w:rPr>
                <w:rFonts w:cs="Arial"/>
                <w:sz w:val="16"/>
                <w:szCs w:val="16"/>
              </w:rPr>
              <w:t>Hyperlinks verified and updated or removed</w:t>
            </w:r>
          </w:p>
          <w:p w14:paraId="0D234B78" w14:textId="77777777" w:rsidR="00083269" w:rsidRDefault="00083269" w:rsidP="00083269">
            <w:pPr>
              <w:pStyle w:val="ListParagraph"/>
              <w:numPr>
                <w:ilvl w:val="0"/>
                <w:numId w:val="36"/>
              </w:numPr>
              <w:spacing w:after="0"/>
              <w:rPr>
                <w:rFonts w:cs="Arial"/>
                <w:sz w:val="16"/>
                <w:szCs w:val="16"/>
              </w:rPr>
            </w:pPr>
            <w:r>
              <w:rPr>
                <w:rFonts w:cs="Arial"/>
                <w:sz w:val="16"/>
                <w:szCs w:val="16"/>
              </w:rPr>
              <w:t>Document date updated</w:t>
            </w:r>
          </w:p>
          <w:p w14:paraId="1E12ECDF" w14:textId="77777777" w:rsidR="00083269" w:rsidRDefault="00083269" w:rsidP="00083269">
            <w:pPr>
              <w:pStyle w:val="ListParagraph"/>
              <w:numPr>
                <w:ilvl w:val="0"/>
                <w:numId w:val="36"/>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5715FC47" w14:textId="77777777" w:rsidR="00083269" w:rsidRDefault="00083269" w:rsidP="00083269">
            <w:pPr>
              <w:pStyle w:val="ListParagraph"/>
              <w:numPr>
                <w:ilvl w:val="0"/>
                <w:numId w:val="36"/>
              </w:numPr>
              <w:spacing w:after="0"/>
              <w:rPr>
                <w:rFonts w:cs="Arial"/>
                <w:sz w:val="16"/>
                <w:szCs w:val="16"/>
              </w:rPr>
            </w:pPr>
            <w:r>
              <w:rPr>
                <w:rFonts w:cs="Arial"/>
                <w:sz w:val="16"/>
                <w:szCs w:val="16"/>
              </w:rPr>
              <w:t>Updated document title</w:t>
            </w:r>
          </w:p>
          <w:p w14:paraId="017C24C3" w14:textId="77777777" w:rsidR="00083269" w:rsidRPr="00414B51" w:rsidRDefault="00083269" w:rsidP="00083269">
            <w:pPr>
              <w:pStyle w:val="ListParagraph"/>
              <w:numPr>
                <w:ilvl w:val="0"/>
                <w:numId w:val="36"/>
              </w:numPr>
              <w:spacing w:after="0"/>
              <w:rPr>
                <w:rFonts w:cs="Arial"/>
                <w:sz w:val="16"/>
                <w:szCs w:val="16"/>
              </w:rPr>
            </w:pPr>
            <w:r>
              <w:rPr>
                <w:rFonts w:cs="Arial"/>
                <w:sz w:val="16"/>
                <w:szCs w:val="16"/>
              </w:rPr>
              <w:t>Removed contextual policy information</w:t>
            </w:r>
          </w:p>
        </w:tc>
      </w:tr>
      <w:tr w:rsidR="00083269" w14:paraId="4C4D9FF1" w14:textId="77777777" w:rsidTr="0037352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FEBC91" w14:textId="697C3376" w:rsidR="00083269" w:rsidRDefault="00083269" w:rsidP="00373528">
            <w:pPr>
              <w:rPr>
                <w:rFonts w:cs="Arial"/>
                <w:sz w:val="16"/>
                <w:szCs w:val="16"/>
              </w:rPr>
            </w:pPr>
            <w:r>
              <w:rPr>
                <w:rFonts w:cs="Arial"/>
                <w:sz w:val="16"/>
                <w:szCs w:val="16"/>
              </w:rPr>
              <w:t>v3.3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A94B0F0" w14:textId="19952F7F" w:rsidR="00083269" w:rsidRDefault="00083269" w:rsidP="00373528">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554ABBE" w14:textId="417944FE" w:rsidR="00083269" w:rsidRDefault="00083269" w:rsidP="00083269">
            <w:pPr>
              <w:rPr>
                <w:rFonts w:cs="Arial"/>
                <w:sz w:val="16"/>
                <w:szCs w:val="16"/>
              </w:rPr>
            </w:pPr>
            <w:r w:rsidRPr="00083269">
              <w:rPr>
                <w:rFonts w:cs="Arial"/>
                <w:sz w:val="16"/>
                <w:szCs w:val="16"/>
                <w:lang w:val="en-AU"/>
              </w:rPr>
              <w:t>Minor updates made - Queensland Government Corporate Branding</w:t>
            </w:r>
          </w:p>
        </w:tc>
      </w:tr>
      <w:bookmarkEnd w:id="0"/>
    </w:tbl>
    <w:p w14:paraId="5CC4737D" w14:textId="77777777" w:rsidR="00083269" w:rsidRDefault="00083269" w:rsidP="00083269">
      <w:pPr>
        <w:rPr>
          <w:b/>
          <w:sz w:val="18"/>
        </w:rPr>
      </w:pPr>
    </w:p>
    <w:p w14:paraId="778F70AA" w14:textId="77777777" w:rsidR="00083269" w:rsidRPr="0039469C" w:rsidRDefault="00083269" w:rsidP="00083269">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54E221A4" w14:textId="77777777" w:rsidR="00083269" w:rsidRDefault="00083269" w:rsidP="00083269">
      <w:pPr>
        <w:rPr>
          <w:sz w:val="18"/>
        </w:rPr>
      </w:pPr>
      <w:r w:rsidRPr="00850C98">
        <w:rPr>
          <w:noProof/>
          <w:sz w:val="18"/>
          <w:lang w:eastAsia="en-AU"/>
        </w:rPr>
        <w:drawing>
          <wp:inline distT="0" distB="0" distL="0" distR="0" wp14:anchorId="48A2EBC7" wp14:editId="2D3BFDA6">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02318266" w14:textId="4FB3B4F8" w:rsidR="00083269" w:rsidRPr="00083269" w:rsidRDefault="00083269" w:rsidP="00083269">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083269">
        <w:rPr>
          <w:rStyle w:val="Hyperlink"/>
          <w:sz w:val="18"/>
        </w:rPr>
        <w:t xml:space="preserve">http://creativecommons.org/licenses/by/4.0/deed.en </w:t>
      </w:r>
    </w:p>
    <w:p w14:paraId="40643329" w14:textId="15B39E0F" w:rsidR="00083269" w:rsidRPr="0039469C" w:rsidRDefault="00083269" w:rsidP="00083269">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Probity and integrity in procurement guide</w:t>
      </w:r>
      <w:r w:rsidRPr="0039469C">
        <w:rPr>
          <w:sz w:val="18"/>
        </w:rPr>
        <w:t xml:space="preserve">, State of Queensland (Department of Housing and Public Works) </w:t>
      </w:r>
      <w:r>
        <w:rPr>
          <w:sz w:val="18"/>
        </w:rPr>
        <w:t>2025</w:t>
      </w:r>
      <w:r w:rsidRPr="0039469C">
        <w:rPr>
          <w:sz w:val="18"/>
        </w:rPr>
        <w:t xml:space="preserve">’. </w:t>
      </w:r>
    </w:p>
    <w:p w14:paraId="5F0B76E6" w14:textId="77777777" w:rsidR="00083269" w:rsidRPr="0039469C" w:rsidRDefault="00083269" w:rsidP="00083269">
      <w:pPr>
        <w:rPr>
          <w:b/>
          <w:sz w:val="18"/>
        </w:rPr>
      </w:pPr>
      <w:r w:rsidRPr="0039469C">
        <w:rPr>
          <w:b/>
          <w:sz w:val="18"/>
        </w:rPr>
        <w:t xml:space="preserve">Contact us </w:t>
      </w:r>
    </w:p>
    <w:p w14:paraId="55DD3F94" w14:textId="16BE1D9D" w:rsidR="00083269" w:rsidRPr="0039469C" w:rsidRDefault="00083269" w:rsidP="00083269">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083269">
          <w:rPr>
            <w:rStyle w:val="Hyperlink"/>
            <w:sz w:val="18"/>
          </w:rPr>
          <w:t>betterprocurement@hpw.qld.gov.au.</w:t>
        </w:r>
      </w:hyperlink>
      <w:r w:rsidRPr="0039469C">
        <w:rPr>
          <w:sz w:val="18"/>
        </w:rPr>
        <w:t xml:space="preserve"> </w:t>
      </w:r>
    </w:p>
    <w:p w14:paraId="23DCEB6E" w14:textId="77777777" w:rsidR="00083269" w:rsidRPr="0039469C" w:rsidRDefault="00083269" w:rsidP="00083269">
      <w:pPr>
        <w:rPr>
          <w:b/>
          <w:sz w:val="18"/>
        </w:rPr>
      </w:pPr>
      <w:r w:rsidRPr="0039469C">
        <w:rPr>
          <w:b/>
          <w:sz w:val="18"/>
        </w:rPr>
        <w:t xml:space="preserve">Disclaimer </w:t>
      </w:r>
    </w:p>
    <w:p w14:paraId="6D40AC8E" w14:textId="77777777" w:rsidR="00083269" w:rsidRPr="0039469C" w:rsidRDefault="00083269" w:rsidP="00083269">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6528BC5E" w14:textId="77777777" w:rsidR="00083269" w:rsidRDefault="00083269" w:rsidP="00083269">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66CF5ADB" w14:textId="77777777" w:rsidR="00083269" w:rsidRPr="00F471EC" w:rsidRDefault="00083269" w:rsidP="00083269">
      <w:pPr>
        <w:rPr>
          <w:b/>
          <w:bCs/>
          <w:sz w:val="18"/>
        </w:rPr>
      </w:pPr>
      <w:r w:rsidRPr="00F471EC">
        <w:rPr>
          <w:b/>
          <w:bCs/>
          <w:sz w:val="18"/>
        </w:rPr>
        <w:t>Administration</w:t>
      </w:r>
    </w:p>
    <w:p w14:paraId="3BDD754D" w14:textId="73C47943" w:rsidR="00083269" w:rsidRDefault="00083269" w:rsidP="00083269">
      <w:r>
        <w:rPr>
          <w:sz w:val="18"/>
        </w:rPr>
        <w:t>Version 3.3 of this document replaces all previous versions of this document and takes effect immediately.</w:t>
      </w:r>
    </w:p>
    <w:sdt>
      <w:sdtPr>
        <w:rPr>
          <w:rFonts w:ascii="Arial" w:eastAsiaTheme="minorEastAsia" w:hAnsi="Arial" w:cstheme="minorBidi"/>
          <w:b/>
          <w:bCs/>
          <w:color w:val="auto"/>
          <w:sz w:val="22"/>
          <w:szCs w:val="22"/>
          <w:lang w:val="en-AU"/>
        </w:rPr>
        <w:id w:val="2130116083"/>
        <w:docPartObj>
          <w:docPartGallery w:val="Table of Contents"/>
          <w:docPartUnique/>
        </w:docPartObj>
      </w:sdtPr>
      <w:sdtEndPr>
        <w:rPr>
          <w:b w:val="0"/>
          <w:bCs w:val="0"/>
          <w:noProof/>
          <w:sz w:val="20"/>
          <w:szCs w:val="20"/>
        </w:rPr>
      </w:sdtEndPr>
      <w:sdtContent>
        <w:p w14:paraId="39E9DA79" w14:textId="77777777" w:rsidR="00083269" w:rsidRPr="0008775D" w:rsidRDefault="00083269" w:rsidP="00083269">
          <w:pPr>
            <w:pStyle w:val="TOCHeading"/>
            <w:rPr>
              <w:rStyle w:val="Heading1Char"/>
            </w:rPr>
          </w:pPr>
          <w:r w:rsidRPr="0008775D">
            <w:rPr>
              <w:rStyle w:val="Heading1Char"/>
            </w:rPr>
            <w:t>Table of Contents</w:t>
          </w:r>
        </w:p>
        <w:p w14:paraId="5B6F2314" w14:textId="77777777" w:rsidR="00083269" w:rsidRDefault="00083269" w:rsidP="00083269">
          <w:pPr>
            <w:pStyle w:val="TOC1"/>
            <w:rPr>
              <w:rFonts w:asciiTheme="minorHAnsi" w:eastAsiaTheme="minorEastAsia" w:hAnsiTheme="minorHAnsi"/>
              <w:noProof/>
              <w:kern w:val="2"/>
              <w:sz w:val="24"/>
              <w:szCs w:val="24"/>
              <w:lang w:eastAsia="en-AU"/>
              <w14:ligatures w14:val="standardContextual"/>
            </w:rPr>
          </w:pPr>
          <w:r>
            <w:rPr>
              <w:rFonts w:eastAsia="Times New Roman" w:cs="Arial"/>
              <w:color w:val="A70236"/>
              <w:sz w:val="22"/>
              <w:szCs w:val="20"/>
              <w:lang w:eastAsia="en-AU"/>
            </w:rPr>
            <w:fldChar w:fldCharType="begin"/>
          </w:r>
          <w:r>
            <w:instrText xml:space="preserve"> TOC \o "1-3" \h \z \u </w:instrText>
          </w:r>
          <w:r>
            <w:rPr>
              <w:rFonts w:eastAsia="Times New Roman" w:cs="Arial"/>
              <w:color w:val="A70236"/>
              <w:sz w:val="22"/>
              <w:szCs w:val="20"/>
              <w:lang w:eastAsia="en-AU"/>
            </w:rPr>
            <w:fldChar w:fldCharType="separate"/>
          </w:r>
          <w:hyperlink w:anchor="_Toc202939756" w:history="1">
            <w:r w:rsidRPr="005C75CD">
              <w:rPr>
                <w:rStyle w:val="Hyperlink"/>
                <w:noProof/>
              </w:rPr>
              <w:t>Introduction</w:t>
            </w:r>
            <w:r>
              <w:rPr>
                <w:noProof/>
                <w:webHidden/>
              </w:rPr>
              <w:tab/>
            </w:r>
            <w:r>
              <w:rPr>
                <w:noProof/>
                <w:webHidden/>
              </w:rPr>
              <w:fldChar w:fldCharType="begin"/>
            </w:r>
            <w:r>
              <w:rPr>
                <w:noProof/>
                <w:webHidden/>
              </w:rPr>
              <w:instrText xml:space="preserve"> PAGEREF _Toc202939756 \h </w:instrText>
            </w:r>
            <w:r>
              <w:rPr>
                <w:noProof/>
                <w:webHidden/>
              </w:rPr>
            </w:r>
            <w:r>
              <w:rPr>
                <w:noProof/>
                <w:webHidden/>
              </w:rPr>
              <w:fldChar w:fldCharType="separate"/>
            </w:r>
            <w:r>
              <w:rPr>
                <w:noProof/>
                <w:webHidden/>
              </w:rPr>
              <w:t>4</w:t>
            </w:r>
            <w:r>
              <w:rPr>
                <w:noProof/>
                <w:webHidden/>
              </w:rPr>
              <w:fldChar w:fldCharType="end"/>
            </w:r>
          </w:hyperlink>
        </w:p>
        <w:p w14:paraId="51A1AF46"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57" w:history="1">
            <w:r w:rsidRPr="005C75CD">
              <w:rPr>
                <w:rStyle w:val="Hyperlink"/>
                <w:noProof/>
              </w:rPr>
              <w:t>Purpose</w:t>
            </w:r>
            <w:r>
              <w:rPr>
                <w:noProof/>
                <w:webHidden/>
              </w:rPr>
              <w:tab/>
            </w:r>
            <w:r>
              <w:rPr>
                <w:noProof/>
                <w:webHidden/>
              </w:rPr>
              <w:fldChar w:fldCharType="begin"/>
            </w:r>
            <w:r>
              <w:rPr>
                <w:noProof/>
                <w:webHidden/>
              </w:rPr>
              <w:instrText xml:space="preserve"> PAGEREF _Toc202939757 \h </w:instrText>
            </w:r>
            <w:r>
              <w:rPr>
                <w:noProof/>
                <w:webHidden/>
              </w:rPr>
            </w:r>
            <w:r>
              <w:rPr>
                <w:noProof/>
                <w:webHidden/>
              </w:rPr>
              <w:fldChar w:fldCharType="separate"/>
            </w:r>
            <w:r>
              <w:rPr>
                <w:noProof/>
                <w:webHidden/>
              </w:rPr>
              <w:t>4</w:t>
            </w:r>
            <w:r>
              <w:rPr>
                <w:noProof/>
                <w:webHidden/>
              </w:rPr>
              <w:fldChar w:fldCharType="end"/>
            </w:r>
          </w:hyperlink>
        </w:p>
        <w:p w14:paraId="42CDF7AE" w14:textId="77777777" w:rsidR="00083269" w:rsidRDefault="00083269" w:rsidP="00083269">
          <w:pPr>
            <w:pStyle w:val="TOC1"/>
            <w:rPr>
              <w:rFonts w:asciiTheme="minorHAnsi" w:eastAsiaTheme="minorEastAsia" w:hAnsiTheme="minorHAnsi"/>
              <w:noProof/>
              <w:kern w:val="2"/>
              <w:sz w:val="24"/>
              <w:szCs w:val="24"/>
              <w:lang w:eastAsia="en-AU"/>
              <w14:ligatures w14:val="standardContextual"/>
            </w:rPr>
          </w:pPr>
          <w:hyperlink w:anchor="_Toc202939758" w:history="1">
            <w:r w:rsidRPr="005C75CD">
              <w:rPr>
                <w:rStyle w:val="Hyperlink"/>
                <w:noProof/>
              </w:rPr>
              <w:t>Probity</w:t>
            </w:r>
            <w:r>
              <w:rPr>
                <w:noProof/>
                <w:webHidden/>
              </w:rPr>
              <w:tab/>
            </w:r>
            <w:r>
              <w:rPr>
                <w:noProof/>
                <w:webHidden/>
              </w:rPr>
              <w:fldChar w:fldCharType="begin"/>
            </w:r>
            <w:r>
              <w:rPr>
                <w:noProof/>
                <w:webHidden/>
              </w:rPr>
              <w:instrText xml:space="preserve"> PAGEREF _Toc202939758 \h </w:instrText>
            </w:r>
            <w:r>
              <w:rPr>
                <w:noProof/>
                <w:webHidden/>
              </w:rPr>
            </w:r>
            <w:r>
              <w:rPr>
                <w:noProof/>
                <w:webHidden/>
              </w:rPr>
              <w:fldChar w:fldCharType="separate"/>
            </w:r>
            <w:r>
              <w:rPr>
                <w:noProof/>
                <w:webHidden/>
              </w:rPr>
              <w:t>4</w:t>
            </w:r>
            <w:r>
              <w:rPr>
                <w:noProof/>
                <w:webHidden/>
              </w:rPr>
              <w:fldChar w:fldCharType="end"/>
            </w:r>
          </w:hyperlink>
        </w:p>
        <w:p w14:paraId="72A3B396"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59" w:history="1">
            <w:r w:rsidRPr="005C75CD">
              <w:rPr>
                <w:rStyle w:val="Hyperlink"/>
                <w:noProof/>
              </w:rPr>
              <w:t>Definition</w:t>
            </w:r>
            <w:r>
              <w:rPr>
                <w:noProof/>
                <w:webHidden/>
              </w:rPr>
              <w:tab/>
            </w:r>
            <w:r>
              <w:rPr>
                <w:noProof/>
                <w:webHidden/>
              </w:rPr>
              <w:fldChar w:fldCharType="begin"/>
            </w:r>
            <w:r>
              <w:rPr>
                <w:noProof/>
                <w:webHidden/>
              </w:rPr>
              <w:instrText xml:space="preserve"> PAGEREF _Toc202939759 \h </w:instrText>
            </w:r>
            <w:r>
              <w:rPr>
                <w:noProof/>
                <w:webHidden/>
              </w:rPr>
            </w:r>
            <w:r>
              <w:rPr>
                <w:noProof/>
                <w:webHidden/>
              </w:rPr>
              <w:fldChar w:fldCharType="separate"/>
            </w:r>
            <w:r>
              <w:rPr>
                <w:noProof/>
                <w:webHidden/>
              </w:rPr>
              <w:t>4</w:t>
            </w:r>
            <w:r>
              <w:rPr>
                <w:noProof/>
                <w:webHidden/>
              </w:rPr>
              <w:fldChar w:fldCharType="end"/>
            </w:r>
          </w:hyperlink>
        </w:p>
        <w:p w14:paraId="0D2D787B"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60" w:history="1">
            <w:r w:rsidRPr="005C75CD">
              <w:rPr>
                <w:rStyle w:val="Hyperlink"/>
                <w:noProof/>
              </w:rPr>
              <w:t>Objectives</w:t>
            </w:r>
            <w:r>
              <w:rPr>
                <w:noProof/>
                <w:webHidden/>
              </w:rPr>
              <w:tab/>
            </w:r>
            <w:r>
              <w:rPr>
                <w:noProof/>
                <w:webHidden/>
              </w:rPr>
              <w:fldChar w:fldCharType="begin"/>
            </w:r>
            <w:r>
              <w:rPr>
                <w:noProof/>
                <w:webHidden/>
              </w:rPr>
              <w:instrText xml:space="preserve"> PAGEREF _Toc202939760 \h </w:instrText>
            </w:r>
            <w:r>
              <w:rPr>
                <w:noProof/>
                <w:webHidden/>
              </w:rPr>
            </w:r>
            <w:r>
              <w:rPr>
                <w:noProof/>
                <w:webHidden/>
              </w:rPr>
              <w:fldChar w:fldCharType="separate"/>
            </w:r>
            <w:r>
              <w:rPr>
                <w:noProof/>
                <w:webHidden/>
              </w:rPr>
              <w:t>4</w:t>
            </w:r>
            <w:r>
              <w:rPr>
                <w:noProof/>
                <w:webHidden/>
              </w:rPr>
              <w:fldChar w:fldCharType="end"/>
            </w:r>
          </w:hyperlink>
        </w:p>
        <w:p w14:paraId="2473CB3F" w14:textId="77777777" w:rsidR="00083269" w:rsidRDefault="00083269" w:rsidP="00083269">
          <w:pPr>
            <w:pStyle w:val="TOC3"/>
            <w:rPr>
              <w:rFonts w:asciiTheme="minorHAnsi" w:eastAsiaTheme="minorEastAsia" w:hAnsiTheme="minorHAnsi"/>
              <w:noProof/>
              <w:kern w:val="2"/>
              <w:sz w:val="24"/>
              <w:szCs w:val="24"/>
              <w:lang w:eastAsia="en-AU"/>
              <w14:ligatures w14:val="standardContextual"/>
            </w:rPr>
          </w:pPr>
          <w:hyperlink w:anchor="_Toc202939761" w:history="1">
            <w:r w:rsidRPr="005C75CD">
              <w:rPr>
                <w:rStyle w:val="Hyperlink"/>
                <w:noProof/>
              </w:rPr>
              <w:t>How probity helps achieve value for money</w:t>
            </w:r>
            <w:r>
              <w:rPr>
                <w:noProof/>
                <w:webHidden/>
              </w:rPr>
              <w:tab/>
            </w:r>
            <w:r>
              <w:rPr>
                <w:noProof/>
                <w:webHidden/>
              </w:rPr>
              <w:fldChar w:fldCharType="begin"/>
            </w:r>
            <w:r>
              <w:rPr>
                <w:noProof/>
                <w:webHidden/>
              </w:rPr>
              <w:instrText xml:space="preserve"> PAGEREF _Toc202939761 \h </w:instrText>
            </w:r>
            <w:r>
              <w:rPr>
                <w:noProof/>
                <w:webHidden/>
              </w:rPr>
            </w:r>
            <w:r>
              <w:rPr>
                <w:noProof/>
                <w:webHidden/>
              </w:rPr>
              <w:fldChar w:fldCharType="separate"/>
            </w:r>
            <w:r>
              <w:rPr>
                <w:noProof/>
                <w:webHidden/>
              </w:rPr>
              <w:t>4</w:t>
            </w:r>
            <w:r>
              <w:rPr>
                <w:noProof/>
                <w:webHidden/>
              </w:rPr>
              <w:fldChar w:fldCharType="end"/>
            </w:r>
          </w:hyperlink>
        </w:p>
        <w:p w14:paraId="0948EB15" w14:textId="77777777" w:rsidR="00083269" w:rsidRDefault="00083269" w:rsidP="00083269">
          <w:pPr>
            <w:pStyle w:val="TOC3"/>
            <w:rPr>
              <w:rFonts w:asciiTheme="minorHAnsi" w:eastAsiaTheme="minorEastAsia" w:hAnsiTheme="minorHAnsi"/>
              <w:noProof/>
              <w:kern w:val="2"/>
              <w:sz w:val="24"/>
              <w:szCs w:val="24"/>
              <w:lang w:eastAsia="en-AU"/>
              <w14:ligatures w14:val="standardContextual"/>
            </w:rPr>
          </w:pPr>
          <w:hyperlink w:anchor="_Toc202939762" w:history="1">
            <w:r w:rsidRPr="005C75CD">
              <w:rPr>
                <w:rStyle w:val="Hyperlink"/>
                <w:noProof/>
              </w:rPr>
              <w:t>Applying probity relative to the value and risk of a procurement</w:t>
            </w:r>
            <w:r>
              <w:rPr>
                <w:noProof/>
                <w:webHidden/>
              </w:rPr>
              <w:tab/>
            </w:r>
            <w:r>
              <w:rPr>
                <w:noProof/>
                <w:webHidden/>
              </w:rPr>
              <w:fldChar w:fldCharType="begin"/>
            </w:r>
            <w:r>
              <w:rPr>
                <w:noProof/>
                <w:webHidden/>
              </w:rPr>
              <w:instrText xml:space="preserve"> PAGEREF _Toc202939762 \h </w:instrText>
            </w:r>
            <w:r>
              <w:rPr>
                <w:noProof/>
                <w:webHidden/>
              </w:rPr>
            </w:r>
            <w:r>
              <w:rPr>
                <w:noProof/>
                <w:webHidden/>
              </w:rPr>
              <w:fldChar w:fldCharType="separate"/>
            </w:r>
            <w:r>
              <w:rPr>
                <w:noProof/>
                <w:webHidden/>
              </w:rPr>
              <w:t>5</w:t>
            </w:r>
            <w:r>
              <w:rPr>
                <w:noProof/>
                <w:webHidden/>
              </w:rPr>
              <w:fldChar w:fldCharType="end"/>
            </w:r>
          </w:hyperlink>
        </w:p>
        <w:p w14:paraId="4D6F4B23"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63" w:history="1">
            <w:r w:rsidRPr="005C75CD">
              <w:rPr>
                <w:rStyle w:val="Hyperlink"/>
                <w:noProof/>
              </w:rPr>
              <w:t>Legislative context</w:t>
            </w:r>
            <w:r>
              <w:rPr>
                <w:noProof/>
                <w:webHidden/>
              </w:rPr>
              <w:tab/>
            </w:r>
            <w:r>
              <w:rPr>
                <w:noProof/>
                <w:webHidden/>
              </w:rPr>
              <w:fldChar w:fldCharType="begin"/>
            </w:r>
            <w:r>
              <w:rPr>
                <w:noProof/>
                <w:webHidden/>
              </w:rPr>
              <w:instrText xml:space="preserve"> PAGEREF _Toc202939763 \h </w:instrText>
            </w:r>
            <w:r>
              <w:rPr>
                <w:noProof/>
                <w:webHidden/>
              </w:rPr>
            </w:r>
            <w:r>
              <w:rPr>
                <w:noProof/>
                <w:webHidden/>
              </w:rPr>
              <w:fldChar w:fldCharType="separate"/>
            </w:r>
            <w:r>
              <w:rPr>
                <w:noProof/>
                <w:webHidden/>
              </w:rPr>
              <w:t>5</w:t>
            </w:r>
            <w:r>
              <w:rPr>
                <w:noProof/>
                <w:webHidden/>
              </w:rPr>
              <w:fldChar w:fldCharType="end"/>
            </w:r>
          </w:hyperlink>
        </w:p>
        <w:p w14:paraId="41A254A2"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64" w:history="1">
            <w:r w:rsidRPr="005C75CD">
              <w:rPr>
                <w:rStyle w:val="Hyperlink"/>
                <w:noProof/>
              </w:rPr>
              <w:t>Embedding a probity culture – fraud and corruption risks within procurement</w:t>
            </w:r>
            <w:r>
              <w:rPr>
                <w:noProof/>
                <w:webHidden/>
              </w:rPr>
              <w:tab/>
            </w:r>
            <w:r>
              <w:rPr>
                <w:noProof/>
                <w:webHidden/>
              </w:rPr>
              <w:fldChar w:fldCharType="begin"/>
            </w:r>
            <w:r>
              <w:rPr>
                <w:noProof/>
                <w:webHidden/>
              </w:rPr>
              <w:instrText xml:space="preserve"> PAGEREF _Toc202939764 \h </w:instrText>
            </w:r>
            <w:r>
              <w:rPr>
                <w:noProof/>
                <w:webHidden/>
              </w:rPr>
            </w:r>
            <w:r>
              <w:rPr>
                <w:noProof/>
                <w:webHidden/>
              </w:rPr>
              <w:fldChar w:fldCharType="separate"/>
            </w:r>
            <w:r>
              <w:rPr>
                <w:noProof/>
                <w:webHidden/>
              </w:rPr>
              <w:t>5</w:t>
            </w:r>
            <w:r>
              <w:rPr>
                <w:noProof/>
                <w:webHidden/>
              </w:rPr>
              <w:fldChar w:fldCharType="end"/>
            </w:r>
          </w:hyperlink>
        </w:p>
        <w:p w14:paraId="0B95994E"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65" w:history="1">
            <w:r w:rsidRPr="005C75CD">
              <w:rPr>
                <w:rStyle w:val="Hyperlink"/>
                <w:noProof/>
              </w:rPr>
              <w:t>Embedding a probity culture – four focus areas</w:t>
            </w:r>
            <w:r>
              <w:rPr>
                <w:noProof/>
                <w:webHidden/>
              </w:rPr>
              <w:tab/>
            </w:r>
            <w:r>
              <w:rPr>
                <w:noProof/>
                <w:webHidden/>
              </w:rPr>
              <w:fldChar w:fldCharType="begin"/>
            </w:r>
            <w:r>
              <w:rPr>
                <w:noProof/>
                <w:webHidden/>
              </w:rPr>
              <w:instrText xml:space="preserve"> PAGEREF _Toc202939765 \h </w:instrText>
            </w:r>
            <w:r>
              <w:rPr>
                <w:noProof/>
                <w:webHidden/>
              </w:rPr>
            </w:r>
            <w:r>
              <w:rPr>
                <w:noProof/>
                <w:webHidden/>
              </w:rPr>
              <w:fldChar w:fldCharType="separate"/>
            </w:r>
            <w:r>
              <w:rPr>
                <w:noProof/>
                <w:webHidden/>
              </w:rPr>
              <w:t>6</w:t>
            </w:r>
            <w:r>
              <w:rPr>
                <w:noProof/>
                <w:webHidden/>
              </w:rPr>
              <w:fldChar w:fldCharType="end"/>
            </w:r>
          </w:hyperlink>
        </w:p>
        <w:p w14:paraId="0526FFA2" w14:textId="77777777" w:rsidR="00083269" w:rsidRDefault="00083269" w:rsidP="00083269">
          <w:pPr>
            <w:pStyle w:val="TOC3"/>
            <w:rPr>
              <w:rFonts w:asciiTheme="minorHAnsi" w:eastAsiaTheme="minorEastAsia" w:hAnsiTheme="minorHAnsi"/>
              <w:noProof/>
              <w:kern w:val="2"/>
              <w:sz w:val="24"/>
              <w:szCs w:val="24"/>
              <w:lang w:eastAsia="en-AU"/>
              <w14:ligatures w14:val="standardContextual"/>
            </w:rPr>
          </w:pPr>
          <w:hyperlink w:anchor="_Toc202939766" w:history="1">
            <w:r w:rsidRPr="005C75CD">
              <w:rPr>
                <w:rStyle w:val="Hyperlink"/>
                <w:noProof/>
              </w:rPr>
              <w:t>1.</w:t>
            </w:r>
            <w:r>
              <w:rPr>
                <w:rFonts w:asciiTheme="minorHAnsi" w:eastAsiaTheme="minorEastAsia" w:hAnsiTheme="minorHAnsi"/>
                <w:noProof/>
                <w:kern w:val="2"/>
                <w:sz w:val="24"/>
                <w:szCs w:val="24"/>
                <w:lang w:eastAsia="en-AU"/>
                <w14:ligatures w14:val="standardContextual"/>
              </w:rPr>
              <w:tab/>
            </w:r>
            <w:r w:rsidRPr="005C75CD">
              <w:rPr>
                <w:rStyle w:val="Hyperlink"/>
                <w:noProof/>
              </w:rPr>
              <w:t>Fairness and impartiality</w:t>
            </w:r>
            <w:r>
              <w:rPr>
                <w:noProof/>
                <w:webHidden/>
              </w:rPr>
              <w:tab/>
            </w:r>
            <w:r>
              <w:rPr>
                <w:noProof/>
                <w:webHidden/>
              </w:rPr>
              <w:fldChar w:fldCharType="begin"/>
            </w:r>
            <w:r>
              <w:rPr>
                <w:noProof/>
                <w:webHidden/>
              </w:rPr>
              <w:instrText xml:space="preserve"> PAGEREF _Toc202939766 \h </w:instrText>
            </w:r>
            <w:r>
              <w:rPr>
                <w:noProof/>
                <w:webHidden/>
              </w:rPr>
            </w:r>
            <w:r>
              <w:rPr>
                <w:noProof/>
                <w:webHidden/>
              </w:rPr>
              <w:fldChar w:fldCharType="separate"/>
            </w:r>
            <w:r>
              <w:rPr>
                <w:noProof/>
                <w:webHidden/>
              </w:rPr>
              <w:t>6</w:t>
            </w:r>
            <w:r>
              <w:rPr>
                <w:noProof/>
                <w:webHidden/>
              </w:rPr>
              <w:fldChar w:fldCharType="end"/>
            </w:r>
          </w:hyperlink>
        </w:p>
        <w:p w14:paraId="4429A977" w14:textId="77777777" w:rsidR="00083269" w:rsidRDefault="00083269" w:rsidP="00083269">
          <w:pPr>
            <w:pStyle w:val="TOC3"/>
            <w:rPr>
              <w:rFonts w:asciiTheme="minorHAnsi" w:eastAsiaTheme="minorEastAsia" w:hAnsiTheme="minorHAnsi"/>
              <w:noProof/>
              <w:kern w:val="2"/>
              <w:sz w:val="24"/>
              <w:szCs w:val="24"/>
              <w:lang w:eastAsia="en-AU"/>
              <w14:ligatures w14:val="standardContextual"/>
            </w:rPr>
          </w:pPr>
          <w:hyperlink w:anchor="_Toc202939767" w:history="1">
            <w:r w:rsidRPr="005C75CD">
              <w:rPr>
                <w:rStyle w:val="Hyperlink"/>
                <w:noProof/>
              </w:rPr>
              <w:t>2.</w:t>
            </w:r>
            <w:r>
              <w:rPr>
                <w:rFonts w:asciiTheme="minorHAnsi" w:eastAsiaTheme="minorEastAsia" w:hAnsiTheme="minorHAnsi"/>
                <w:noProof/>
                <w:kern w:val="2"/>
                <w:sz w:val="24"/>
                <w:szCs w:val="24"/>
                <w:lang w:eastAsia="en-AU"/>
                <w14:ligatures w14:val="standardContextual"/>
              </w:rPr>
              <w:tab/>
            </w:r>
            <w:r w:rsidRPr="005C75CD">
              <w:rPr>
                <w:rStyle w:val="Hyperlink"/>
                <w:noProof/>
              </w:rPr>
              <w:t>Accountability and transparency of decisions and process</w:t>
            </w:r>
            <w:r>
              <w:rPr>
                <w:noProof/>
                <w:webHidden/>
              </w:rPr>
              <w:tab/>
            </w:r>
            <w:r>
              <w:rPr>
                <w:noProof/>
                <w:webHidden/>
              </w:rPr>
              <w:fldChar w:fldCharType="begin"/>
            </w:r>
            <w:r>
              <w:rPr>
                <w:noProof/>
                <w:webHidden/>
              </w:rPr>
              <w:instrText xml:space="preserve"> PAGEREF _Toc202939767 \h </w:instrText>
            </w:r>
            <w:r>
              <w:rPr>
                <w:noProof/>
                <w:webHidden/>
              </w:rPr>
            </w:r>
            <w:r>
              <w:rPr>
                <w:noProof/>
                <w:webHidden/>
              </w:rPr>
              <w:fldChar w:fldCharType="separate"/>
            </w:r>
            <w:r>
              <w:rPr>
                <w:noProof/>
                <w:webHidden/>
              </w:rPr>
              <w:t>7</w:t>
            </w:r>
            <w:r>
              <w:rPr>
                <w:noProof/>
                <w:webHidden/>
              </w:rPr>
              <w:fldChar w:fldCharType="end"/>
            </w:r>
          </w:hyperlink>
        </w:p>
        <w:p w14:paraId="0D571C3D" w14:textId="77777777" w:rsidR="00083269" w:rsidRDefault="00083269" w:rsidP="00083269">
          <w:pPr>
            <w:pStyle w:val="TOC3"/>
            <w:rPr>
              <w:rFonts w:asciiTheme="minorHAnsi" w:eastAsiaTheme="minorEastAsia" w:hAnsiTheme="minorHAnsi"/>
              <w:noProof/>
              <w:kern w:val="2"/>
              <w:sz w:val="24"/>
              <w:szCs w:val="24"/>
              <w:lang w:eastAsia="en-AU"/>
              <w14:ligatures w14:val="standardContextual"/>
            </w:rPr>
          </w:pPr>
          <w:hyperlink w:anchor="_Toc202939768" w:history="1">
            <w:r w:rsidRPr="005C75CD">
              <w:rPr>
                <w:rStyle w:val="Hyperlink"/>
                <w:noProof/>
              </w:rPr>
              <w:t>3.</w:t>
            </w:r>
            <w:r>
              <w:rPr>
                <w:rFonts w:asciiTheme="minorHAnsi" w:eastAsiaTheme="minorEastAsia" w:hAnsiTheme="minorHAnsi"/>
                <w:noProof/>
                <w:kern w:val="2"/>
                <w:sz w:val="24"/>
                <w:szCs w:val="24"/>
                <w:lang w:eastAsia="en-AU"/>
                <w14:ligatures w14:val="standardContextual"/>
              </w:rPr>
              <w:tab/>
            </w:r>
            <w:r w:rsidRPr="005C75CD">
              <w:rPr>
                <w:rStyle w:val="Hyperlink"/>
                <w:noProof/>
              </w:rPr>
              <w:t>Conflict of interest management</w:t>
            </w:r>
            <w:r>
              <w:rPr>
                <w:noProof/>
                <w:webHidden/>
              </w:rPr>
              <w:tab/>
            </w:r>
            <w:r>
              <w:rPr>
                <w:noProof/>
                <w:webHidden/>
              </w:rPr>
              <w:fldChar w:fldCharType="begin"/>
            </w:r>
            <w:r>
              <w:rPr>
                <w:noProof/>
                <w:webHidden/>
              </w:rPr>
              <w:instrText xml:space="preserve"> PAGEREF _Toc202939768 \h </w:instrText>
            </w:r>
            <w:r>
              <w:rPr>
                <w:noProof/>
                <w:webHidden/>
              </w:rPr>
            </w:r>
            <w:r>
              <w:rPr>
                <w:noProof/>
                <w:webHidden/>
              </w:rPr>
              <w:fldChar w:fldCharType="separate"/>
            </w:r>
            <w:r>
              <w:rPr>
                <w:noProof/>
                <w:webHidden/>
              </w:rPr>
              <w:t>9</w:t>
            </w:r>
            <w:r>
              <w:rPr>
                <w:noProof/>
                <w:webHidden/>
              </w:rPr>
              <w:fldChar w:fldCharType="end"/>
            </w:r>
          </w:hyperlink>
        </w:p>
        <w:p w14:paraId="61E31A1D"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69" w:history="1">
            <w:r w:rsidRPr="005C75CD">
              <w:rPr>
                <w:rStyle w:val="Hyperlink"/>
                <w:bCs/>
                <w:noProof/>
                <w:lang w:eastAsia="en-AU"/>
              </w:rPr>
              <w:t>Managing conflict of interest</w:t>
            </w:r>
            <w:r>
              <w:rPr>
                <w:noProof/>
                <w:webHidden/>
              </w:rPr>
              <w:tab/>
            </w:r>
            <w:r>
              <w:rPr>
                <w:noProof/>
                <w:webHidden/>
              </w:rPr>
              <w:fldChar w:fldCharType="begin"/>
            </w:r>
            <w:r>
              <w:rPr>
                <w:noProof/>
                <w:webHidden/>
              </w:rPr>
              <w:instrText xml:space="preserve"> PAGEREF _Toc202939769 \h </w:instrText>
            </w:r>
            <w:r>
              <w:rPr>
                <w:noProof/>
                <w:webHidden/>
              </w:rPr>
            </w:r>
            <w:r>
              <w:rPr>
                <w:noProof/>
                <w:webHidden/>
              </w:rPr>
              <w:fldChar w:fldCharType="separate"/>
            </w:r>
            <w:r>
              <w:rPr>
                <w:noProof/>
                <w:webHidden/>
              </w:rPr>
              <w:t>10</w:t>
            </w:r>
            <w:r>
              <w:rPr>
                <w:noProof/>
                <w:webHidden/>
              </w:rPr>
              <w:fldChar w:fldCharType="end"/>
            </w:r>
          </w:hyperlink>
        </w:p>
        <w:p w14:paraId="606DAF16" w14:textId="77777777" w:rsidR="00083269" w:rsidRDefault="00083269" w:rsidP="00083269">
          <w:pPr>
            <w:pStyle w:val="TOC3"/>
            <w:rPr>
              <w:rFonts w:asciiTheme="minorHAnsi" w:eastAsiaTheme="minorEastAsia" w:hAnsiTheme="minorHAnsi"/>
              <w:noProof/>
              <w:kern w:val="2"/>
              <w:sz w:val="24"/>
              <w:szCs w:val="24"/>
              <w:lang w:eastAsia="en-AU"/>
              <w14:ligatures w14:val="standardContextual"/>
            </w:rPr>
          </w:pPr>
          <w:hyperlink w:anchor="_Toc202939770" w:history="1">
            <w:r w:rsidRPr="005C75CD">
              <w:rPr>
                <w:rStyle w:val="Hyperlink"/>
                <w:noProof/>
              </w:rPr>
              <w:t>4.</w:t>
            </w:r>
            <w:r>
              <w:rPr>
                <w:rFonts w:asciiTheme="minorHAnsi" w:eastAsiaTheme="minorEastAsia" w:hAnsiTheme="minorHAnsi"/>
                <w:noProof/>
                <w:kern w:val="2"/>
                <w:sz w:val="24"/>
                <w:szCs w:val="24"/>
                <w:lang w:eastAsia="en-AU"/>
                <w14:ligatures w14:val="standardContextual"/>
              </w:rPr>
              <w:tab/>
            </w:r>
            <w:r w:rsidRPr="005C75CD">
              <w:rPr>
                <w:rStyle w:val="Hyperlink"/>
                <w:noProof/>
              </w:rPr>
              <w:t>Managing probity relative to value and risk</w:t>
            </w:r>
            <w:r>
              <w:rPr>
                <w:noProof/>
                <w:webHidden/>
              </w:rPr>
              <w:tab/>
            </w:r>
            <w:r>
              <w:rPr>
                <w:noProof/>
                <w:webHidden/>
              </w:rPr>
              <w:fldChar w:fldCharType="begin"/>
            </w:r>
            <w:r>
              <w:rPr>
                <w:noProof/>
                <w:webHidden/>
              </w:rPr>
              <w:instrText xml:space="preserve"> PAGEREF _Toc202939770 \h </w:instrText>
            </w:r>
            <w:r>
              <w:rPr>
                <w:noProof/>
                <w:webHidden/>
              </w:rPr>
            </w:r>
            <w:r>
              <w:rPr>
                <w:noProof/>
                <w:webHidden/>
              </w:rPr>
              <w:fldChar w:fldCharType="separate"/>
            </w:r>
            <w:r>
              <w:rPr>
                <w:noProof/>
                <w:webHidden/>
              </w:rPr>
              <w:t>12</w:t>
            </w:r>
            <w:r>
              <w:rPr>
                <w:noProof/>
                <w:webHidden/>
              </w:rPr>
              <w:fldChar w:fldCharType="end"/>
            </w:r>
          </w:hyperlink>
        </w:p>
        <w:p w14:paraId="6AE2D60D" w14:textId="77777777" w:rsidR="00083269" w:rsidRDefault="00083269" w:rsidP="00083269">
          <w:pPr>
            <w:pStyle w:val="TOC1"/>
            <w:rPr>
              <w:rFonts w:asciiTheme="minorHAnsi" w:eastAsiaTheme="minorEastAsia" w:hAnsiTheme="minorHAnsi"/>
              <w:noProof/>
              <w:kern w:val="2"/>
              <w:sz w:val="24"/>
              <w:szCs w:val="24"/>
              <w:lang w:eastAsia="en-AU"/>
              <w14:ligatures w14:val="standardContextual"/>
            </w:rPr>
          </w:pPr>
          <w:hyperlink w:anchor="_Toc202939771" w:history="1">
            <w:r w:rsidRPr="005C75CD">
              <w:rPr>
                <w:rStyle w:val="Hyperlink"/>
                <w:noProof/>
              </w:rPr>
              <w:t>Section B: How to deal with probity in certain situations</w:t>
            </w:r>
            <w:r>
              <w:rPr>
                <w:noProof/>
                <w:webHidden/>
              </w:rPr>
              <w:tab/>
            </w:r>
            <w:r>
              <w:rPr>
                <w:noProof/>
                <w:webHidden/>
              </w:rPr>
              <w:fldChar w:fldCharType="begin"/>
            </w:r>
            <w:r>
              <w:rPr>
                <w:noProof/>
                <w:webHidden/>
              </w:rPr>
              <w:instrText xml:space="preserve"> PAGEREF _Toc202939771 \h </w:instrText>
            </w:r>
            <w:r>
              <w:rPr>
                <w:noProof/>
                <w:webHidden/>
              </w:rPr>
            </w:r>
            <w:r>
              <w:rPr>
                <w:noProof/>
                <w:webHidden/>
              </w:rPr>
              <w:fldChar w:fldCharType="separate"/>
            </w:r>
            <w:r>
              <w:rPr>
                <w:noProof/>
                <w:webHidden/>
              </w:rPr>
              <w:t>13</w:t>
            </w:r>
            <w:r>
              <w:rPr>
                <w:noProof/>
                <w:webHidden/>
              </w:rPr>
              <w:fldChar w:fldCharType="end"/>
            </w:r>
          </w:hyperlink>
        </w:p>
        <w:p w14:paraId="1B3AA29E"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72" w:history="1">
            <w:r w:rsidRPr="005C75CD">
              <w:rPr>
                <w:rStyle w:val="Hyperlink"/>
                <w:noProof/>
              </w:rPr>
              <w:t>1.</w:t>
            </w:r>
            <w:r>
              <w:rPr>
                <w:rFonts w:asciiTheme="minorHAnsi" w:eastAsiaTheme="minorEastAsia" w:hAnsiTheme="minorHAnsi"/>
                <w:noProof/>
                <w:kern w:val="2"/>
                <w:sz w:val="24"/>
                <w:szCs w:val="24"/>
                <w:lang w:eastAsia="en-AU"/>
                <w14:ligatures w14:val="standardContextual"/>
              </w:rPr>
              <w:tab/>
            </w:r>
            <w:r w:rsidRPr="005C75CD">
              <w:rPr>
                <w:rStyle w:val="Hyperlink"/>
                <w:bCs/>
                <w:noProof/>
              </w:rPr>
              <w:t>What to do if you confront a situation that you do not know how to handle?</w:t>
            </w:r>
            <w:r>
              <w:rPr>
                <w:noProof/>
                <w:webHidden/>
              </w:rPr>
              <w:tab/>
            </w:r>
            <w:r>
              <w:rPr>
                <w:noProof/>
                <w:webHidden/>
              </w:rPr>
              <w:fldChar w:fldCharType="begin"/>
            </w:r>
            <w:r>
              <w:rPr>
                <w:noProof/>
                <w:webHidden/>
              </w:rPr>
              <w:instrText xml:space="preserve"> PAGEREF _Toc202939772 \h </w:instrText>
            </w:r>
            <w:r>
              <w:rPr>
                <w:noProof/>
                <w:webHidden/>
              </w:rPr>
            </w:r>
            <w:r>
              <w:rPr>
                <w:noProof/>
                <w:webHidden/>
              </w:rPr>
              <w:fldChar w:fldCharType="separate"/>
            </w:r>
            <w:r>
              <w:rPr>
                <w:noProof/>
                <w:webHidden/>
              </w:rPr>
              <w:t>13</w:t>
            </w:r>
            <w:r>
              <w:rPr>
                <w:noProof/>
                <w:webHidden/>
              </w:rPr>
              <w:fldChar w:fldCharType="end"/>
            </w:r>
          </w:hyperlink>
        </w:p>
        <w:p w14:paraId="337D3E79"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73" w:history="1">
            <w:r w:rsidRPr="005C75CD">
              <w:rPr>
                <w:rStyle w:val="Hyperlink"/>
                <w:noProof/>
              </w:rPr>
              <w:t>2.</w:t>
            </w:r>
            <w:r>
              <w:rPr>
                <w:rFonts w:asciiTheme="minorHAnsi" w:eastAsiaTheme="minorEastAsia" w:hAnsiTheme="minorHAnsi"/>
                <w:noProof/>
                <w:kern w:val="2"/>
                <w:sz w:val="24"/>
                <w:szCs w:val="24"/>
                <w:lang w:eastAsia="en-AU"/>
                <w14:ligatures w14:val="standardContextual"/>
              </w:rPr>
              <w:tab/>
            </w:r>
            <w:r w:rsidRPr="005C75CD">
              <w:rPr>
                <w:rStyle w:val="Hyperlink"/>
                <w:bCs/>
                <w:noProof/>
              </w:rPr>
              <w:t>Gifts and benefits within procurement</w:t>
            </w:r>
            <w:r>
              <w:rPr>
                <w:noProof/>
                <w:webHidden/>
              </w:rPr>
              <w:tab/>
            </w:r>
            <w:r>
              <w:rPr>
                <w:noProof/>
                <w:webHidden/>
              </w:rPr>
              <w:fldChar w:fldCharType="begin"/>
            </w:r>
            <w:r>
              <w:rPr>
                <w:noProof/>
                <w:webHidden/>
              </w:rPr>
              <w:instrText xml:space="preserve"> PAGEREF _Toc202939773 \h </w:instrText>
            </w:r>
            <w:r>
              <w:rPr>
                <w:noProof/>
                <w:webHidden/>
              </w:rPr>
            </w:r>
            <w:r>
              <w:rPr>
                <w:noProof/>
                <w:webHidden/>
              </w:rPr>
              <w:fldChar w:fldCharType="separate"/>
            </w:r>
            <w:r>
              <w:rPr>
                <w:noProof/>
                <w:webHidden/>
              </w:rPr>
              <w:t>13</w:t>
            </w:r>
            <w:r>
              <w:rPr>
                <w:noProof/>
                <w:webHidden/>
              </w:rPr>
              <w:fldChar w:fldCharType="end"/>
            </w:r>
          </w:hyperlink>
        </w:p>
        <w:p w14:paraId="66D26ED6"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75" w:history="1">
            <w:r w:rsidRPr="005C75CD">
              <w:rPr>
                <w:rStyle w:val="Hyperlink"/>
                <w:noProof/>
              </w:rPr>
              <w:t>3.</w:t>
            </w:r>
            <w:r>
              <w:rPr>
                <w:rFonts w:asciiTheme="minorHAnsi" w:eastAsiaTheme="minorEastAsia" w:hAnsiTheme="minorHAnsi"/>
                <w:noProof/>
                <w:kern w:val="2"/>
                <w:sz w:val="24"/>
                <w:szCs w:val="24"/>
                <w:lang w:eastAsia="en-AU"/>
                <w14:ligatures w14:val="standardContextual"/>
              </w:rPr>
              <w:tab/>
            </w:r>
            <w:r w:rsidRPr="005C75CD">
              <w:rPr>
                <w:rStyle w:val="Hyperlink"/>
                <w:bCs/>
                <w:noProof/>
              </w:rPr>
              <w:t>Conducting early market engagement and industry briefings</w:t>
            </w:r>
            <w:r>
              <w:rPr>
                <w:noProof/>
                <w:webHidden/>
              </w:rPr>
              <w:tab/>
            </w:r>
            <w:r>
              <w:rPr>
                <w:noProof/>
                <w:webHidden/>
              </w:rPr>
              <w:fldChar w:fldCharType="begin"/>
            </w:r>
            <w:r>
              <w:rPr>
                <w:noProof/>
                <w:webHidden/>
              </w:rPr>
              <w:instrText xml:space="preserve"> PAGEREF _Toc202939775 \h </w:instrText>
            </w:r>
            <w:r>
              <w:rPr>
                <w:noProof/>
                <w:webHidden/>
              </w:rPr>
            </w:r>
            <w:r>
              <w:rPr>
                <w:noProof/>
                <w:webHidden/>
              </w:rPr>
              <w:fldChar w:fldCharType="separate"/>
            </w:r>
            <w:r>
              <w:rPr>
                <w:noProof/>
                <w:webHidden/>
              </w:rPr>
              <w:t>14</w:t>
            </w:r>
            <w:r>
              <w:rPr>
                <w:noProof/>
                <w:webHidden/>
              </w:rPr>
              <w:fldChar w:fldCharType="end"/>
            </w:r>
          </w:hyperlink>
        </w:p>
        <w:p w14:paraId="31F30180" w14:textId="77777777" w:rsidR="00083269" w:rsidRDefault="00083269" w:rsidP="00083269">
          <w:pPr>
            <w:pStyle w:val="TOC3"/>
            <w:rPr>
              <w:rFonts w:asciiTheme="minorHAnsi" w:eastAsiaTheme="minorEastAsia" w:hAnsiTheme="minorHAnsi"/>
              <w:noProof/>
              <w:kern w:val="2"/>
              <w:sz w:val="24"/>
              <w:szCs w:val="24"/>
              <w:lang w:eastAsia="en-AU"/>
              <w14:ligatures w14:val="standardContextual"/>
            </w:rPr>
          </w:pPr>
          <w:hyperlink w:anchor="_Toc202939776" w:history="1">
            <w:r w:rsidRPr="005C75CD">
              <w:rPr>
                <w:rStyle w:val="Hyperlink"/>
                <w:bCs/>
                <w:noProof/>
              </w:rPr>
              <w:t>Early market engagement</w:t>
            </w:r>
            <w:r>
              <w:rPr>
                <w:noProof/>
                <w:webHidden/>
              </w:rPr>
              <w:tab/>
            </w:r>
            <w:r>
              <w:rPr>
                <w:noProof/>
                <w:webHidden/>
              </w:rPr>
              <w:fldChar w:fldCharType="begin"/>
            </w:r>
            <w:r>
              <w:rPr>
                <w:noProof/>
                <w:webHidden/>
              </w:rPr>
              <w:instrText xml:space="preserve"> PAGEREF _Toc202939776 \h </w:instrText>
            </w:r>
            <w:r>
              <w:rPr>
                <w:noProof/>
                <w:webHidden/>
              </w:rPr>
            </w:r>
            <w:r>
              <w:rPr>
                <w:noProof/>
                <w:webHidden/>
              </w:rPr>
              <w:fldChar w:fldCharType="separate"/>
            </w:r>
            <w:r>
              <w:rPr>
                <w:noProof/>
                <w:webHidden/>
              </w:rPr>
              <w:t>14</w:t>
            </w:r>
            <w:r>
              <w:rPr>
                <w:noProof/>
                <w:webHidden/>
              </w:rPr>
              <w:fldChar w:fldCharType="end"/>
            </w:r>
          </w:hyperlink>
        </w:p>
        <w:p w14:paraId="528D6BB5" w14:textId="77777777" w:rsidR="00083269" w:rsidRDefault="00083269" w:rsidP="00083269">
          <w:pPr>
            <w:pStyle w:val="TOC3"/>
            <w:rPr>
              <w:rFonts w:asciiTheme="minorHAnsi" w:eastAsiaTheme="minorEastAsia" w:hAnsiTheme="minorHAnsi"/>
              <w:noProof/>
              <w:kern w:val="2"/>
              <w:sz w:val="24"/>
              <w:szCs w:val="24"/>
              <w:lang w:eastAsia="en-AU"/>
              <w14:ligatures w14:val="standardContextual"/>
            </w:rPr>
          </w:pPr>
          <w:hyperlink w:anchor="_Toc202939777" w:history="1">
            <w:r w:rsidRPr="005C75CD">
              <w:rPr>
                <w:rStyle w:val="Hyperlink"/>
                <w:bCs/>
                <w:noProof/>
              </w:rPr>
              <w:t>Early engagement of probity advisor</w:t>
            </w:r>
            <w:r>
              <w:rPr>
                <w:noProof/>
                <w:webHidden/>
              </w:rPr>
              <w:tab/>
            </w:r>
            <w:r>
              <w:rPr>
                <w:noProof/>
                <w:webHidden/>
              </w:rPr>
              <w:fldChar w:fldCharType="begin"/>
            </w:r>
            <w:r>
              <w:rPr>
                <w:noProof/>
                <w:webHidden/>
              </w:rPr>
              <w:instrText xml:space="preserve"> PAGEREF _Toc202939777 \h </w:instrText>
            </w:r>
            <w:r>
              <w:rPr>
                <w:noProof/>
                <w:webHidden/>
              </w:rPr>
            </w:r>
            <w:r>
              <w:rPr>
                <w:noProof/>
                <w:webHidden/>
              </w:rPr>
              <w:fldChar w:fldCharType="separate"/>
            </w:r>
            <w:r>
              <w:rPr>
                <w:noProof/>
                <w:webHidden/>
              </w:rPr>
              <w:t>14</w:t>
            </w:r>
            <w:r>
              <w:rPr>
                <w:noProof/>
                <w:webHidden/>
              </w:rPr>
              <w:fldChar w:fldCharType="end"/>
            </w:r>
          </w:hyperlink>
        </w:p>
        <w:p w14:paraId="1669E14A" w14:textId="77777777" w:rsidR="00083269" w:rsidRDefault="00083269" w:rsidP="00083269">
          <w:pPr>
            <w:pStyle w:val="TOC3"/>
            <w:rPr>
              <w:rFonts w:asciiTheme="minorHAnsi" w:eastAsiaTheme="minorEastAsia" w:hAnsiTheme="minorHAnsi"/>
              <w:noProof/>
              <w:kern w:val="2"/>
              <w:sz w:val="24"/>
              <w:szCs w:val="24"/>
              <w:lang w:eastAsia="en-AU"/>
              <w14:ligatures w14:val="standardContextual"/>
            </w:rPr>
          </w:pPr>
          <w:hyperlink w:anchor="_Toc202939778" w:history="1">
            <w:r w:rsidRPr="005C75CD">
              <w:rPr>
                <w:rStyle w:val="Hyperlink"/>
                <w:bCs/>
                <w:noProof/>
              </w:rPr>
              <w:t>Industry briefings</w:t>
            </w:r>
            <w:r>
              <w:rPr>
                <w:noProof/>
                <w:webHidden/>
              </w:rPr>
              <w:tab/>
            </w:r>
            <w:r>
              <w:rPr>
                <w:noProof/>
                <w:webHidden/>
              </w:rPr>
              <w:fldChar w:fldCharType="begin"/>
            </w:r>
            <w:r>
              <w:rPr>
                <w:noProof/>
                <w:webHidden/>
              </w:rPr>
              <w:instrText xml:space="preserve"> PAGEREF _Toc202939778 \h </w:instrText>
            </w:r>
            <w:r>
              <w:rPr>
                <w:noProof/>
                <w:webHidden/>
              </w:rPr>
            </w:r>
            <w:r>
              <w:rPr>
                <w:noProof/>
                <w:webHidden/>
              </w:rPr>
              <w:fldChar w:fldCharType="separate"/>
            </w:r>
            <w:r>
              <w:rPr>
                <w:noProof/>
                <w:webHidden/>
              </w:rPr>
              <w:t>14</w:t>
            </w:r>
            <w:r>
              <w:rPr>
                <w:noProof/>
                <w:webHidden/>
              </w:rPr>
              <w:fldChar w:fldCharType="end"/>
            </w:r>
          </w:hyperlink>
        </w:p>
        <w:p w14:paraId="76F481E3"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79" w:history="1">
            <w:r w:rsidRPr="005C75CD">
              <w:rPr>
                <w:rStyle w:val="Hyperlink"/>
                <w:noProof/>
              </w:rPr>
              <w:t>4.</w:t>
            </w:r>
            <w:r>
              <w:rPr>
                <w:rFonts w:asciiTheme="minorHAnsi" w:eastAsiaTheme="minorEastAsia" w:hAnsiTheme="minorHAnsi"/>
                <w:noProof/>
                <w:kern w:val="2"/>
                <w:sz w:val="24"/>
                <w:szCs w:val="24"/>
                <w:lang w:eastAsia="en-AU"/>
                <w14:ligatures w14:val="standardContextual"/>
              </w:rPr>
              <w:tab/>
            </w:r>
            <w:r w:rsidRPr="005C75CD">
              <w:rPr>
                <w:rStyle w:val="Hyperlink"/>
                <w:bCs/>
                <w:noProof/>
              </w:rPr>
              <w:t>Attending trade shows, conferences, seminars or similar events</w:t>
            </w:r>
            <w:r>
              <w:rPr>
                <w:noProof/>
                <w:webHidden/>
              </w:rPr>
              <w:tab/>
            </w:r>
            <w:r>
              <w:rPr>
                <w:noProof/>
                <w:webHidden/>
              </w:rPr>
              <w:fldChar w:fldCharType="begin"/>
            </w:r>
            <w:r>
              <w:rPr>
                <w:noProof/>
                <w:webHidden/>
              </w:rPr>
              <w:instrText xml:space="preserve"> PAGEREF _Toc202939779 \h </w:instrText>
            </w:r>
            <w:r>
              <w:rPr>
                <w:noProof/>
                <w:webHidden/>
              </w:rPr>
            </w:r>
            <w:r>
              <w:rPr>
                <w:noProof/>
                <w:webHidden/>
              </w:rPr>
              <w:fldChar w:fldCharType="separate"/>
            </w:r>
            <w:r>
              <w:rPr>
                <w:noProof/>
                <w:webHidden/>
              </w:rPr>
              <w:t>15</w:t>
            </w:r>
            <w:r>
              <w:rPr>
                <w:noProof/>
                <w:webHidden/>
              </w:rPr>
              <w:fldChar w:fldCharType="end"/>
            </w:r>
          </w:hyperlink>
        </w:p>
        <w:p w14:paraId="1D27CF89"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80" w:history="1">
            <w:r w:rsidRPr="005C75CD">
              <w:rPr>
                <w:rStyle w:val="Hyperlink"/>
                <w:noProof/>
              </w:rPr>
              <w:t>5.</w:t>
            </w:r>
            <w:r>
              <w:rPr>
                <w:rFonts w:asciiTheme="minorHAnsi" w:eastAsiaTheme="minorEastAsia" w:hAnsiTheme="minorHAnsi"/>
                <w:noProof/>
                <w:kern w:val="2"/>
                <w:sz w:val="24"/>
                <w:szCs w:val="24"/>
                <w:lang w:eastAsia="en-AU"/>
                <w14:ligatures w14:val="standardContextual"/>
              </w:rPr>
              <w:tab/>
            </w:r>
            <w:r w:rsidRPr="005C75CD">
              <w:rPr>
                <w:rStyle w:val="Hyperlink"/>
                <w:bCs/>
                <w:noProof/>
              </w:rPr>
              <w:t>Evaluating innovative offers</w:t>
            </w:r>
            <w:r>
              <w:rPr>
                <w:noProof/>
                <w:webHidden/>
              </w:rPr>
              <w:tab/>
            </w:r>
            <w:r>
              <w:rPr>
                <w:noProof/>
                <w:webHidden/>
              </w:rPr>
              <w:fldChar w:fldCharType="begin"/>
            </w:r>
            <w:r>
              <w:rPr>
                <w:noProof/>
                <w:webHidden/>
              </w:rPr>
              <w:instrText xml:space="preserve"> PAGEREF _Toc202939780 \h </w:instrText>
            </w:r>
            <w:r>
              <w:rPr>
                <w:noProof/>
                <w:webHidden/>
              </w:rPr>
            </w:r>
            <w:r>
              <w:rPr>
                <w:noProof/>
                <w:webHidden/>
              </w:rPr>
              <w:fldChar w:fldCharType="separate"/>
            </w:r>
            <w:r>
              <w:rPr>
                <w:noProof/>
                <w:webHidden/>
              </w:rPr>
              <w:t>15</w:t>
            </w:r>
            <w:r>
              <w:rPr>
                <w:noProof/>
                <w:webHidden/>
              </w:rPr>
              <w:fldChar w:fldCharType="end"/>
            </w:r>
          </w:hyperlink>
        </w:p>
        <w:p w14:paraId="1B518E2B" w14:textId="77777777" w:rsidR="00083269" w:rsidRDefault="00083269" w:rsidP="00083269">
          <w:pPr>
            <w:pStyle w:val="TOC3"/>
            <w:rPr>
              <w:rFonts w:asciiTheme="minorHAnsi" w:eastAsiaTheme="minorEastAsia" w:hAnsiTheme="minorHAnsi"/>
              <w:noProof/>
              <w:kern w:val="2"/>
              <w:sz w:val="24"/>
              <w:szCs w:val="24"/>
              <w:lang w:eastAsia="en-AU"/>
              <w14:ligatures w14:val="standardContextual"/>
            </w:rPr>
          </w:pPr>
          <w:hyperlink w:anchor="_Toc202939781" w:history="1">
            <w:r w:rsidRPr="005C75CD">
              <w:rPr>
                <w:rStyle w:val="Hyperlink"/>
                <w:bCs/>
                <w:noProof/>
              </w:rPr>
              <w:t>Difference between a probity advisor and a probity auditor</w:t>
            </w:r>
            <w:r>
              <w:rPr>
                <w:noProof/>
                <w:webHidden/>
              </w:rPr>
              <w:tab/>
            </w:r>
            <w:r>
              <w:rPr>
                <w:noProof/>
                <w:webHidden/>
              </w:rPr>
              <w:fldChar w:fldCharType="begin"/>
            </w:r>
            <w:r>
              <w:rPr>
                <w:noProof/>
                <w:webHidden/>
              </w:rPr>
              <w:instrText xml:space="preserve"> PAGEREF _Toc202939781 \h </w:instrText>
            </w:r>
            <w:r>
              <w:rPr>
                <w:noProof/>
                <w:webHidden/>
              </w:rPr>
            </w:r>
            <w:r>
              <w:rPr>
                <w:noProof/>
                <w:webHidden/>
              </w:rPr>
              <w:fldChar w:fldCharType="separate"/>
            </w:r>
            <w:r>
              <w:rPr>
                <w:noProof/>
                <w:webHidden/>
              </w:rPr>
              <w:t>16</w:t>
            </w:r>
            <w:r>
              <w:rPr>
                <w:noProof/>
                <w:webHidden/>
              </w:rPr>
              <w:fldChar w:fldCharType="end"/>
            </w:r>
          </w:hyperlink>
        </w:p>
        <w:p w14:paraId="22C7C178" w14:textId="77777777" w:rsidR="00083269" w:rsidRDefault="00083269" w:rsidP="00083269">
          <w:pPr>
            <w:pStyle w:val="TOC2"/>
            <w:rPr>
              <w:rFonts w:asciiTheme="minorHAnsi" w:eastAsiaTheme="minorEastAsia" w:hAnsiTheme="minorHAnsi"/>
              <w:noProof/>
              <w:kern w:val="2"/>
              <w:sz w:val="24"/>
              <w:szCs w:val="24"/>
              <w:lang w:eastAsia="en-AU"/>
              <w14:ligatures w14:val="standardContextual"/>
            </w:rPr>
          </w:pPr>
          <w:hyperlink w:anchor="_Toc202939782" w:history="1">
            <w:r w:rsidRPr="005C75CD">
              <w:rPr>
                <w:rStyle w:val="Hyperlink"/>
                <w:noProof/>
              </w:rPr>
              <w:t>6.</w:t>
            </w:r>
            <w:r>
              <w:rPr>
                <w:rFonts w:asciiTheme="minorHAnsi" w:eastAsiaTheme="minorEastAsia" w:hAnsiTheme="minorHAnsi"/>
                <w:noProof/>
                <w:kern w:val="2"/>
                <w:sz w:val="24"/>
                <w:szCs w:val="24"/>
                <w:lang w:eastAsia="en-AU"/>
                <w14:ligatures w14:val="standardContextual"/>
              </w:rPr>
              <w:tab/>
            </w:r>
            <w:r w:rsidRPr="005C75CD">
              <w:rPr>
                <w:rStyle w:val="Hyperlink"/>
                <w:bCs/>
                <w:noProof/>
              </w:rPr>
              <w:t>Anti-competitive supplier behaviour</w:t>
            </w:r>
            <w:r>
              <w:rPr>
                <w:noProof/>
                <w:webHidden/>
              </w:rPr>
              <w:tab/>
            </w:r>
            <w:r>
              <w:rPr>
                <w:noProof/>
                <w:webHidden/>
              </w:rPr>
              <w:fldChar w:fldCharType="begin"/>
            </w:r>
            <w:r>
              <w:rPr>
                <w:noProof/>
                <w:webHidden/>
              </w:rPr>
              <w:instrText xml:space="preserve"> PAGEREF _Toc202939782 \h </w:instrText>
            </w:r>
            <w:r>
              <w:rPr>
                <w:noProof/>
                <w:webHidden/>
              </w:rPr>
            </w:r>
            <w:r>
              <w:rPr>
                <w:noProof/>
                <w:webHidden/>
              </w:rPr>
              <w:fldChar w:fldCharType="separate"/>
            </w:r>
            <w:r>
              <w:rPr>
                <w:noProof/>
                <w:webHidden/>
              </w:rPr>
              <w:t>16</w:t>
            </w:r>
            <w:r>
              <w:rPr>
                <w:noProof/>
                <w:webHidden/>
              </w:rPr>
              <w:fldChar w:fldCharType="end"/>
            </w:r>
          </w:hyperlink>
        </w:p>
        <w:p w14:paraId="6455D4C2" w14:textId="77777777" w:rsidR="00083269" w:rsidRDefault="00083269" w:rsidP="00083269">
          <w:r>
            <w:rPr>
              <w:b/>
              <w:bCs/>
              <w:noProof/>
            </w:rPr>
            <w:fldChar w:fldCharType="end"/>
          </w:r>
        </w:p>
      </w:sdtContent>
    </w:sdt>
    <w:p w14:paraId="4BD01135" w14:textId="77777777" w:rsidR="00083269" w:rsidRDefault="00083269" w:rsidP="00083269">
      <w:pPr>
        <w:spacing w:after="0"/>
        <w:rPr>
          <w:rFonts w:cs="Arial"/>
          <w:b/>
          <w:bCs/>
          <w:color w:val="A70236"/>
          <w:sz w:val="32"/>
          <w:szCs w:val="20"/>
          <w:lang w:eastAsia="en-AU"/>
        </w:rPr>
      </w:pPr>
      <w:r>
        <w:rPr>
          <w:rFonts w:cs="Arial"/>
          <w:b/>
          <w:bCs/>
          <w:color w:val="A70236"/>
          <w:sz w:val="32"/>
          <w:szCs w:val="20"/>
          <w:lang w:eastAsia="en-AU"/>
        </w:rPr>
        <w:br w:type="page"/>
      </w:r>
    </w:p>
    <w:p w14:paraId="08310C54" w14:textId="77777777" w:rsidR="00083269" w:rsidRDefault="00083269" w:rsidP="00083269">
      <w:pPr>
        <w:pStyle w:val="Heading1"/>
      </w:pPr>
      <w:bookmarkStart w:id="1" w:name="_Toc202939756"/>
      <w:r>
        <w:lastRenderedPageBreak/>
        <w:t>Introduction</w:t>
      </w:r>
      <w:bookmarkEnd w:id="1"/>
    </w:p>
    <w:p w14:paraId="5CB29F79" w14:textId="77777777" w:rsidR="00083269" w:rsidRPr="00384CC0" w:rsidRDefault="00083269" w:rsidP="00083269">
      <w:r w:rsidRPr="00384CC0">
        <w:t xml:space="preserve">In conducting procurement, </w:t>
      </w:r>
      <w:r>
        <w:t>Queensland G</w:t>
      </w:r>
      <w:r w:rsidRPr="00384CC0">
        <w:t xml:space="preserve">overnment </w:t>
      </w:r>
      <w:r>
        <w:t>staff (</w:t>
      </w:r>
      <w:r w:rsidRPr="00384CC0">
        <w:t>buyers</w:t>
      </w:r>
      <w:r>
        <w:t>)</w:t>
      </w:r>
      <w:r w:rsidRPr="00384CC0">
        <w:t xml:space="preserve"> are trusted with spending public funds to deliver the best possible outcome. It is expected that high standards of integrity, probity, transparency and accountability are observed</w:t>
      </w:r>
      <w:r>
        <w:t xml:space="preserve"> relative to the value and risk of any one procurement</w:t>
      </w:r>
      <w:r w:rsidRPr="00384CC0">
        <w:t>, as part of leading best-in-class procurement practice and returning respect for Queensland taxpayers’ money.</w:t>
      </w:r>
    </w:p>
    <w:p w14:paraId="4B9CBE32" w14:textId="77777777" w:rsidR="00083269" w:rsidRDefault="00083269" w:rsidP="00083269">
      <w:pPr>
        <w:pStyle w:val="Heading2"/>
        <w:spacing w:before="240"/>
      </w:pPr>
      <w:bookmarkStart w:id="2" w:name="_Toc202939757"/>
      <w:bookmarkStart w:id="3" w:name="_Toc494373737"/>
      <w:bookmarkStart w:id="4" w:name="_Toc517676707"/>
      <w:bookmarkStart w:id="5" w:name="_Toc56171316"/>
      <w:r>
        <w:t>Purpose</w:t>
      </w:r>
      <w:bookmarkEnd w:id="2"/>
      <w:bookmarkEnd w:id="3"/>
      <w:bookmarkEnd w:id="4"/>
      <w:bookmarkEnd w:id="5"/>
    </w:p>
    <w:p w14:paraId="57396AD1" w14:textId="77777777" w:rsidR="00083269" w:rsidRPr="007F0C4C" w:rsidRDefault="00083269" w:rsidP="00083269">
      <w:r>
        <w:t>This guide aims to help buyers understand and integrate probity requirements into their procurement framework and practices. This guide is structured into two sections:</w:t>
      </w:r>
    </w:p>
    <w:p w14:paraId="50C3A7EB" w14:textId="77777777" w:rsidR="00083269" w:rsidRPr="007F0C4C" w:rsidRDefault="00083269" w:rsidP="00083269">
      <w:pPr>
        <w:pStyle w:val="ListParagraph"/>
        <w:numPr>
          <w:ilvl w:val="0"/>
          <w:numId w:val="21"/>
        </w:numPr>
        <w:spacing w:before="180"/>
        <w:contextualSpacing/>
        <w:rPr>
          <w:szCs w:val="20"/>
        </w:rPr>
      </w:pPr>
      <w:r w:rsidRPr="007F0C4C">
        <w:rPr>
          <w:b/>
          <w:szCs w:val="20"/>
        </w:rPr>
        <w:t>Section A</w:t>
      </w:r>
      <w:r w:rsidRPr="007F0C4C">
        <w:rPr>
          <w:szCs w:val="20"/>
        </w:rPr>
        <w:t xml:space="preserve"> provides an overview on why probity must be part of your procurement culture </w:t>
      </w:r>
      <w:r w:rsidRPr="007F0C4C">
        <w:rPr>
          <w:szCs w:val="20"/>
        </w:rPr>
        <w:br/>
      </w:r>
    </w:p>
    <w:p w14:paraId="7D0DD3F5" w14:textId="77777777" w:rsidR="00083269" w:rsidRPr="007F0C4C" w:rsidRDefault="00083269" w:rsidP="00083269">
      <w:pPr>
        <w:pStyle w:val="ListParagraph"/>
        <w:numPr>
          <w:ilvl w:val="0"/>
          <w:numId w:val="21"/>
        </w:numPr>
        <w:spacing w:before="180"/>
        <w:contextualSpacing/>
        <w:rPr>
          <w:szCs w:val="20"/>
        </w:rPr>
      </w:pPr>
      <w:r w:rsidRPr="007F0C4C">
        <w:rPr>
          <w:b/>
          <w:szCs w:val="20"/>
        </w:rPr>
        <w:t>Section B</w:t>
      </w:r>
      <w:r w:rsidRPr="007F0C4C">
        <w:rPr>
          <w:szCs w:val="20"/>
        </w:rPr>
        <w:t xml:space="preserve"> focuses on how to deal with probity in certain situations.</w:t>
      </w:r>
      <w:r w:rsidRPr="007F0C4C">
        <w:rPr>
          <w:szCs w:val="20"/>
        </w:rPr>
        <w:br/>
      </w:r>
    </w:p>
    <w:p w14:paraId="16896C4C" w14:textId="77777777" w:rsidR="00083269" w:rsidRPr="007F0C4C" w:rsidRDefault="00083269" w:rsidP="00083269">
      <w:pPr>
        <w:spacing w:after="0"/>
        <w:rPr>
          <w:szCs w:val="20"/>
        </w:rPr>
      </w:pPr>
      <w:r w:rsidRPr="007F0C4C">
        <w:rPr>
          <w:szCs w:val="20"/>
        </w:rPr>
        <w:t xml:space="preserve">This guide should be read in conjunction with your agency’s policy, procedures and guides on procurement, and fraud and corruption control, as well as the </w:t>
      </w:r>
      <w:r>
        <w:rPr>
          <w:szCs w:val="20"/>
        </w:rPr>
        <w:t>Queensland Procurement Policy (QPP)</w:t>
      </w:r>
      <w:r w:rsidRPr="007F0C4C">
        <w:rPr>
          <w:szCs w:val="20"/>
        </w:rPr>
        <w:t xml:space="preserve">.  </w:t>
      </w:r>
      <w:bookmarkStart w:id="6" w:name="_Hlk494363269"/>
    </w:p>
    <w:p w14:paraId="310C50B0" w14:textId="77777777" w:rsidR="00083269" w:rsidRDefault="00083269" w:rsidP="00083269">
      <w:pPr>
        <w:pStyle w:val="Heading1"/>
      </w:pPr>
      <w:bookmarkStart w:id="7" w:name="_Toc494373739"/>
      <w:bookmarkStart w:id="8" w:name="_Toc517676709"/>
      <w:bookmarkStart w:id="9" w:name="_Toc56171317"/>
      <w:bookmarkStart w:id="10" w:name="_Toc202939758"/>
      <w:bookmarkStart w:id="11" w:name="_Hlk494372340"/>
      <w:bookmarkEnd w:id="6"/>
      <w:r>
        <w:t>Probity</w:t>
      </w:r>
      <w:bookmarkEnd w:id="7"/>
      <w:bookmarkEnd w:id="8"/>
      <w:bookmarkEnd w:id="9"/>
      <w:bookmarkEnd w:id="10"/>
    </w:p>
    <w:p w14:paraId="408048CE" w14:textId="77777777" w:rsidR="00083269" w:rsidRDefault="00083269" w:rsidP="00083269">
      <w:pPr>
        <w:pStyle w:val="Heading2"/>
      </w:pPr>
      <w:bookmarkStart w:id="12" w:name="_Toc56171318"/>
      <w:bookmarkStart w:id="13" w:name="_Toc202939759"/>
      <w:bookmarkEnd w:id="11"/>
      <w:r>
        <w:t>Definition</w:t>
      </w:r>
      <w:bookmarkEnd w:id="12"/>
      <w:bookmarkEnd w:id="13"/>
    </w:p>
    <w:p w14:paraId="1475CAA6" w14:textId="77777777" w:rsidR="00083269" w:rsidRPr="007F0C4C" w:rsidRDefault="00083269" w:rsidP="00083269">
      <w:pPr>
        <w:rPr>
          <w:szCs w:val="20"/>
          <w:lang w:eastAsia="en-AU"/>
        </w:rPr>
      </w:pPr>
      <w:r w:rsidRPr="007F0C4C">
        <w:rPr>
          <w:szCs w:val="20"/>
          <w:lang w:eastAsia="en-AU"/>
        </w:rPr>
        <w:t>Probity is evidence of ethical behaviour in a particular process. For Queensland Government procurement, demonstrating probity means more than just avoiding corrupt or dishonest conduct. It involves proactively demonstrating that any procurement process is robust and the outcome beyond reproach. Probity requires acting</w:t>
      </w:r>
      <w:r>
        <w:rPr>
          <w:szCs w:val="20"/>
          <w:lang w:eastAsia="en-AU"/>
        </w:rPr>
        <w:t xml:space="preserve"> in</w:t>
      </w:r>
      <w:r w:rsidRPr="007F0C4C">
        <w:rPr>
          <w:szCs w:val="20"/>
          <w:lang w:eastAsia="en-AU"/>
        </w:rPr>
        <w:t xml:space="preserve"> such a way that there can be no perception of bias, influence or lack of integrity. This requires ethical conduct that exceeds legal requirements.</w:t>
      </w:r>
    </w:p>
    <w:p w14:paraId="05EC048C" w14:textId="77777777" w:rsidR="00083269" w:rsidRPr="007F0C4C" w:rsidRDefault="00083269" w:rsidP="00083269">
      <w:pPr>
        <w:rPr>
          <w:szCs w:val="20"/>
          <w:lang w:eastAsia="en-AU"/>
        </w:rPr>
      </w:pPr>
      <w:r w:rsidRPr="007F0C4C">
        <w:rPr>
          <w:szCs w:val="20"/>
          <w:lang w:eastAsia="en-AU"/>
        </w:rPr>
        <w:t xml:space="preserve">To this end probity within procurement should not be a </w:t>
      </w:r>
      <w:proofErr w:type="gramStart"/>
      <w:r w:rsidRPr="007F0C4C">
        <w:rPr>
          <w:szCs w:val="20"/>
          <w:lang w:eastAsia="en-AU"/>
        </w:rPr>
        <w:t>last minute</w:t>
      </w:r>
      <w:proofErr w:type="gramEnd"/>
      <w:r w:rsidRPr="007F0C4C">
        <w:rPr>
          <w:szCs w:val="20"/>
          <w:lang w:eastAsia="en-AU"/>
        </w:rPr>
        <w:t xml:space="preserve"> add</w:t>
      </w:r>
      <w:r>
        <w:rPr>
          <w:szCs w:val="20"/>
          <w:lang w:eastAsia="en-AU"/>
        </w:rPr>
        <w:t>-</w:t>
      </w:r>
      <w:r w:rsidRPr="007F0C4C">
        <w:rPr>
          <w:szCs w:val="20"/>
          <w:lang w:eastAsia="en-AU"/>
        </w:rPr>
        <w:t>on but must be integrated into all stages of the procurement process.</w:t>
      </w:r>
    </w:p>
    <w:p w14:paraId="4A7711DA" w14:textId="77777777" w:rsidR="00083269" w:rsidRDefault="00083269" w:rsidP="00083269">
      <w:pPr>
        <w:pStyle w:val="Heading2"/>
      </w:pPr>
      <w:bookmarkStart w:id="14" w:name="_Toc56171319"/>
      <w:bookmarkStart w:id="15" w:name="_Toc202939760"/>
      <w:r>
        <w:t>Objectives</w:t>
      </w:r>
      <w:bookmarkEnd w:id="14"/>
      <w:bookmarkEnd w:id="15"/>
    </w:p>
    <w:p w14:paraId="54F4AB5D" w14:textId="77777777" w:rsidR="00083269" w:rsidRPr="007F0C4C" w:rsidRDefault="00083269" w:rsidP="00083269">
      <w:pPr>
        <w:rPr>
          <w:szCs w:val="20"/>
          <w:lang w:eastAsia="en-AU"/>
        </w:rPr>
      </w:pPr>
      <w:r w:rsidRPr="007F0C4C">
        <w:rPr>
          <w:szCs w:val="20"/>
          <w:lang w:eastAsia="en-AU"/>
        </w:rPr>
        <w:t>Broadly, the objectives of probity in procurement are to:</w:t>
      </w:r>
    </w:p>
    <w:p w14:paraId="495F0073" w14:textId="77777777" w:rsidR="00083269" w:rsidRPr="007F0C4C" w:rsidRDefault="00083269" w:rsidP="00083269">
      <w:pPr>
        <w:pStyle w:val="ListParagraph"/>
        <w:numPr>
          <w:ilvl w:val="0"/>
          <w:numId w:val="29"/>
        </w:numPr>
        <w:spacing w:before="120" w:after="120"/>
        <w:ind w:left="714" w:hanging="357"/>
        <w:contextualSpacing/>
        <w:rPr>
          <w:szCs w:val="20"/>
          <w:lang w:eastAsia="en-AU"/>
        </w:rPr>
      </w:pPr>
      <w:r w:rsidRPr="007F0C4C">
        <w:rPr>
          <w:szCs w:val="20"/>
          <w:lang w:eastAsia="en-AU"/>
        </w:rPr>
        <w:t>ensure accountability, transparency and integrity, and preserve confidence in the process</w:t>
      </w:r>
      <w:r w:rsidRPr="007F0C4C">
        <w:rPr>
          <w:szCs w:val="20"/>
          <w:lang w:eastAsia="en-AU"/>
        </w:rPr>
        <w:br/>
      </w:r>
    </w:p>
    <w:p w14:paraId="5CA12AAB" w14:textId="77777777" w:rsidR="00083269" w:rsidRPr="007F0C4C" w:rsidRDefault="00083269" w:rsidP="00083269">
      <w:pPr>
        <w:pStyle w:val="ListParagraph"/>
        <w:numPr>
          <w:ilvl w:val="0"/>
          <w:numId w:val="29"/>
        </w:numPr>
        <w:spacing w:before="120" w:after="120"/>
        <w:contextualSpacing/>
        <w:rPr>
          <w:szCs w:val="20"/>
          <w:lang w:eastAsia="en-AU"/>
        </w:rPr>
      </w:pPr>
      <w:r w:rsidRPr="007F0C4C">
        <w:rPr>
          <w:szCs w:val="20"/>
          <w:lang w:eastAsia="en-AU"/>
        </w:rPr>
        <w:t>facilitate a value for money outcome</w:t>
      </w:r>
      <w:r w:rsidRPr="007F0C4C">
        <w:rPr>
          <w:szCs w:val="20"/>
          <w:lang w:eastAsia="en-AU"/>
        </w:rPr>
        <w:br/>
      </w:r>
    </w:p>
    <w:p w14:paraId="2DEEDBBB" w14:textId="77777777" w:rsidR="00083269" w:rsidRPr="00F37C49" w:rsidRDefault="00083269" w:rsidP="00083269">
      <w:pPr>
        <w:pStyle w:val="ListParagraph"/>
        <w:numPr>
          <w:ilvl w:val="0"/>
          <w:numId w:val="29"/>
        </w:numPr>
        <w:spacing w:before="120" w:after="120"/>
        <w:contextualSpacing/>
        <w:rPr>
          <w:sz w:val="22"/>
          <w:lang w:eastAsia="en-AU"/>
        </w:rPr>
      </w:pPr>
      <w:r w:rsidRPr="007F0C4C">
        <w:rPr>
          <w:szCs w:val="20"/>
          <w:lang w:eastAsia="en-AU"/>
        </w:rPr>
        <w:t>minimise potential risks of conflicts of interest, fraud and corruption.</w:t>
      </w:r>
      <w:r>
        <w:rPr>
          <w:sz w:val="22"/>
          <w:lang w:eastAsia="en-AU"/>
        </w:rPr>
        <w:br/>
      </w:r>
    </w:p>
    <w:p w14:paraId="3F706735" w14:textId="77777777" w:rsidR="00083269" w:rsidRPr="00AD449C" w:rsidRDefault="00083269" w:rsidP="00083269">
      <w:pPr>
        <w:pStyle w:val="Heading3"/>
      </w:pPr>
      <w:bookmarkStart w:id="16" w:name="_Toc56171320"/>
      <w:bookmarkStart w:id="17" w:name="_Toc202939761"/>
      <w:r>
        <w:t>How probity helps</w:t>
      </w:r>
      <w:r w:rsidRPr="00AD449C">
        <w:t xml:space="preserve"> achieve value for money</w:t>
      </w:r>
      <w:bookmarkEnd w:id="16"/>
      <w:bookmarkEnd w:id="17"/>
      <w:r w:rsidRPr="00AD449C">
        <w:t xml:space="preserve"> </w:t>
      </w:r>
    </w:p>
    <w:p w14:paraId="563420AA" w14:textId="77777777" w:rsidR="00083269" w:rsidRPr="007F0C4C" w:rsidRDefault="00083269" w:rsidP="00083269">
      <w:pPr>
        <w:rPr>
          <w:szCs w:val="20"/>
          <w:lang w:eastAsia="en-AU"/>
        </w:rPr>
      </w:pPr>
      <w:r w:rsidRPr="007F0C4C">
        <w:rPr>
          <w:szCs w:val="20"/>
          <w:lang w:eastAsia="en-AU"/>
        </w:rPr>
        <w:t>To help achieve value for money, competition between suppliers must be maximised so that suppliers are willing to put forward their best possible offer. To enable this, it is important that suppliers have confidence that the procurement process is robust and beyond reproach.</w:t>
      </w:r>
    </w:p>
    <w:p w14:paraId="28D5ED61" w14:textId="77777777" w:rsidR="00083269" w:rsidRPr="007F0C4C" w:rsidRDefault="00083269" w:rsidP="00083269">
      <w:pPr>
        <w:rPr>
          <w:szCs w:val="20"/>
          <w:lang w:eastAsia="en-AU"/>
        </w:rPr>
      </w:pPr>
      <w:r w:rsidRPr="007F0C4C">
        <w:rPr>
          <w:szCs w:val="20"/>
          <w:lang w:eastAsia="en-AU"/>
        </w:rPr>
        <w:t>Prospective suppliers may be deterred from putting their best offer forward, or may not make an offer at all, if they perceive that the procurement process is being conducted improperly. This may mean that government misses out on the best value for money offer it could have gotten. It can also have the effect of lessening competition between suppliers over the longer term as suppliers may no longer seek to do business with the government.</w:t>
      </w:r>
    </w:p>
    <w:p w14:paraId="320070FD" w14:textId="77777777" w:rsidR="00083269" w:rsidRDefault="00083269" w:rsidP="00083269">
      <w:pPr>
        <w:pStyle w:val="Heading3"/>
      </w:pPr>
      <w:bookmarkStart w:id="18" w:name="_Toc56171321"/>
      <w:bookmarkStart w:id="19" w:name="_Toc202939762"/>
      <w:r>
        <w:lastRenderedPageBreak/>
        <w:t>Applying probity relative to the value and risk of a procurement</w:t>
      </w:r>
      <w:bookmarkEnd w:id="18"/>
      <w:bookmarkEnd w:id="19"/>
    </w:p>
    <w:p w14:paraId="55FB7014" w14:textId="77777777" w:rsidR="00083269" w:rsidRDefault="00083269" w:rsidP="00083269">
      <w:pPr>
        <w:rPr>
          <w:szCs w:val="20"/>
          <w:lang w:eastAsia="en-AU"/>
        </w:rPr>
      </w:pPr>
      <w:r>
        <w:rPr>
          <w:szCs w:val="20"/>
          <w:lang w:eastAsia="en-AU"/>
        </w:rPr>
        <w:t>It</w:t>
      </w:r>
      <w:r w:rsidRPr="007F0C4C">
        <w:rPr>
          <w:szCs w:val="20"/>
          <w:lang w:eastAsia="en-AU"/>
        </w:rPr>
        <w:t xml:space="preserve"> is important that probity of process is observed and is applied relative to</w:t>
      </w:r>
      <w:r>
        <w:rPr>
          <w:szCs w:val="20"/>
          <w:lang w:eastAsia="en-AU"/>
        </w:rPr>
        <w:t xml:space="preserve"> the</w:t>
      </w:r>
      <w:r w:rsidRPr="007F0C4C">
        <w:rPr>
          <w:szCs w:val="20"/>
          <w:lang w:eastAsia="en-AU"/>
        </w:rPr>
        <w:t xml:space="preserve"> value and risk</w:t>
      </w:r>
      <w:r>
        <w:rPr>
          <w:szCs w:val="20"/>
          <w:lang w:eastAsia="en-AU"/>
        </w:rPr>
        <w:t xml:space="preserve"> of a procurement</w:t>
      </w:r>
      <w:r w:rsidRPr="007F0C4C">
        <w:rPr>
          <w:szCs w:val="20"/>
          <w:lang w:eastAsia="en-AU"/>
        </w:rPr>
        <w:t>.</w:t>
      </w:r>
      <w:r>
        <w:rPr>
          <w:szCs w:val="20"/>
          <w:lang w:eastAsia="en-AU"/>
        </w:rPr>
        <w:t xml:space="preserve"> Probity should not be a </w:t>
      </w:r>
      <w:r w:rsidRPr="007F0C4C">
        <w:rPr>
          <w:szCs w:val="20"/>
          <w:lang w:eastAsia="en-AU"/>
        </w:rPr>
        <w:t xml:space="preserve">barrier to undertaking </w:t>
      </w:r>
      <w:r>
        <w:rPr>
          <w:szCs w:val="20"/>
          <w:lang w:eastAsia="en-AU"/>
        </w:rPr>
        <w:t>efficient and effective</w:t>
      </w:r>
      <w:r w:rsidRPr="007F0C4C">
        <w:rPr>
          <w:szCs w:val="20"/>
          <w:lang w:eastAsia="en-AU"/>
        </w:rPr>
        <w:t xml:space="preserve"> procurement. </w:t>
      </w:r>
    </w:p>
    <w:p w14:paraId="2A0784C3" w14:textId="77777777" w:rsidR="00083269" w:rsidRPr="007F0C4C" w:rsidRDefault="00083269" w:rsidP="00083269">
      <w:pPr>
        <w:rPr>
          <w:szCs w:val="20"/>
          <w:lang w:eastAsia="en-AU"/>
        </w:rPr>
      </w:pPr>
      <w:r w:rsidRPr="007F0C4C">
        <w:rPr>
          <w:szCs w:val="20"/>
          <w:lang w:eastAsia="en-AU"/>
        </w:rPr>
        <w:t>For example, there are ways to appropriately engage with the supply market and still maintain probity of process. Clear probity guidelines can enable rather than inhibit interaction with the supplier and can facilitate more interactive tender processes.</w:t>
      </w:r>
    </w:p>
    <w:p w14:paraId="7D7CE9FA" w14:textId="77777777" w:rsidR="00083269" w:rsidRPr="0082480B" w:rsidRDefault="00083269" w:rsidP="00083269">
      <w:pPr>
        <w:pStyle w:val="Heading2"/>
      </w:pPr>
      <w:bookmarkStart w:id="20" w:name="_Toc56171322"/>
      <w:bookmarkStart w:id="21" w:name="_Toc202939763"/>
      <w:r>
        <w:t>Legislative context</w:t>
      </w:r>
      <w:bookmarkEnd w:id="20"/>
      <w:bookmarkEnd w:id="21"/>
    </w:p>
    <w:p w14:paraId="3C29246A" w14:textId="77777777" w:rsidR="00083269" w:rsidRPr="007F0C4C" w:rsidRDefault="00083269" w:rsidP="00083269">
      <w:pPr>
        <w:rPr>
          <w:rFonts w:cs="Arial"/>
          <w:szCs w:val="20"/>
        </w:rPr>
      </w:pPr>
      <w:r w:rsidRPr="007F0C4C">
        <w:rPr>
          <w:rFonts w:cs="Arial"/>
          <w:szCs w:val="20"/>
        </w:rPr>
        <w:t xml:space="preserve">Queensland Government employees should be aware that their actions are covered by the </w:t>
      </w:r>
      <w:hyperlink r:id="rId12" w:history="1">
        <w:r w:rsidRPr="007F0C4C">
          <w:rPr>
            <w:rStyle w:val="Hyperlink"/>
            <w:i/>
            <w:szCs w:val="20"/>
          </w:rPr>
          <w:t>Public Sector Ethics Act 1994</w:t>
        </w:r>
      </w:hyperlink>
      <w:r w:rsidRPr="007F0C4C">
        <w:rPr>
          <w:rStyle w:val="Hyperlink"/>
          <w:i/>
          <w:color w:val="auto"/>
          <w:szCs w:val="20"/>
          <w:u w:val="none"/>
        </w:rPr>
        <w:t xml:space="preserve"> </w:t>
      </w:r>
      <w:r w:rsidRPr="00384CC0">
        <w:rPr>
          <w:rStyle w:val="Hyperlink"/>
          <w:iCs/>
          <w:color w:val="auto"/>
          <w:szCs w:val="20"/>
          <w:u w:val="none"/>
        </w:rPr>
        <w:t>(</w:t>
      </w:r>
      <w:r w:rsidRPr="00E954E4">
        <w:rPr>
          <w:rStyle w:val="Hyperlink"/>
          <w:iCs/>
          <w:color w:val="auto"/>
          <w:szCs w:val="20"/>
          <w:u w:val="none"/>
        </w:rPr>
        <w:t>Act</w:t>
      </w:r>
      <w:r w:rsidRPr="00384CC0">
        <w:rPr>
          <w:rStyle w:val="Hyperlink"/>
          <w:iCs/>
          <w:color w:val="auto"/>
          <w:szCs w:val="20"/>
          <w:u w:val="none"/>
        </w:rPr>
        <w:t>)</w:t>
      </w:r>
      <w:r w:rsidRPr="00E954E4">
        <w:rPr>
          <w:rFonts w:cs="Arial"/>
          <w:iCs/>
          <w:szCs w:val="20"/>
        </w:rPr>
        <w:t>,</w:t>
      </w:r>
      <w:r w:rsidRPr="007F0C4C">
        <w:rPr>
          <w:rFonts w:cs="Arial"/>
          <w:szCs w:val="20"/>
        </w:rPr>
        <w:t xml:space="preserve"> along with the </w:t>
      </w:r>
      <w:hyperlink r:id="rId13" w:history="1">
        <w:r w:rsidRPr="00384CC0">
          <w:rPr>
            <w:rStyle w:val="Hyperlink"/>
            <w:szCs w:val="20"/>
          </w:rPr>
          <w:t>Code of Conduct for the Queensland Public Service</w:t>
        </w:r>
      </w:hyperlink>
      <w:r>
        <w:t xml:space="preserve"> (Code)</w:t>
      </w:r>
      <w:r w:rsidRPr="007F0C4C">
        <w:rPr>
          <w:rFonts w:cs="Arial"/>
          <w:szCs w:val="20"/>
        </w:rPr>
        <w:t>.</w:t>
      </w:r>
    </w:p>
    <w:p w14:paraId="1166D572" w14:textId="77777777" w:rsidR="00083269" w:rsidRPr="007F0C4C" w:rsidRDefault="00083269" w:rsidP="00083269">
      <w:pPr>
        <w:spacing w:after="120"/>
        <w:rPr>
          <w:rFonts w:cs="Arial"/>
          <w:szCs w:val="20"/>
        </w:rPr>
      </w:pPr>
      <w:r w:rsidRPr="007F0C4C">
        <w:rPr>
          <w:rFonts w:cs="Arial"/>
          <w:szCs w:val="20"/>
        </w:rPr>
        <w:t xml:space="preserve">Under the </w:t>
      </w:r>
      <w:r w:rsidRPr="007F0C4C">
        <w:rPr>
          <w:rFonts w:cs="Arial"/>
          <w:iCs/>
          <w:szCs w:val="20"/>
        </w:rPr>
        <w:t>Act</w:t>
      </w:r>
      <w:r w:rsidRPr="007F0C4C">
        <w:rPr>
          <w:rFonts w:cs="Arial"/>
          <w:szCs w:val="20"/>
        </w:rPr>
        <w:t xml:space="preserve"> employees are to observe the following ethical principles:</w:t>
      </w:r>
    </w:p>
    <w:p w14:paraId="31172F36" w14:textId="77777777" w:rsidR="00083269" w:rsidRPr="007F0C4C" w:rsidRDefault="00083269" w:rsidP="00083269">
      <w:pPr>
        <w:numPr>
          <w:ilvl w:val="0"/>
          <w:numId w:val="11"/>
        </w:numPr>
        <w:spacing w:before="180" w:after="60" w:line="264" w:lineRule="auto"/>
        <w:ind w:left="714" w:hanging="357"/>
        <w:contextualSpacing/>
        <w:rPr>
          <w:rFonts w:eastAsia="Calibri" w:cs="Arial"/>
          <w:szCs w:val="20"/>
        </w:rPr>
      </w:pPr>
      <w:r w:rsidRPr="007F0C4C">
        <w:rPr>
          <w:rFonts w:eastAsia="Calibri" w:cs="Arial"/>
          <w:szCs w:val="20"/>
        </w:rPr>
        <w:t>integrity and impartiality</w:t>
      </w:r>
    </w:p>
    <w:p w14:paraId="617AF851" w14:textId="77777777" w:rsidR="00083269" w:rsidRPr="007F0C4C" w:rsidRDefault="00083269" w:rsidP="00083269">
      <w:pPr>
        <w:numPr>
          <w:ilvl w:val="0"/>
          <w:numId w:val="11"/>
        </w:numPr>
        <w:spacing w:before="180" w:after="60" w:line="264" w:lineRule="auto"/>
        <w:ind w:left="714" w:hanging="357"/>
        <w:contextualSpacing/>
        <w:rPr>
          <w:rFonts w:eastAsia="Calibri" w:cs="Arial"/>
          <w:szCs w:val="20"/>
        </w:rPr>
      </w:pPr>
      <w:r w:rsidRPr="007F0C4C">
        <w:rPr>
          <w:rFonts w:eastAsia="Calibri" w:cs="Arial"/>
          <w:szCs w:val="20"/>
        </w:rPr>
        <w:t>promoting the public good</w:t>
      </w:r>
    </w:p>
    <w:p w14:paraId="45952320" w14:textId="77777777" w:rsidR="00083269" w:rsidRPr="007F0C4C" w:rsidRDefault="00083269" w:rsidP="00083269">
      <w:pPr>
        <w:numPr>
          <w:ilvl w:val="0"/>
          <w:numId w:val="11"/>
        </w:numPr>
        <w:spacing w:before="180" w:after="60" w:line="264" w:lineRule="auto"/>
        <w:ind w:left="714" w:hanging="357"/>
        <w:contextualSpacing/>
        <w:rPr>
          <w:rFonts w:eastAsia="Calibri" w:cs="Arial"/>
          <w:szCs w:val="20"/>
        </w:rPr>
      </w:pPr>
      <w:r w:rsidRPr="007F0C4C">
        <w:rPr>
          <w:rFonts w:eastAsia="Calibri" w:cs="Arial"/>
          <w:szCs w:val="20"/>
        </w:rPr>
        <w:t>commitment to the system of government</w:t>
      </w:r>
    </w:p>
    <w:p w14:paraId="05716B74" w14:textId="77777777" w:rsidR="00083269" w:rsidRPr="007F0C4C" w:rsidRDefault="00083269" w:rsidP="00083269">
      <w:pPr>
        <w:numPr>
          <w:ilvl w:val="0"/>
          <w:numId w:val="11"/>
        </w:numPr>
        <w:spacing w:before="180" w:after="60" w:line="264" w:lineRule="auto"/>
        <w:ind w:left="714" w:hanging="357"/>
        <w:contextualSpacing/>
        <w:rPr>
          <w:rFonts w:eastAsia="Calibri" w:cs="Arial"/>
          <w:szCs w:val="20"/>
        </w:rPr>
      </w:pPr>
      <w:r w:rsidRPr="007F0C4C">
        <w:rPr>
          <w:rFonts w:eastAsia="Calibri" w:cs="Arial"/>
          <w:szCs w:val="20"/>
        </w:rPr>
        <w:t>accountability and transparency.</w:t>
      </w:r>
      <w:r w:rsidRPr="007F0C4C">
        <w:rPr>
          <w:rFonts w:eastAsia="Calibri" w:cs="Arial"/>
          <w:szCs w:val="20"/>
        </w:rPr>
        <w:br/>
      </w:r>
    </w:p>
    <w:p w14:paraId="6B33F909" w14:textId="77777777" w:rsidR="00083269" w:rsidRPr="007F0C4C" w:rsidRDefault="00083269" w:rsidP="00083269">
      <w:pPr>
        <w:rPr>
          <w:szCs w:val="20"/>
          <w:lang w:eastAsia="en-AU"/>
        </w:rPr>
      </w:pPr>
      <w:r w:rsidRPr="007F0C4C">
        <w:rPr>
          <w:szCs w:val="20"/>
        </w:rPr>
        <w:t>The</w:t>
      </w:r>
      <w:r w:rsidRPr="007F0C4C">
        <w:rPr>
          <w:i/>
          <w:szCs w:val="20"/>
        </w:rPr>
        <w:t xml:space="preserve"> </w:t>
      </w:r>
      <w:r w:rsidRPr="00384CC0">
        <w:rPr>
          <w:iCs/>
          <w:szCs w:val="20"/>
        </w:rPr>
        <w:t>Code</w:t>
      </w:r>
      <w:r w:rsidRPr="007F0C4C">
        <w:rPr>
          <w:szCs w:val="20"/>
        </w:rPr>
        <w:t xml:space="preserve"> elaborates on these principles. It is strongly recommended that you are familiar with the requirements under both the </w:t>
      </w:r>
      <w:r w:rsidRPr="007F0C4C">
        <w:rPr>
          <w:iCs/>
          <w:szCs w:val="20"/>
        </w:rPr>
        <w:t xml:space="preserve">Act and </w:t>
      </w:r>
      <w:r>
        <w:rPr>
          <w:iCs/>
          <w:szCs w:val="20"/>
        </w:rPr>
        <w:t>Code</w:t>
      </w:r>
      <w:r w:rsidRPr="007F0C4C">
        <w:rPr>
          <w:iCs/>
          <w:szCs w:val="20"/>
        </w:rPr>
        <w:t xml:space="preserve">. </w:t>
      </w:r>
      <w:r w:rsidRPr="007F0C4C">
        <w:rPr>
          <w:iCs/>
          <w:szCs w:val="20"/>
        </w:rPr>
        <w:br/>
      </w:r>
      <w:r w:rsidRPr="007F0C4C">
        <w:rPr>
          <w:iCs/>
          <w:szCs w:val="20"/>
        </w:rPr>
        <w:br/>
      </w:r>
      <w:r w:rsidRPr="007F0C4C">
        <w:rPr>
          <w:szCs w:val="20"/>
        </w:rPr>
        <w:t>You should also check whether your agency has specific policies and procedures that govern the area of ethics and probity.</w:t>
      </w:r>
      <w:r w:rsidRPr="007F0C4C" w:rsidDel="009D360D">
        <w:rPr>
          <w:szCs w:val="20"/>
          <w:lang w:eastAsia="en-AU"/>
        </w:rPr>
        <w:t xml:space="preserve"> </w:t>
      </w:r>
      <w:bookmarkStart w:id="22" w:name="_Toc494373741"/>
      <w:bookmarkStart w:id="23" w:name="_Toc517676711"/>
      <w:bookmarkStart w:id="24" w:name="_Toc56171323"/>
    </w:p>
    <w:p w14:paraId="43E5BB71" w14:textId="77777777" w:rsidR="00083269" w:rsidRPr="009B0134" w:rsidRDefault="00083269" w:rsidP="00083269">
      <w:pPr>
        <w:pStyle w:val="Introparagraph"/>
        <w:rPr>
          <w:b/>
          <w:bCs/>
        </w:rPr>
      </w:pPr>
      <w:r w:rsidRPr="009B0134">
        <w:rPr>
          <w:b/>
          <w:bCs/>
        </w:rPr>
        <w:t>Section A: Making probity part of procurement culture</w:t>
      </w:r>
    </w:p>
    <w:p w14:paraId="5F54AA8D" w14:textId="77777777" w:rsidR="00083269" w:rsidRPr="007F0C4C" w:rsidRDefault="00083269" w:rsidP="00083269">
      <w:pPr>
        <w:pStyle w:val="ListParagraph"/>
        <w:spacing w:after="120"/>
        <w:ind w:left="0"/>
        <w:rPr>
          <w:szCs w:val="20"/>
          <w:lang w:eastAsia="en-AU"/>
        </w:rPr>
      </w:pPr>
      <w:r w:rsidRPr="007F0C4C">
        <w:rPr>
          <w:szCs w:val="20"/>
          <w:lang w:eastAsia="en-AU"/>
        </w:rPr>
        <w:t>Probity needs to be part of procurement culture, not a standalone consideration. It is important that individual officers, senior executives and government agencies take responsibility to embed this culture by:</w:t>
      </w:r>
    </w:p>
    <w:bookmarkEnd w:id="22"/>
    <w:bookmarkEnd w:id="23"/>
    <w:bookmarkEnd w:id="24"/>
    <w:p w14:paraId="4E1FCE85" w14:textId="77777777" w:rsidR="00083269" w:rsidRPr="007F0C4C" w:rsidRDefault="00083269" w:rsidP="00083269">
      <w:pPr>
        <w:pStyle w:val="ListParagraph"/>
        <w:numPr>
          <w:ilvl w:val="0"/>
          <w:numId w:val="23"/>
        </w:numPr>
        <w:spacing w:before="180"/>
        <w:contextualSpacing/>
        <w:rPr>
          <w:szCs w:val="20"/>
          <w:lang w:eastAsia="en-AU"/>
        </w:rPr>
      </w:pPr>
      <w:r>
        <w:rPr>
          <w:b/>
          <w:szCs w:val="20"/>
          <w:lang w:eastAsia="en-AU"/>
        </w:rPr>
        <w:t xml:space="preserve">for </w:t>
      </w:r>
      <w:r w:rsidRPr="007F0C4C">
        <w:rPr>
          <w:b/>
          <w:szCs w:val="20"/>
          <w:lang w:eastAsia="en-AU"/>
        </w:rPr>
        <w:t>individual officers</w:t>
      </w:r>
      <w:r>
        <w:rPr>
          <w:b/>
          <w:szCs w:val="20"/>
          <w:lang w:eastAsia="en-AU"/>
        </w:rPr>
        <w:t>,</w:t>
      </w:r>
      <w:r w:rsidRPr="007F0C4C">
        <w:rPr>
          <w:szCs w:val="20"/>
          <w:lang w:eastAsia="en-AU"/>
        </w:rPr>
        <w:t xml:space="preserve"> ensuring that their adherence to probity moves beyond simple compliance, and proactively demonstrates integrity </w:t>
      </w:r>
      <w:r w:rsidRPr="007F0C4C">
        <w:rPr>
          <w:szCs w:val="20"/>
          <w:lang w:eastAsia="en-AU"/>
        </w:rPr>
        <w:br/>
      </w:r>
    </w:p>
    <w:p w14:paraId="3542A25A" w14:textId="77777777" w:rsidR="00083269" w:rsidRPr="007F0C4C" w:rsidRDefault="00083269" w:rsidP="00083269">
      <w:pPr>
        <w:pStyle w:val="ListParagraph"/>
        <w:numPr>
          <w:ilvl w:val="0"/>
          <w:numId w:val="23"/>
        </w:numPr>
        <w:spacing w:before="180"/>
        <w:contextualSpacing/>
        <w:rPr>
          <w:szCs w:val="20"/>
          <w:lang w:eastAsia="en-AU"/>
        </w:rPr>
      </w:pPr>
      <w:r>
        <w:rPr>
          <w:b/>
          <w:szCs w:val="20"/>
          <w:lang w:eastAsia="en-AU"/>
        </w:rPr>
        <w:t xml:space="preserve">for </w:t>
      </w:r>
      <w:r w:rsidRPr="007F0C4C">
        <w:rPr>
          <w:b/>
          <w:szCs w:val="20"/>
          <w:lang w:eastAsia="en-AU"/>
        </w:rPr>
        <w:t>senior executives</w:t>
      </w:r>
      <w:r>
        <w:rPr>
          <w:b/>
          <w:szCs w:val="20"/>
          <w:lang w:eastAsia="en-AU"/>
        </w:rPr>
        <w:t>,</w:t>
      </w:r>
      <w:r w:rsidRPr="007F0C4C">
        <w:rPr>
          <w:b/>
          <w:szCs w:val="20"/>
          <w:lang w:eastAsia="en-AU"/>
        </w:rPr>
        <w:t xml:space="preserve"> </w:t>
      </w:r>
      <w:r w:rsidRPr="007F0C4C">
        <w:rPr>
          <w:bCs/>
          <w:szCs w:val="20"/>
          <w:lang w:eastAsia="en-AU"/>
        </w:rPr>
        <w:t>ensuring that probity is implemented through their business areas,</w:t>
      </w:r>
      <w:r w:rsidRPr="007F0C4C">
        <w:rPr>
          <w:b/>
          <w:szCs w:val="20"/>
          <w:lang w:eastAsia="en-AU"/>
        </w:rPr>
        <w:t xml:space="preserve"> </w:t>
      </w:r>
      <w:r w:rsidRPr="007F0C4C">
        <w:rPr>
          <w:szCs w:val="20"/>
          <w:lang w:eastAsia="en-AU"/>
        </w:rPr>
        <w:t xml:space="preserve">committing to procurement excellence through investment in officer capability and training, and by ensuring employees are aware of their probity obligations and associated implications for procurement. Senior executives should also ensure their engagement with suppliers is appropriate and would withstand public scrutiny </w:t>
      </w:r>
      <w:r w:rsidRPr="007F0C4C">
        <w:rPr>
          <w:rStyle w:val="FootnoteReference"/>
          <w:szCs w:val="20"/>
          <w:lang w:eastAsia="en-AU"/>
        </w:rPr>
        <w:footnoteReference w:id="1"/>
      </w:r>
      <w:r w:rsidRPr="007F0C4C">
        <w:rPr>
          <w:szCs w:val="20"/>
          <w:lang w:eastAsia="en-AU"/>
        </w:rPr>
        <w:br/>
      </w:r>
    </w:p>
    <w:p w14:paraId="585B2EF6" w14:textId="77777777" w:rsidR="00083269" w:rsidRPr="007F0C4C" w:rsidRDefault="00083269" w:rsidP="00083269">
      <w:pPr>
        <w:pStyle w:val="ListParagraph"/>
        <w:numPr>
          <w:ilvl w:val="0"/>
          <w:numId w:val="23"/>
        </w:numPr>
        <w:spacing w:before="180"/>
        <w:contextualSpacing/>
        <w:rPr>
          <w:szCs w:val="20"/>
          <w:lang w:eastAsia="en-AU"/>
        </w:rPr>
      </w:pPr>
      <w:r>
        <w:rPr>
          <w:b/>
          <w:szCs w:val="20"/>
          <w:lang w:eastAsia="en-AU"/>
        </w:rPr>
        <w:t xml:space="preserve">for </w:t>
      </w:r>
      <w:r w:rsidRPr="007F0C4C">
        <w:rPr>
          <w:b/>
          <w:szCs w:val="20"/>
          <w:lang w:eastAsia="en-AU"/>
        </w:rPr>
        <w:t>agencies</w:t>
      </w:r>
      <w:r>
        <w:rPr>
          <w:b/>
          <w:szCs w:val="20"/>
          <w:lang w:eastAsia="en-AU"/>
        </w:rPr>
        <w:t>,</w:t>
      </w:r>
      <w:r w:rsidRPr="007F0C4C">
        <w:rPr>
          <w:szCs w:val="20"/>
          <w:lang w:eastAsia="en-AU"/>
        </w:rPr>
        <w:t xml:space="preserve"> ensuring that governance, procedures and processes are robust and properly integrate probity. They also need to detail and clearly set out the behaviour expected of employees.</w:t>
      </w:r>
    </w:p>
    <w:p w14:paraId="3D256C28" w14:textId="77777777" w:rsidR="00083269" w:rsidRPr="005E3BE9" w:rsidRDefault="00083269" w:rsidP="00083269">
      <w:pPr>
        <w:pStyle w:val="Heading2"/>
      </w:pPr>
      <w:bookmarkStart w:id="25" w:name="_Toc56171324"/>
      <w:bookmarkStart w:id="26" w:name="_Toc202939764"/>
      <w:r w:rsidRPr="005E3BE9">
        <w:t xml:space="preserve">Embedding a probity culture </w:t>
      </w:r>
      <w:r>
        <w:t>–</w:t>
      </w:r>
      <w:r w:rsidRPr="005E3BE9">
        <w:t xml:space="preserve"> fraud</w:t>
      </w:r>
      <w:r>
        <w:t xml:space="preserve"> and corruption</w:t>
      </w:r>
      <w:r w:rsidRPr="005E3BE9">
        <w:t xml:space="preserve"> risks within procurement</w:t>
      </w:r>
      <w:bookmarkEnd w:id="25"/>
      <w:bookmarkEnd w:id="26"/>
    </w:p>
    <w:p w14:paraId="5FB31DBC" w14:textId="77777777" w:rsidR="00083269" w:rsidRPr="007F0C4C" w:rsidRDefault="00083269" w:rsidP="00083269">
      <w:pPr>
        <w:rPr>
          <w:szCs w:val="20"/>
          <w:lang w:eastAsia="en-AU"/>
        </w:rPr>
      </w:pPr>
      <w:r w:rsidRPr="007F0C4C">
        <w:rPr>
          <w:szCs w:val="20"/>
          <w:lang w:eastAsia="en-AU"/>
        </w:rPr>
        <w:t xml:space="preserve">Procurement, as a process and function, is exposed to fraud risk. There are </w:t>
      </w:r>
      <w:proofErr w:type="gramStart"/>
      <w:r w:rsidRPr="007F0C4C">
        <w:rPr>
          <w:szCs w:val="20"/>
          <w:lang w:eastAsia="en-AU"/>
        </w:rPr>
        <w:t>a number of</w:t>
      </w:r>
      <w:proofErr w:type="gramEnd"/>
      <w:r w:rsidRPr="007F0C4C">
        <w:rPr>
          <w:szCs w:val="20"/>
          <w:lang w:eastAsia="en-AU"/>
        </w:rPr>
        <w:t xml:space="preserve"> steps that agencies can take, as part of embedding a probity culture, that will assist in identifying, detecting and managing exposure to fraud and corruption risks – these include, but are not limited to, the following:  </w:t>
      </w:r>
    </w:p>
    <w:p w14:paraId="7588A204" w14:textId="77777777" w:rsidR="00083269" w:rsidRPr="006A0EF9" w:rsidRDefault="00083269" w:rsidP="00083269">
      <w:pPr>
        <w:pStyle w:val="ListParagraph"/>
        <w:numPr>
          <w:ilvl w:val="0"/>
          <w:numId w:val="23"/>
        </w:numPr>
        <w:spacing w:before="180"/>
        <w:contextualSpacing/>
        <w:rPr>
          <w:bCs/>
          <w:szCs w:val="20"/>
          <w:lang w:eastAsia="en-AU"/>
        </w:rPr>
      </w:pPr>
      <w:r w:rsidRPr="006A0EF9">
        <w:rPr>
          <w:bCs/>
          <w:szCs w:val="20"/>
          <w:lang w:eastAsia="en-AU"/>
        </w:rPr>
        <w:t>As part of risk assessments, integrate fraud risk management systems and procedures within agency, category and individual procurement plans. Generally, this involves:</w:t>
      </w:r>
    </w:p>
    <w:p w14:paraId="15BC62CD" w14:textId="77777777" w:rsidR="00083269" w:rsidRPr="00384CC0" w:rsidRDefault="00083269" w:rsidP="00083269">
      <w:pPr>
        <w:pStyle w:val="ListParagraph"/>
        <w:spacing w:before="180"/>
        <w:ind w:left="1440"/>
        <w:contextualSpacing/>
        <w:rPr>
          <w:bCs/>
          <w:szCs w:val="20"/>
          <w:lang w:eastAsia="en-AU"/>
        </w:rPr>
      </w:pPr>
    </w:p>
    <w:p w14:paraId="772702F3" w14:textId="77777777" w:rsidR="00083269" w:rsidRPr="00384CC0" w:rsidRDefault="00083269" w:rsidP="00083269">
      <w:pPr>
        <w:pStyle w:val="ListParagraph"/>
        <w:numPr>
          <w:ilvl w:val="1"/>
          <w:numId w:val="23"/>
        </w:numPr>
        <w:spacing w:before="180"/>
        <w:contextualSpacing/>
        <w:rPr>
          <w:b/>
          <w:szCs w:val="20"/>
          <w:lang w:eastAsia="en-AU"/>
        </w:rPr>
      </w:pPr>
      <w:r w:rsidRPr="006A0EF9">
        <w:rPr>
          <w:bCs/>
          <w:szCs w:val="20"/>
          <w:lang w:eastAsia="en-AU"/>
        </w:rPr>
        <w:lastRenderedPageBreak/>
        <w:t>integrating fraud and corruption controls within risk management systems</w:t>
      </w:r>
    </w:p>
    <w:p w14:paraId="2EA91220" w14:textId="77777777" w:rsidR="00083269" w:rsidRPr="00384CC0" w:rsidRDefault="00083269" w:rsidP="00083269">
      <w:pPr>
        <w:pStyle w:val="ListParagraph"/>
        <w:spacing w:before="180"/>
        <w:ind w:left="1440"/>
        <w:contextualSpacing/>
        <w:rPr>
          <w:szCs w:val="20"/>
          <w:lang w:eastAsia="en-AU"/>
        </w:rPr>
      </w:pPr>
    </w:p>
    <w:p w14:paraId="27291431" w14:textId="77777777" w:rsidR="00083269" w:rsidRPr="006A0EF9" w:rsidRDefault="00083269" w:rsidP="00083269">
      <w:pPr>
        <w:pStyle w:val="ListParagraph"/>
        <w:numPr>
          <w:ilvl w:val="1"/>
          <w:numId w:val="23"/>
        </w:numPr>
        <w:spacing w:before="180"/>
        <w:contextualSpacing/>
        <w:rPr>
          <w:bCs/>
          <w:szCs w:val="20"/>
          <w:lang w:eastAsia="en-AU"/>
        </w:rPr>
      </w:pPr>
      <w:r w:rsidRPr="006A0EF9">
        <w:rPr>
          <w:bCs/>
          <w:szCs w:val="20"/>
          <w:lang w:eastAsia="en-AU"/>
        </w:rPr>
        <w:t>conducting regular fraud risk assessments, to identify current and emerging risks</w:t>
      </w:r>
    </w:p>
    <w:p w14:paraId="6DF868F9" w14:textId="77777777" w:rsidR="00083269" w:rsidRDefault="00083269" w:rsidP="00083269">
      <w:pPr>
        <w:pStyle w:val="ListParagraph"/>
        <w:spacing w:before="180"/>
        <w:ind w:left="1440"/>
        <w:contextualSpacing/>
        <w:rPr>
          <w:szCs w:val="20"/>
          <w:lang w:eastAsia="en-AU"/>
        </w:rPr>
      </w:pPr>
    </w:p>
    <w:p w14:paraId="6DE01C1B" w14:textId="77777777" w:rsidR="00083269" w:rsidRPr="006A0EF9" w:rsidRDefault="00083269" w:rsidP="00083269">
      <w:pPr>
        <w:pStyle w:val="ListParagraph"/>
        <w:numPr>
          <w:ilvl w:val="1"/>
          <w:numId w:val="23"/>
        </w:numPr>
        <w:spacing w:before="180"/>
        <w:contextualSpacing/>
        <w:rPr>
          <w:szCs w:val="20"/>
          <w:lang w:eastAsia="en-AU"/>
        </w:rPr>
      </w:pPr>
      <w:r>
        <w:rPr>
          <w:szCs w:val="20"/>
          <w:lang w:eastAsia="en-AU"/>
        </w:rPr>
        <w:t>r</w:t>
      </w:r>
      <w:r w:rsidRPr="006A0EF9">
        <w:rPr>
          <w:szCs w:val="20"/>
          <w:lang w:eastAsia="en-AU"/>
        </w:rPr>
        <w:t>ecording fraud risks in a fraud risk register or using a fraud risk category in existing registers</w:t>
      </w:r>
    </w:p>
    <w:p w14:paraId="49A31731" w14:textId="77777777" w:rsidR="00083269" w:rsidRDefault="00083269" w:rsidP="00083269">
      <w:pPr>
        <w:pStyle w:val="ListParagraph"/>
        <w:spacing w:before="180"/>
        <w:ind w:left="1440"/>
        <w:contextualSpacing/>
        <w:rPr>
          <w:szCs w:val="20"/>
          <w:lang w:eastAsia="en-AU"/>
        </w:rPr>
      </w:pPr>
    </w:p>
    <w:p w14:paraId="10BD957C" w14:textId="77777777" w:rsidR="00083269" w:rsidRPr="006A0EF9" w:rsidRDefault="00083269" w:rsidP="00083269">
      <w:pPr>
        <w:pStyle w:val="ListParagraph"/>
        <w:numPr>
          <w:ilvl w:val="1"/>
          <w:numId w:val="23"/>
        </w:numPr>
        <w:spacing w:before="180"/>
        <w:contextualSpacing/>
        <w:rPr>
          <w:szCs w:val="20"/>
          <w:lang w:eastAsia="en-AU"/>
        </w:rPr>
      </w:pPr>
      <w:r>
        <w:rPr>
          <w:szCs w:val="20"/>
          <w:lang w:eastAsia="en-AU"/>
        </w:rPr>
        <w:t>i</w:t>
      </w:r>
      <w:r w:rsidRPr="006A0EF9">
        <w:rPr>
          <w:szCs w:val="20"/>
          <w:lang w:eastAsia="en-AU"/>
        </w:rPr>
        <w:t>mproving employee capability to conduct fraud risk assessments and how to effectively design, implement and monitor controls to mitigate risks</w:t>
      </w:r>
    </w:p>
    <w:p w14:paraId="541C71FD" w14:textId="77777777" w:rsidR="00083269" w:rsidRDefault="00083269" w:rsidP="00083269">
      <w:pPr>
        <w:pStyle w:val="ListParagraph"/>
        <w:spacing w:before="180"/>
        <w:ind w:left="1440"/>
        <w:contextualSpacing/>
        <w:rPr>
          <w:szCs w:val="20"/>
          <w:lang w:eastAsia="en-AU"/>
        </w:rPr>
      </w:pPr>
    </w:p>
    <w:p w14:paraId="624DDCBC" w14:textId="77777777" w:rsidR="00083269" w:rsidRPr="006A0EF9" w:rsidRDefault="00083269" w:rsidP="00083269">
      <w:pPr>
        <w:pStyle w:val="ListParagraph"/>
        <w:numPr>
          <w:ilvl w:val="1"/>
          <w:numId w:val="23"/>
        </w:numPr>
        <w:spacing w:before="180"/>
        <w:contextualSpacing/>
        <w:rPr>
          <w:szCs w:val="20"/>
          <w:lang w:eastAsia="en-AU"/>
        </w:rPr>
      </w:pPr>
      <w:r>
        <w:rPr>
          <w:szCs w:val="20"/>
          <w:lang w:eastAsia="en-AU"/>
        </w:rPr>
        <w:t>e</w:t>
      </w:r>
      <w:r w:rsidRPr="006A0EF9">
        <w:rPr>
          <w:szCs w:val="20"/>
          <w:lang w:eastAsia="en-AU"/>
        </w:rPr>
        <w:t>nsuring accountabilities and responsibilities for fraud control are clear, and that controls and treatments to mitigate fraud risks are time-bound, measurable and assigned to a responsible officer.</w:t>
      </w:r>
      <w:r w:rsidRPr="006A0EF9">
        <w:rPr>
          <w:szCs w:val="20"/>
          <w:lang w:eastAsia="en-AU"/>
        </w:rPr>
        <w:br/>
      </w:r>
    </w:p>
    <w:p w14:paraId="601A12BA" w14:textId="77777777" w:rsidR="00083269" w:rsidRPr="007F0C4C" w:rsidRDefault="00083269" w:rsidP="00083269">
      <w:pPr>
        <w:pStyle w:val="ListParagraph"/>
        <w:numPr>
          <w:ilvl w:val="0"/>
          <w:numId w:val="23"/>
        </w:numPr>
        <w:spacing w:before="180"/>
        <w:contextualSpacing/>
        <w:rPr>
          <w:szCs w:val="20"/>
          <w:lang w:eastAsia="en-AU"/>
        </w:rPr>
      </w:pPr>
      <w:r>
        <w:rPr>
          <w:szCs w:val="20"/>
          <w:lang w:eastAsia="en-AU"/>
        </w:rPr>
        <w:t>Mo</w:t>
      </w:r>
      <w:r w:rsidRPr="007F0C4C">
        <w:rPr>
          <w:szCs w:val="20"/>
          <w:lang w:eastAsia="en-AU"/>
        </w:rPr>
        <w:t>nitor</w:t>
      </w:r>
      <w:r>
        <w:rPr>
          <w:szCs w:val="20"/>
          <w:lang w:eastAsia="en-AU"/>
        </w:rPr>
        <w:t>ing</w:t>
      </w:r>
      <w:r w:rsidRPr="007F0C4C">
        <w:rPr>
          <w:szCs w:val="20"/>
          <w:lang w:eastAsia="en-AU"/>
        </w:rPr>
        <w:t xml:space="preserve"> and reporting</w:t>
      </w:r>
      <w:r>
        <w:rPr>
          <w:szCs w:val="20"/>
          <w:lang w:eastAsia="en-AU"/>
        </w:rPr>
        <w:t xml:space="preserve"> </w:t>
      </w:r>
      <w:r w:rsidRPr="007F0C4C">
        <w:rPr>
          <w:szCs w:val="20"/>
          <w:lang w:eastAsia="en-AU"/>
        </w:rPr>
        <w:t>agency, category and individual procurement exposure to fraud risk and the effectiveness of controls to mitigate any risk.</w:t>
      </w:r>
    </w:p>
    <w:p w14:paraId="634D6221" w14:textId="77777777" w:rsidR="00083269" w:rsidRDefault="00083269" w:rsidP="00083269">
      <w:pPr>
        <w:pStyle w:val="ListParagraph"/>
        <w:ind w:left="0"/>
        <w:rPr>
          <w:b/>
          <w:bCs/>
          <w:lang w:eastAsia="en-AU"/>
        </w:rPr>
      </w:pPr>
    </w:p>
    <w:p w14:paraId="2ABA6FCB" w14:textId="77777777" w:rsidR="00083269" w:rsidRPr="005E3BE9" w:rsidRDefault="00083269" w:rsidP="00083269">
      <w:pPr>
        <w:pStyle w:val="Heading2"/>
      </w:pPr>
      <w:bookmarkStart w:id="27" w:name="_Toc56171325"/>
      <w:bookmarkStart w:id="28" w:name="_Toc202939765"/>
      <w:r>
        <w:t>Embedding a probity culture – four focus areas</w:t>
      </w:r>
      <w:bookmarkEnd w:id="27"/>
      <w:bookmarkEnd w:id="28"/>
    </w:p>
    <w:p w14:paraId="4D5F967D" w14:textId="77777777" w:rsidR="00083269" w:rsidRPr="007F0C4C" w:rsidRDefault="00083269" w:rsidP="00083269">
      <w:pPr>
        <w:rPr>
          <w:szCs w:val="20"/>
          <w:lang w:eastAsia="en-AU"/>
        </w:rPr>
      </w:pPr>
      <w:r w:rsidRPr="007F0C4C">
        <w:rPr>
          <w:szCs w:val="20"/>
          <w:lang w:eastAsia="en-AU"/>
        </w:rPr>
        <w:t xml:space="preserve">To put this into practice, individual officers, senior executives and agencies should look at the four focus areas outlined in this section and incorporate the actions set in each focus area. For officers this should be incorporated into day-to-day practice. For senior executives, this should be </w:t>
      </w:r>
      <w:r>
        <w:rPr>
          <w:szCs w:val="20"/>
          <w:lang w:eastAsia="en-AU"/>
        </w:rPr>
        <w:t>a key consideration</w:t>
      </w:r>
      <w:r w:rsidRPr="007F0C4C">
        <w:rPr>
          <w:szCs w:val="20"/>
          <w:lang w:eastAsia="en-AU"/>
        </w:rPr>
        <w:t xml:space="preserve"> during their decision-making processes and modelled in their behaviour. For agencies this should be incorporated in agency procurement procedures and frameworks. The four focus areas are:</w:t>
      </w:r>
    </w:p>
    <w:p w14:paraId="671D07C8" w14:textId="77777777" w:rsidR="00083269" w:rsidRPr="007F0C4C" w:rsidRDefault="00083269" w:rsidP="00083269">
      <w:pPr>
        <w:pStyle w:val="ListParagraph"/>
        <w:numPr>
          <w:ilvl w:val="0"/>
          <w:numId w:val="15"/>
        </w:numPr>
        <w:spacing w:before="60" w:after="180" w:line="360" w:lineRule="auto"/>
        <w:ind w:left="714" w:firstLine="0"/>
        <w:contextualSpacing/>
        <w:rPr>
          <w:szCs w:val="20"/>
          <w:lang w:eastAsia="en-AU"/>
        </w:rPr>
      </w:pPr>
      <w:r w:rsidRPr="007F0C4C">
        <w:rPr>
          <w:szCs w:val="20"/>
          <w:lang w:eastAsia="en-AU"/>
        </w:rPr>
        <w:t>fairness and impartiality</w:t>
      </w:r>
    </w:p>
    <w:p w14:paraId="5FC083B5" w14:textId="77777777" w:rsidR="00083269" w:rsidRPr="007F0C4C" w:rsidRDefault="00083269" w:rsidP="00083269">
      <w:pPr>
        <w:pStyle w:val="ListParagraph"/>
        <w:numPr>
          <w:ilvl w:val="0"/>
          <w:numId w:val="15"/>
        </w:numPr>
        <w:spacing w:before="60" w:after="180" w:line="360" w:lineRule="auto"/>
        <w:ind w:left="714" w:firstLine="0"/>
        <w:contextualSpacing/>
        <w:rPr>
          <w:szCs w:val="20"/>
          <w:lang w:eastAsia="en-AU"/>
        </w:rPr>
      </w:pPr>
      <w:r w:rsidRPr="007F0C4C">
        <w:rPr>
          <w:szCs w:val="20"/>
          <w:lang w:eastAsia="en-AU"/>
        </w:rPr>
        <w:t>accountability and transparency of decisions and process</w:t>
      </w:r>
    </w:p>
    <w:p w14:paraId="7789A0D9" w14:textId="77777777" w:rsidR="00083269" w:rsidRPr="007F0C4C" w:rsidRDefault="00083269" w:rsidP="00083269">
      <w:pPr>
        <w:pStyle w:val="ListParagraph"/>
        <w:numPr>
          <w:ilvl w:val="0"/>
          <w:numId w:val="15"/>
        </w:numPr>
        <w:spacing w:before="60" w:after="180" w:line="360" w:lineRule="auto"/>
        <w:ind w:left="714" w:firstLine="0"/>
        <w:contextualSpacing/>
        <w:rPr>
          <w:lang w:eastAsia="en-AU"/>
        </w:rPr>
      </w:pPr>
      <w:r w:rsidRPr="20E4B047">
        <w:rPr>
          <w:lang w:eastAsia="en-AU"/>
        </w:rPr>
        <w:t xml:space="preserve">managing conflicts of interest </w:t>
      </w:r>
    </w:p>
    <w:p w14:paraId="75ECACD3" w14:textId="77777777" w:rsidR="00083269" w:rsidRPr="007F0C4C" w:rsidRDefault="00083269" w:rsidP="00083269">
      <w:pPr>
        <w:pStyle w:val="ListParagraph"/>
        <w:numPr>
          <w:ilvl w:val="0"/>
          <w:numId w:val="15"/>
        </w:numPr>
        <w:spacing w:before="60" w:after="180" w:line="360" w:lineRule="auto"/>
        <w:ind w:firstLine="0"/>
        <w:contextualSpacing/>
        <w:rPr>
          <w:szCs w:val="20"/>
          <w:lang w:eastAsia="en-AU"/>
        </w:rPr>
      </w:pPr>
      <w:r w:rsidRPr="007F0C4C">
        <w:rPr>
          <w:szCs w:val="20"/>
          <w:lang w:eastAsia="en-AU"/>
        </w:rPr>
        <w:t>managing probity relative to value and risk.</w:t>
      </w:r>
    </w:p>
    <w:p w14:paraId="13AF0E92" w14:textId="77777777" w:rsidR="00083269" w:rsidRPr="007F0C4C" w:rsidRDefault="00083269" w:rsidP="00083269">
      <w:pPr>
        <w:rPr>
          <w:lang w:eastAsia="en-AU"/>
        </w:rPr>
      </w:pPr>
      <w:r w:rsidRPr="20E4B047">
        <w:rPr>
          <w:lang w:eastAsia="en-AU"/>
        </w:rPr>
        <w:t xml:space="preserve">Queensland’s Crime and Corruption Commission has issued a </w:t>
      </w:r>
      <w:hyperlink r:id="rId14">
        <w:r w:rsidRPr="20E4B047">
          <w:rPr>
            <w:rStyle w:val="Hyperlink"/>
            <w:lang w:eastAsia="en-AU"/>
          </w:rPr>
          <w:t>Corruption Prevention Advisory: Procurement and contract management</w:t>
        </w:r>
      </w:hyperlink>
      <w:r w:rsidRPr="20E4B047">
        <w:rPr>
          <w:lang w:eastAsia="en-AU"/>
        </w:rPr>
        <w:t>. It is recommended that agencies review and incorporate these into their procurement procedures and guidelines. It includes information on:</w:t>
      </w:r>
    </w:p>
    <w:p w14:paraId="3DCEAA84" w14:textId="77777777" w:rsidR="00083269" w:rsidRPr="007F0C4C" w:rsidRDefault="00083269" w:rsidP="00083269">
      <w:pPr>
        <w:pStyle w:val="ListParagraph"/>
        <w:numPr>
          <w:ilvl w:val="0"/>
          <w:numId w:val="30"/>
        </w:numPr>
        <w:spacing w:before="180" w:line="264" w:lineRule="auto"/>
        <w:contextualSpacing/>
        <w:rPr>
          <w:szCs w:val="20"/>
          <w:lang w:eastAsia="en-AU"/>
        </w:rPr>
      </w:pPr>
      <w:r w:rsidRPr="007F0C4C">
        <w:rPr>
          <w:szCs w:val="20"/>
          <w:lang w:eastAsia="en-AU"/>
        </w:rPr>
        <w:t>the implementation of clear and effective governance arrangements</w:t>
      </w:r>
    </w:p>
    <w:p w14:paraId="3C705BA0" w14:textId="77777777" w:rsidR="00083269" w:rsidRPr="007F0C4C" w:rsidRDefault="00083269" w:rsidP="00083269">
      <w:pPr>
        <w:pStyle w:val="ListParagraph"/>
        <w:numPr>
          <w:ilvl w:val="0"/>
          <w:numId w:val="30"/>
        </w:numPr>
        <w:spacing w:before="180" w:line="264" w:lineRule="auto"/>
        <w:contextualSpacing/>
        <w:rPr>
          <w:szCs w:val="20"/>
          <w:lang w:eastAsia="en-AU"/>
        </w:rPr>
      </w:pPr>
      <w:r w:rsidRPr="007F0C4C">
        <w:rPr>
          <w:szCs w:val="20"/>
          <w:lang w:eastAsia="en-AU"/>
        </w:rPr>
        <w:t>informing suppliers about public sector values and ethics, and their responsibilities</w:t>
      </w:r>
    </w:p>
    <w:p w14:paraId="3D77E284" w14:textId="77777777" w:rsidR="00083269" w:rsidRPr="007F0C4C" w:rsidRDefault="00083269" w:rsidP="00083269">
      <w:pPr>
        <w:pStyle w:val="ListParagraph"/>
        <w:numPr>
          <w:ilvl w:val="0"/>
          <w:numId w:val="30"/>
        </w:numPr>
        <w:spacing w:before="180" w:line="264" w:lineRule="auto"/>
        <w:contextualSpacing/>
        <w:rPr>
          <w:szCs w:val="20"/>
          <w:lang w:eastAsia="en-AU"/>
        </w:rPr>
      </w:pPr>
      <w:r w:rsidRPr="007F0C4C">
        <w:rPr>
          <w:szCs w:val="20"/>
          <w:lang w:eastAsia="en-AU"/>
        </w:rPr>
        <w:t>procurement-related structures and systems</w:t>
      </w:r>
    </w:p>
    <w:p w14:paraId="3B39B02E" w14:textId="77777777" w:rsidR="00083269" w:rsidRPr="007F0C4C" w:rsidRDefault="00083269" w:rsidP="00083269">
      <w:pPr>
        <w:pStyle w:val="ListParagraph"/>
        <w:numPr>
          <w:ilvl w:val="0"/>
          <w:numId w:val="30"/>
        </w:numPr>
        <w:spacing w:before="180" w:line="264" w:lineRule="auto"/>
        <w:contextualSpacing/>
        <w:rPr>
          <w:szCs w:val="20"/>
          <w:lang w:eastAsia="en-AU"/>
        </w:rPr>
      </w:pPr>
      <w:r w:rsidRPr="007F0C4C">
        <w:rPr>
          <w:szCs w:val="20"/>
          <w:lang w:eastAsia="en-AU"/>
        </w:rPr>
        <w:t>training and awareness.</w:t>
      </w:r>
    </w:p>
    <w:p w14:paraId="2F28A077" w14:textId="77777777" w:rsidR="00083269" w:rsidRPr="007F0C4C" w:rsidRDefault="00083269" w:rsidP="00083269">
      <w:pPr>
        <w:spacing w:after="240"/>
        <w:rPr>
          <w:szCs w:val="20"/>
          <w:lang w:eastAsia="en-AU"/>
        </w:rPr>
      </w:pPr>
      <w:r w:rsidRPr="007F0C4C">
        <w:rPr>
          <w:szCs w:val="20"/>
          <w:lang w:eastAsia="en-AU"/>
        </w:rPr>
        <w:t>Th</w:t>
      </w:r>
      <w:r>
        <w:rPr>
          <w:szCs w:val="20"/>
          <w:lang w:eastAsia="en-AU"/>
        </w:rPr>
        <w:t>ese</w:t>
      </w:r>
      <w:r w:rsidRPr="007F0C4C">
        <w:rPr>
          <w:szCs w:val="20"/>
          <w:lang w:eastAsia="en-AU"/>
        </w:rPr>
        <w:t xml:space="preserve"> resource</w:t>
      </w:r>
      <w:r>
        <w:rPr>
          <w:szCs w:val="20"/>
          <w:lang w:eastAsia="en-AU"/>
        </w:rPr>
        <w:t>s</w:t>
      </w:r>
      <w:r w:rsidRPr="007F0C4C">
        <w:rPr>
          <w:szCs w:val="20"/>
          <w:lang w:eastAsia="en-AU"/>
        </w:rPr>
        <w:t>, if implemented collectively with this guide, provide a solid basis on which an agency can build a probity culture.</w:t>
      </w:r>
    </w:p>
    <w:p w14:paraId="44A0C135" w14:textId="77777777" w:rsidR="00083269" w:rsidRDefault="00083269" w:rsidP="00083269">
      <w:pPr>
        <w:pStyle w:val="Heading3"/>
        <w:keepNext w:val="0"/>
        <w:keepLines w:val="0"/>
        <w:numPr>
          <w:ilvl w:val="0"/>
          <w:numId w:val="32"/>
        </w:numPr>
        <w:autoSpaceDE w:val="0"/>
        <w:autoSpaceDN w:val="0"/>
        <w:adjustRightInd w:val="0"/>
        <w:spacing w:line="264" w:lineRule="auto"/>
        <w:ind w:left="720"/>
      </w:pPr>
      <w:bookmarkStart w:id="29" w:name="_Toc77338197"/>
      <w:bookmarkStart w:id="30" w:name="_Toc77338198"/>
      <w:bookmarkStart w:id="31" w:name="_Toc494373742"/>
      <w:bookmarkStart w:id="32" w:name="_Toc517676712"/>
      <w:bookmarkStart w:id="33" w:name="_Toc56171337"/>
      <w:bookmarkStart w:id="34" w:name="_Toc202939766"/>
      <w:bookmarkEnd w:id="29"/>
      <w:bookmarkEnd w:id="30"/>
      <w:r>
        <w:t>Fairness and impartiality</w:t>
      </w:r>
      <w:bookmarkEnd w:id="31"/>
      <w:bookmarkEnd w:id="32"/>
      <w:bookmarkEnd w:id="33"/>
      <w:bookmarkEnd w:id="34"/>
      <w:r>
        <w:t xml:space="preserve"> </w:t>
      </w:r>
    </w:p>
    <w:p w14:paraId="6620EF22" w14:textId="77777777" w:rsidR="00083269" w:rsidRPr="007F0C4C" w:rsidRDefault="00083269" w:rsidP="00083269">
      <w:pPr>
        <w:spacing w:after="0"/>
        <w:rPr>
          <w:bCs/>
          <w:szCs w:val="20"/>
          <w:lang w:eastAsia="en-AU"/>
        </w:rPr>
      </w:pPr>
      <w:r w:rsidRPr="007F0C4C">
        <w:rPr>
          <w:bCs/>
          <w:szCs w:val="20"/>
          <w:lang w:eastAsia="en-AU"/>
        </w:rPr>
        <w:t>This focus area involves ensuring that everyone involved in the process is treated the same – that no supplier is given an advantage or discriminated against.</w:t>
      </w:r>
    </w:p>
    <w:p w14:paraId="1882E63D" w14:textId="77777777" w:rsidR="00083269" w:rsidRDefault="00083269" w:rsidP="00083269">
      <w:pPr>
        <w:spacing w:after="0"/>
        <w:rPr>
          <w:lang w:eastAsia="en-AU"/>
        </w:rPr>
      </w:pPr>
    </w:p>
    <w:tbl>
      <w:tblPr>
        <w:tblStyle w:val="TableGrid"/>
        <w:tblW w:w="5000" w:type="pct"/>
        <w:tblLook w:val="04A0" w:firstRow="1" w:lastRow="0" w:firstColumn="1" w:lastColumn="0" w:noHBand="0" w:noVBand="1"/>
      </w:tblPr>
      <w:tblGrid>
        <w:gridCol w:w="1639"/>
        <w:gridCol w:w="7377"/>
      </w:tblGrid>
      <w:tr w:rsidR="00083269" w:rsidRPr="007F0C4C" w14:paraId="19681EBE" w14:textId="77777777" w:rsidTr="00373528">
        <w:trPr>
          <w:trHeight w:val="2117"/>
        </w:trPr>
        <w:tc>
          <w:tcPr>
            <w:tcW w:w="909" w:type="pct"/>
            <w:shd w:val="clear" w:color="auto" w:fill="0070C0"/>
          </w:tcPr>
          <w:p w14:paraId="70C76170" w14:textId="77777777" w:rsidR="00083269" w:rsidRPr="007F0C4C" w:rsidRDefault="00083269" w:rsidP="00373528">
            <w:pPr>
              <w:rPr>
                <w:b/>
                <w:szCs w:val="20"/>
                <w:lang w:eastAsia="en-AU"/>
              </w:rPr>
            </w:pPr>
            <w:bookmarkStart w:id="35" w:name="_Hlk485901593"/>
            <w:r w:rsidRPr="007F0C4C">
              <w:rPr>
                <w:b/>
                <w:color w:val="FFFFFF" w:themeColor="background1"/>
                <w:szCs w:val="20"/>
              </w:rPr>
              <w:t>Planning</w:t>
            </w:r>
          </w:p>
        </w:tc>
        <w:tc>
          <w:tcPr>
            <w:tcW w:w="4091" w:type="pct"/>
            <w:shd w:val="clear" w:color="auto" w:fill="auto"/>
          </w:tcPr>
          <w:p w14:paraId="2BF1F721" w14:textId="77777777" w:rsidR="00083269" w:rsidRPr="007F0C4C" w:rsidRDefault="00083269" w:rsidP="00373528">
            <w:pPr>
              <w:pStyle w:val="ListParagraph"/>
              <w:numPr>
                <w:ilvl w:val="0"/>
                <w:numId w:val="9"/>
              </w:numPr>
              <w:spacing w:before="180"/>
              <w:contextualSpacing/>
              <w:rPr>
                <w:b/>
                <w:szCs w:val="20"/>
                <w:lang w:eastAsia="en-AU"/>
              </w:rPr>
            </w:pPr>
            <w:r w:rsidRPr="007F0C4C">
              <w:rPr>
                <w:b/>
                <w:szCs w:val="20"/>
                <w:lang w:eastAsia="en-AU"/>
              </w:rPr>
              <w:t>All tender documentation should be clear and unambiguous</w:t>
            </w:r>
          </w:p>
          <w:p w14:paraId="7CA28720" w14:textId="77777777" w:rsidR="00083269" w:rsidRPr="007F0C4C" w:rsidRDefault="00083269" w:rsidP="00373528">
            <w:pPr>
              <w:ind w:left="360"/>
              <w:rPr>
                <w:szCs w:val="20"/>
              </w:rPr>
            </w:pPr>
            <w:r w:rsidRPr="007F0C4C">
              <w:rPr>
                <w:szCs w:val="20"/>
                <w:lang w:eastAsia="en-AU"/>
              </w:rPr>
              <w:t xml:space="preserve">This should include the conditions of tender, tender evaluation criteria and the proposed conditions of contract. </w:t>
            </w:r>
            <w:proofErr w:type="gramStart"/>
            <w:r w:rsidRPr="007F0C4C">
              <w:rPr>
                <w:szCs w:val="20"/>
                <w:lang w:eastAsia="en-AU"/>
              </w:rPr>
              <w:t>In particular mandatory</w:t>
            </w:r>
            <w:proofErr w:type="gramEnd"/>
            <w:r w:rsidRPr="007F0C4C">
              <w:rPr>
                <w:szCs w:val="20"/>
                <w:lang w:eastAsia="en-AU"/>
              </w:rPr>
              <w:t xml:space="preserve"> criteria should be distinctly identified from desirable criteria. Ensure that any mandatory criteria are legitimately required and are as limited in number as possible.</w:t>
            </w:r>
          </w:p>
          <w:p w14:paraId="0226C42D" w14:textId="77777777" w:rsidR="00083269" w:rsidRPr="007F0C4C" w:rsidRDefault="00083269" w:rsidP="00373528">
            <w:pPr>
              <w:pStyle w:val="ListParagraph"/>
              <w:numPr>
                <w:ilvl w:val="0"/>
                <w:numId w:val="9"/>
              </w:numPr>
              <w:spacing w:before="180"/>
              <w:contextualSpacing/>
              <w:rPr>
                <w:szCs w:val="20"/>
                <w:lang w:eastAsia="en-AU"/>
              </w:rPr>
            </w:pPr>
            <w:r w:rsidRPr="007F0C4C">
              <w:rPr>
                <w:b/>
                <w:szCs w:val="20"/>
                <w:lang w:eastAsia="en-AU"/>
              </w:rPr>
              <w:t xml:space="preserve">Specifications must be free from bias or </w:t>
            </w:r>
            <w:proofErr w:type="spellStart"/>
            <w:r w:rsidRPr="007F0C4C">
              <w:rPr>
                <w:b/>
                <w:szCs w:val="20"/>
                <w:lang w:eastAsia="en-AU"/>
              </w:rPr>
              <w:t>favouritism</w:t>
            </w:r>
            <w:proofErr w:type="spellEnd"/>
          </w:p>
          <w:p w14:paraId="2440950B" w14:textId="77777777" w:rsidR="00083269" w:rsidRPr="007F0C4C" w:rsidRDefault="00083269" w:rsidP="00373528">
            <w:pPr>
              <w:ind w:left="360"/>
              <w:rPr>
                <w:szCs w:val="20"/>
                <w:lang w:eastAsia="en-AU"/>
              </w:rPr>
            </w:pPr>
            <w:r w:rsidRPr="007F0C4C">
              <w:rPr>
                <w:szCs w:val="20"/>
                <w:lang w:eastAsia="en-AU"/>
              </w:rPr>
              <w:lastRenderedPageBreak/>
              <w:t xml:space="preserve">Ensure that specifications are not written to elicit a certain outcome from the tender process, or include requirements which are not genuinely needed and </w:t>
            </w:r>
          </w:p>
          <w:p w14:paraId="5CA27E4B" w14:textId="77777777" w:rsidR="00083269" w:rsidRPr="007F0C4C" w:rsidRDefault="00083269" w:rsidP="00373528">
            <w:pPr>
              <w:ind w:left="360"/>
              <w:rPr>
                <w:szCs w:val="20"/>
                <w:lang w:eastAsia="en-AU"/>
              </w:rPr>
            </w:pPr>
            <w:r w:rsidRPr="007F0C4C">
              <w:rPr>
                <w:szCs w:val="20"/>
                <w:lang w:eastAsia="en-AU"/>
              </w:rPr>
              <w:t>thereby prevent certain suppliers from tendering. Seek to develop supplier agnostic specifications.</w:t>
            </w:r>
          </w:p>
          <w:p w14:paraId="60D3F609" w14:textId="77777777" w:rsidR="00083269" w:rsidRPr="007F0C4C" w:rsidRDefault="00083269" w:rsidP="00373528">
            <w:pPr>
              <w:pStyle w:val="ListParagraph"/>
              <w:numPr>
                <w:ilvl w:val="0"/>
                <w:numId w:val="9"/>
              </w:numPr>
              <w:spacing w:before="180"/>
              <w:contextualSpacing/>
              <w:rPr>
                <w:szCs w:val="20"/>
                <w:lang w:eastAsia="en-AU"/>
              </w:rPr>
            </w:pPr>
            <w:r w:rsidRPr="007F0C4C">
              <w:rPr>
                <w:b/>
                <w:szCs w:val="20"/>
                <w:lang w:eastAsia="en-AU"/>
              </w:rPr>
              <w:t>Government agencies should always use an appropriately competitive process</w:t>
            </w:r>
          </w:p>
          <w:p w14:paraId="3E929B99" w14:textId="77777777" w:rsidR="00083269" w:rsidRPr="007F0C4C" w:rsidRDefault="00083269" w:rsidP="00373528">
            <w:pPr>
              <w:ind w:left="360"/>
              <w:rPr>
                <w:szCs w:val="20"/>
                <w:lang w:eastAsia="en-AU"/>
              </w:rPr>
            </w:pPr>
            <w:r w:rsidRPr="007F0C4C">
              <w:rPr>
                <w:szCs w:val="20"/>
                <w:lang w:eastAsia="en-AU"/>
              </w:rPr>
              <w:t xml:space="preserve">The type of procurement method used (open, selective or limited) must be justifiable and </w:t>
            </w:r>
            <w:proofErr w:type="gramStart"/>
            <w:r w:rsidRPr="007F0C4C">
              <w:rPr>
                <w:szCs w:val="20"/>
                <w:lang w:eastAsia="en-AU"/>
              </w:rPr>
              <w:t>documented, and</w:t>
            </w:r>
            <w:proofErr w:type="gramEnd"/>
            <w:r w:rsidRPr="007F0C4C">
              <w:rPr>
                <w:szCs w:val="20"/>
                <w:lang w:eastAsia="en-AU"/>
              </w:rPr>
              <w:t xml:space="preserve"> should facilitate the delivery of the best procurement outcome. For example, when considering whether to use a limited or selective method, you should follow your agency’s procurement procedures to ensure it is justifiable and defensible to use this procurement method.</w:t>
            </w:r>
          </w:p>
        </w:tc>
      </w:tr>
      <w:tr w:rsidR="00083269" w:rsidRPr="007F0C4C" w14:paraId="4333102E" w14:textId="77777777" w:rsidTr="00373528">
        <w:trPr>
          <w:trHeight w:val="70"/>
        </w:trPr>
        <w:tc>
          <w:tcPr>
            <w:tcW w:w="909" w:type="pct"/>
            <w:shd w:val="clear" w:color="auto" w:fill="0070C0"/>
          </w:tcPr>
          <w:p w14:paraId="4A70108D" w14:textId="77777777" w:rsidR="00083269" w:rsidRPr="007F0C4C" w:rsidRDefault="00083269" w:rsidP="00373528">
            <w:pPr>
              <w:rPr>
                <w:b/>
                <w:color w:val="FFFFFF" w:themeColor="background1"/>
                <w:szCs w:val="20"/>
              </w:rPr>
            </w:pPr>
            <w:r w:rsidRPr="007F0C4C">
              <w:rPr>
                <w:b/>
                <w:color w:val="FFFFFF" w:themeColor="background1"/>
                <w:szCs w:val="20"/>
              </w:rPr>
              <w:lastRenderedPageBreak/>
              <w:t>Go to market</w:t>
            </w:r>
          </w:p>
          <w:p w14:paraId="4837CD89" w14:textId="77777777" w:rsidR="00083269" w:rsidRPr="007F0C4C" w:rsidRDefault="00083269" w:rsidP="00373528">
            <w:pPr>
              <w:rPr>
                <w:b/>
                <w:szCs w:val="20"/>
                <w:lang w:eastAsia="en-AU"/>
              </w:rPr>
            </w:pPr>
          </w:p>
        </w:tc>
        <w:tc>
          <w:tcPr>
            <w:tcW w:w="4091" w:type="pct"/>
            <w:shd w:val="clear" w:color="auto" w:fill="auto"/>
          </w:tcPr>
          <w:p w14:paraId="1FD4D238" w14:textId="77777777" w:rsidR="00083269" w:rsidRPr="007F0C4C" w:rsidRDefault="00083269" w:rsidP="00373528">
            <w:pPr>
              <w:pStyle w:val="ListParagraph"/>
              <w:numPr>
                <w:ilvl w:val="0"/>
                <w:numId w:val="9"/>
              </w:numPr>
              <w:spacing w:before="180"/>
              <w:contextualSpacing/>
              <w:rPr>
                <w:szCs w:val="20"/>
                <w:lang w:eastAsia="en-AU"/>
              </w:rPr>
            </w:pPr>
            <w:r w:rsidRPr="007F0C4C">
              <w:rPr>
                <w:b/>
                <w:szCs w:val="20"/>
                <w:lang w:eastAsia="en-AU"/>
              </w:rPr>
              <w:t>All prospective suppliers should be given the same time to respond to a tender</w:t>
            </w:r>
          </w:p>
          <w:p w14:paraId="429172D4" w14:textId="77777777" w:rsidR="00083269" w:rsidRPr="007F0C4C" w:rsidRDefault="00083269" w:rsidP="00373528">
            <w:pPr>
              <w:ind w:left="360"/>
              <w:rPr>
                <w:szCs w:val="20"/>
                <w:lang w:eastAsia="en-AU"/>
              </w:rPr>
            </w:pPr>
            <w:r w:rsidRPr="007F0C4C">
              <w:rPr>
                <w:szCs w:val="20"/>
                <w:lang w:eastAsia="en-AU"/>
              </w:rPr>
              <w:t>Ensure all suppliers have the same closing date and time by which to submit an offer. If this changes, information about the change must be given to all suppliers to ensure equal access of opportunity.</w:t>
            </w:r>
          </w:p>
          <w:p w14:paraId="60EF099A" w14:textId="77777777" w:rsidR="00083269" w:rsidRPr="007F0C4C" w:rsidRDefault="00083269" w:rsidP="00373528">
            <w:pPr>
              <w:pStyle w:val="ListParagraph"/>
              <w:numPr>
                <w:ilvl w:val="0"/>
                <w:numId w:val="10"/>
              </w:numPr>
              <w:spacing w:before="180"/>
              <w:contextualSpacing/>
              <w:rPr>
                <w:szCs w:val="20"/>
                <w:lang w:eastAsia="en-AU"/>
              </w:rPr>
            </w:pPr>
            <w:r w:rsidRPr="007F0C4C">
              <w:rPr>
                <w:b/>
                <w:szCs w:val="20"/>
                <w:lang w:eastAsia="en-AU"/>
              </w:rPr>
              <w:t>All prospective suppliers should have the same level of access to materials and information during the tender process</w:t>
            </w:r>
          </w:p>
          <w:p w14:paraId="4D5049F0" w14:textId="77777777" w:rsidR="00083269" w:rsidRPr="007F0C4C" w:rsidRDefault="00083269" w:rsidP="00373528">
            <w:pPr>
              <w:ind w:left="360"/>
              <w:rPr>
                <w:szCs w:val="20"/>
                <w:lang w:eastAsia="en-AU"/>
              </w:rPr>
            </w:pPr>
            <w:r w:rsidRPr="007F0C4C">
              <w:rPr>
                <w:szCs w:val="20"/>
                <w:lang w:eastAsia="en-AU"/>
              </w:rPr>
              <w:t>Responses to requests for information or clarification from any supplier which may materially assist them should be de-identified with any confidential supplier information removed and provided to all prospective suppliers.</w:t>
            </w:r>
          </w:p>
          <w:p w14:paraId="1C3152BB" w14:textId="77777777" w:rsidR="00083269" w:rsidRPr="007F0C4C" w:rsidRDefault="00083269" w:rsidP="00373528">
            <w:pPr>
              <w:pStyle w:val="ListParagraph"/>
              <w:numPr>
                <w:ilvl w:val="0"/>
                <w:numId w:val="10"/>
              </w:numPr>
              <w:spacing w:before="180"/>
              <w:contextualSpacing/>
              <w:rPr>
                <w:b/>
                <w:szCs w:val="20"/>
                <w:lang w:eastAsia="en-AU"/>
              </w:rPr>
            </w:pPr>
            <w:r w:rsidRPr="007F0C4C">
              <w:rPr>
                <w:b/>
                <w:szCs w:val="20"/>
                <w:lang w:eastAsia="en-AU"/>
              </w:rPr>
              <w:t>Evaluation methodology and criteria weightings should be documented and decided upon before suppliers are invited to submit offers</w:t>
            </w:r>
          </w:p>
          <w:p w14:paraId="2B3FA1E8" w14:textId="77777777" w:rsidR="00083269" w:rsidRPr="007F0C4C" w:rsidRDefault="00083269" w:rsidP="00373528">
            <w:pPr>
              <w:ind w:left="360"/>
              <w:rPr>
                <w:szCs w:val="20"/>
                <w:lang w:eastAsia="en-AU"/>
              </w:rPr>
            </w:pPr>
            <w:r w:rsidRPr="007F0C4C">
              <w:rPr>
                <w:szCs w:val="20"/>
                <w:lang w:eastAsia="en-AU"/>
              </w:rPr>
              <w:t>If any alteration to the agreed evaluation process is required, this must be communicated to all suppliers participating in the process. In turn, all suppliers must be allowed adequate time to respond to this change – this may require an extension to the closing date/time or, in some circumstances, cancellation of the current process and the commencement of a new process.</w:t>
            </w:r>
          </w:p>
        </w:tc>
      </w:tr>
      <w:tr w:rsidR="00083269" w:rsidRPr="007F0C4C" w14:paraId="209C1823" w14:textId="77777777" w:rsidTr="00373528">
        <w:tc>
          <w:tcPr>
            <w:tcW w:w="909" w:type="pct"/>
            <w:shd w:val="clear" w:color="auto" w:fill="0070C0"/>
          </w:tcPr>
          <w:p w14:paraId="190098D1" w14:textId="77777777" w:rsidR="00083269" w:rsidRPr="007F0C4C" w:rsidRDefault="00083269" w:rsidP="00373528">
            <w:pPr>
              <w:rPr>
                <w:b/>
                <w:szCs w:val="20"/>
                <w:lang w:eastAsia="en-AU"/>
              </w:rPr>
            </w:pPr>
            <w:r w:rsidRPr="007F0C4C">
              <w:rPr>
                <w:b/>
                <w:color w:val="FFFFFF" w:themeColor="background1"/>
                <w:szCs w:val="20"/>
              </w:rPr>
              <w:t>Evaluation</w:t>
            </w:r>
          </w:p>
        </w:tc>
        <w:tc>
          <w:tcPr>
            <w:tcW w:w="4091" w:type="pct"/>
            <w:shd w:val="clear" w:color="auto" w:fill="auto"/>
          </w:tcPr>
          <w:p w14:paraId="46F3572D" w14:textId="77777777" w:rsidR="00083269" w:rsidRPr="007F0C4C" w:rsidRDefault="00083269" w:rsidP="00373528">
            <w:pPr>
              <w:pStyle w:val="ListParagraph"/>
              <w:numPr>
                <w:ilvl w:val="0"/>
                <w:numId w:val="10"/>
              </w:numPr>
              <w:spacing w:before="180"/>
              <w:contextualSpacing/>
              <w:rPr>
                <w:b/>
                <w:szCs w:val="20"/>
                <w:lang w:eastAsia="en-AU"/>
              </w:rPr>
            </w:pPr>
            <w:r w:rsidRPr="007F0C4C">
              <w:rPr>
                <w:b/>
                <w:szCs w:val="20"/>
                <w:lang w:eastAsia="en-AU"/>
              </w:rPr>
              <w:t>Evaluation of supplier offers must occur against the documented criteria and be objective</w:t>
            </w:r>
          </w:p>
          <w:p w14:paraId="00643D9B" w14:textId="77777777" w:rsidR="00083269" w:rsidRPr="007F0C4C" w:rsidRDefault="00083269" w:rsidP="00373528">
            <w:pPr>
              <w:ind w:left="360"/>
              <w:rPr>
                <w:b/>
                <w:szCs w:val="20"/>
                <w:lang w:eastAsia="en-AU"/>
              </w:rPr>
            </w:pPr>
            <w:r w:rsidRPr="007F0C4C">
              <w:rPr>
                <w:szCs w:val="20"/>
                <w:lang w:eastAsia="en-AU"/>
              </w:rPr>
              <w:t xml:space="preserve">Each supplier’s offer must be afforded due consideration free from any preconceived ideas or bias. Information used to evaluate a supplier must be evidence-based. </w:t>
            </w:r>
          </w:p>
        </w:tc>
      </w:tr>
      <w:tr w:rsidR="00083269" w:rsidRPr="007F0C4C" w14:paraId="5C374058" w14:textId="77777777" w:rsidTr="00373528">
        <w:tc>
          <w:tcPr>
            <w:tcW w:w="909" w:type="pct"/>
            <w:shd w:val="clear" w:color="auto" w:fill="0070C0"/>
          </w:tcPr>
          <w:p w14:paraId="1F56AC5E" w14:textId="77777777" w:rsidR="00083269" w:rsidRPr="007F0C4C" w:rsidRDefault="00083269" w:rsidP="00373528">
            <w:pPr>
              <w:rPr>
                <w:b/>
                <w:color w:val="FFFFFF" w:themeColor="background1"/>
                <w:szCs w:val="20"/>
              </w:rPr>
            </w:pPr>
            <w:r w:rsidRPr="007F0C4C">
              <w:rPr>
                <w:b/>
                <w:color w:val="FFFFFF" w:themeColor="background1"/>
                <w:szCs w:val="20"/>
              </w:rPr>
              <w:t>Award</w:t>
            </w:r>
          </w:p>
        </w:tc>
        <w:tc>
          <w:tcPr>
            <w:tcW w:w="4091" w:type="pct"/>
            <w:shd w:val="clear" w:color="auto" w:fill="auto"/>
          </w:tcPr>
          <w:p w14:paraId="5B1F561B" w14:textId="77777777" w:rsidR="00083269" w:rsidRPr="007F0C4C" w:rsidRDefault="00083269" w:rsidP="00373528">
            <w:pPr>
              <w:pStyle w:val="ListParagraph"/>
              <w:numPr>
                <w:ilvl w:val="0"/>
                <w:numId w:val="10"/>
              </w:numPr>
              <w:spacing w:before="180"/>
              <w:contextualSpacing/>
              <w:rPr>
                <w:b/>
                <w:szCs w:val="20"/>
                <w:lang w:eastAsia="en-AU"/>
              </w:rPr>
            </w:pPr>
            <w:r w:rsidRPr="007F0C4C">
              <w:rPr>
                <w:b/>
                <w:szCs w:val="20"/>
                <w:lang w:eastAsia="en-AU"/>
              </w:rPr>
              <w:t>The contract must be awarded in an open, clear and defensible manner.</w:t>
            </w:r>
          </w:p>
        </w:tc>
      </w:tr>
    </w:tbl>
    <w:p w14:paraId="4EAC5772" w14:textId="77777777" w:rsidR="00083269" w:rsidRDefault="00083269" w:rsidP="00083269">
      <w:pPr>
        <w:pStyle w:val="Heading3"/>
        <w:keepNext w:val="0"/>
        <w:keepLines w:val="0"/>
        <w:numPr>
          <w:ilvl w:val="0"/>
          <w:numId w:val="32"/>
        </w:numPr>
        <w:autoSpaceDE w:val="0"/>
        <w:autoSpaceDN w:val="0"/>
        <w:adjustRightInd w:val="0"/>
        <w:spacing w:line="264" w:lineRule="auto"/>
        <w:ind w:left="720"/>
      </w:pPr>
      <w:bookmarkStart w:id="36" w:name="_Toc56171338"/>
      <w:bookmarkStart w:id="37" w:name="_Toc56171339"/>
      <w:bookmarkStart w:id="38" w:name="_Toc56171340"/>
      <w:bookmarkStart w:id="39" w:name="_Toc56171341"/>
      <w:bookmarkStart w:id="40" w:name="_Toc494373743"/>
      <w:bookmarkStart w:id="41" w:name="_Toc517676713"/>
      <w:bookmarkStart w:id="42" w:name="_Toc56171342"/>
      <w:bookmarkStart w:id="43" w:name="_Toc202939767"/>
      <w:bookmarkStart w:id="44" w:name="_Hlk485903151"/>
      <w:bookmarkEnd w:id="35"/>
      <w:bookmarkEnd w:id="36"/>
      <w:bookmarkEnd w:id="37"/>
      <w:bookmarkEnd w:id="38"/>
      <w:bookmarkEnd w:id="39"/>
      <w:r w:rsidRPr="00D50C1E">
        <w:t>Accountability and transparency of decisions and process</w:t>
      </w:r>
      <w:bookmarkEnd w:id="40"/>
      <w:bookmarkEnd w:id="41"/>
      <w:bookmarkEnd w:id="42"/>
      <w:bookmarkEnd w:id="43"/>
    </w:p>
    <w:p w14:paraId="44A38455" w14:textId="77777777" w:rsidR="00083269" w:rsidRPr="007F0C4C" w:rsidRDefault="00083269" w:rsidP="00083269">
      <w:pPr>
        <w:spacing w:after="0"/>
        <w:rPr>
          <w:bCs/>
          <w:szCs w:val="20"/>
          <w:lang w:eastAsia="en-AU"/>
        </w:rPr>
      </w:pPr>
      <w:r w:rsidRPr="007F0C4C">
        <w:rPr>
          <w:bCs/>
          <w:szCs w:val="20"/>
          <w:lang w:eastAsia="en-AU"/>
        </w:rPr>
        <w:t>This focus area aims to maintain the integrity of procurement decisions and processes.</w:t>
      </w:r>
    </w:p>
    <w:p w14:paraId="50189B80" w14:textId="77777777" w:rsidR="00083269" w:rsidRDefault="00083269" w:rsidP="00083269">
      <w:pPr>
        <w:spacing w:after="0"/>
        <w:rPr>
          <w:lang w:eastAsia="en-AU"/>
        </w:rPr>
      </w:pPr>
    </w:p>
    <w:tbl>
      <w:tblPr>
        <w:tblStyle w:val="TableGrid"/>
        <w:tblW w:w="5000" w:type="pct"/>
        <w:tblLook w:val="04A0" w:firstRow="1" w:lastRow="0" w:firstColumn="1" w:lastColumn="0" w:noHBand="0" w:noVBand="1"/>
      </w:tblPr>
      <w:tblGrid>
        <w:gridCol w:w="1843"/>
        <w:gridCol w:w="7173"/>
      </w:tblGrid>
      <w:tr w:rsidR="00083269" w:rsidRPr="007F0C4C" w14:paraId="5912A50F" w14:textId="77777777" w:rsidTr="00373528">
        <w:tc>
          <w:tcPr>
            <w:tcW w:w="1022" w:type="pct"/>
            <w:shd w:val="clear" w:color="auto" w:fill="0070C0"/>
          </w:tcPr>
          <w:p w14:paraId="5B12698C" w14:textId="77777777" w:rsidR="00083269" w:rsidRPr="007F0C4C" w:rsidRDefault="00083269" w:rsidP="00373528">
            <w:pPr>
              <w:rPr>
                <w:b/>
                <w:szCs w:val="20"/>
              </w:rPr>
            </w:pPr>
            <w:r w:rsidRPr="007F0C4C">
              <w:rPr>
                <w:b/>
                <w:color w:val="FFFFFF" w:themeColor="background1"/>
                <w:szCs w:val="20"/>
              </w:rPr>
              <w:t>Planning</w:t>
            </w:r>
          </w:p>
        </w:tc>
        <w:tc>
          <w:tcPr>
            <w:tcW w:w="3978" w:type="pct"/>
            <w:shd w:val="clear" w:color="auto" w:fill="auto"/>
          </w:tcPr>
          <w:p w14:paraId="6C67F6D9" w14:textId="77777777" w:rsidR="00083269" w:rsidRPr="007F0C4C" w:rsidRDefault="00083269" w:rsidP="00083269">
            <w:pPr>
              <w:pStyle w:val="ListParagraph"/>
              <w:numPr>
                <w:ilvl w:val="0"/>
                <w:numId w:val="18"/>
              </w:numPr>
              <w:spacing w:before="180"/>
              <w:contextualSpacing/>
              <w:rPr>
                <w:b/>
                <w:szCs w:val="20"/>
                <w:lang w:eastAsia="en-AU"/>
              </w:rPr>
            </w:pPr>
            <w:r w:rsidRPr="007F0C4C">
              <w:rPr>
                <w:b/>
                <w:szCs w:val="20"/>
                <w:lang w:eastAsia="en-AU"/>
              </w:rPr>
              <w:t>Prepare a procurement plan which is aligned to the nature, scope, scale, risk and value of the procurement, and which integrates probity considerations.</w:t>
            </w:r>
          </w:p>
          <w:p w14:paraId="6B75DE9C" w14:textId="77777777" w:rsidR="00083269" w:rsidRPr="007F0C4C" w:rsidRDefault="00083269" w:rsidP="00373528">
            <w:pPr>
              <w:pStyle w:val="ListParagraph"/>
              <w:ind w:left="360"/>
              <w:rPr>
                <w:bCs/>
                <w:szCs w:val="20"/>
                <w:lang w:eastAsia="en-AU"/>
              </w:rPr>
            </w:pPr>
            <w:r w:rsidRPr="007F0C4C">
              <w:rPr>
                <w:bCs/>
                <w:szCs w:val="20"/>
                <w:lang w:eastAsia="en-AU"/>
              </w:rPr>
              <w:t>The plan, including associated plans (e.g. evaluation, implementation, probity) should be prepared and approved by the appropriate delegate prior to inviting offers. These plans serve to guide the conduct of the procurement, provide transparency and accountability of process, and minimise the risk of challenge to decisions made.</w:t>
            </w:r>
          </w:p>
          <w:p w14:paraId="23EA0993" w14:textId="77777777" w:rsidR="00083269" w:rsidRPr="007F0C4C" w:rsidRDefault="00083269" w:rsidP="00373528">
            <w:pPr>
              <w:pStyle w:val="ListParagraph"/>
              <w:ind w:left="360"/>
              <w:rPr>
                <w:bCs/>
                <w:szCs w:val="20"/>
                <w:lang w:eastAsia="en-AU"/>
              </w:rPr>
            </w:pPr>
          </w:p>
          <w:p w14:paraId="647E0C77" w14:textId="77777777" w:rsidR="00083269" w:rsidRPr="007F0C4C" w:rsidRDefault="00083269" w:rsidP="00373528">
            <w:pPr>
              <w:pStyle w:val="ListParagraph"/>
              <w:ind w:left="360"/>
              <w:rPr>
                <w:bCs/>
                <w:szCs w:val="20"/>
                <w:lang w:eastAsia="en-AU"/>
              </w:rPr>
            </w:pPr>
            <w:r w:rsidRPr="007F0C4C">
              <w:rPr>
                <w:bCs/>
                <w:szCs w:val="20"/>
                <w:lang w:eastAsia="en-AU"/>
              </w:rPr>
              <w:t xml:space="preserve">In preparing these plans, consider how probity should be addressed throughout the procurement, from the identification of relevant risks of the goods and/or service procured through to the award of the contract. </w:t>
            </w:r>
          </w:p>
          <w:p w14:paraId="52B116AF" w14:textId="77777777" w:rsidR="00083269" w:rsidRPr="007F0C4C" w:rsidRDefault="00083269" w:rsidP="00373528">
            <w:pPr>
              <w:pStyle w:val="ListParagraph"/>
              <w:ind w:left="360"/>
              <w:rPr>
                <w:bCs/>
                <w:szCs w:val="20"/>
                <w:lang w:eastAsia="en-AU"/>
              </w:rPr>
            </w:pPr>
          </w:p>
          <w:p w14:paraId="6EC00F2A" w14:textId="77777777" w:rsidR="00083269" w:rsidRPr="007F0C4C" w:rsidRDefault="00083269" w:rsidP="00373528">
            <w:pPr>
              <w:pStyle w:val="ListParagraph"/>
              <w:ind w:left="360"/>
              <w:rPr>
                <w:bCs/>
                <w:szCs w:val="20"/>
                <w:lang w:eastAsia="en-AU"/>
              </w:rPr>
            </w:pPr>
            <w:r w:rsidRPr="007F0C4C">
              <w:rPr>
                <w:bCs/>
                <w:szCs w:val="20"/>
                <w:lang w:eastAsia="en-AU"/>
              </w:rPr>
              <w:t xml:space="preserve">Risk assessments should be conducted to identify current and emerging risks (e.g. probity, fraud, corruption, </w:t>
            </w:r>
            <w:proofErr w:type="gramStart"/>
            <w:r w:rsidRPr="007F0C4C">
              <w:rPr>
                <w:bCs/>
                <w:szCs w:val="20"/>
                <w:lang w:eastAsia="en-AU"/>
              </w:rPr>
              <w:t>reputational</w:t>
            </w:r>
            <w:proofErr w:type="gramEnd"/>
            <w:r w:rsidRPr="007F0C4C">
              <w:rPr>
                <w:bCs/>
                <w:szCs w:val="20"/>
                <w:lang w:eastAsia="en-AU"/>
              </w:rPr>
              <w:t>, service delivery). Risks should be recorded in a register, monitored and mitigated through the application of appropriate controls and treatments. For fraud risks, ensure these are managed in line with any applicable agency fraud and/or corruption control policies and plans.</w:t>
            </w:r>
          </w:p>
        </w:tc>
      </w:tr>
      <w:tr w:rsidR="00083269" w:rsidRPr="007F0C4C" w14:paraId="0681774D" w14:textId="77777777" w:rsidTr="00373528">
        <w:tc>
          <w:tcPr>
            <w:tcW w:w="1022" w:type="pct"/>
            <w:shd w:val="clear" w:color="auto" w:fill="0070C0"/>
          </w:tcPr>
          <w:p w14:paraId="3B531262" w14:textId="77777777" w:rsidR="00083269" w:rsidRPr="007F0C4C" w:rsidRDefault="00083269" w:rsidP="00373528">
            <w:pPr>
              <w:rPr>
                <w:b/>
                <w:szCs w:val="20"/>
              </w:rPr>
            </w:pPr>
            <w:r w:rsidRPr="007F0C4C">
              <w:rPr>
                <w:b/>
                <w:color w:val="FFFFFF" w:themeColor="background1"/>
                <w:szCs w:val="20"/>
              </w:rPr>
              <w:lastRenderedPageBreak/>
              <w:t>Evaluation panel composition</w:t>
            </w:r>
          </w:p>
        </w:tc>
        <w:tc>
          <w:tcPr>
            <w:tcW w:w="3978" w:type="pct"/>
            <w:shd w:val="clear" w:color="auto" w:fill="auto"/>
          </w:tcPr>
          <w:p w14:paraId="7CF4FC96" w14:textId="77777777" w:rsidR="00083269" w:rsidRPr="007F0C4C" w:rsidRDefault="00083269" w:rsidP="00083269">
            <w:pPr>
              <w:pStyle w:val="ListParagraph"/>
              <w:numPr>
                <w:ilvl w:val="0"/>
                <w:numId w:val="18"/>
              </w:numPr>
              <w:spacing w:before="180"/>
              <w:contextualSpacing/>
              <w:rPr>
                <w:szCs w:val="20"/>
                <w:lang w:eastAsia="en-AU"/>
              </w:rPr>
            </w:pPr>
            <w:r w:rsidRPr="007F0C4C">
              <w:rPr>
                <w:b/>
                <w:szCs w:val="20"/>
                <w:lang w:eastAsia="en-AU"/>
              </w:rPr>
              <w:t>Multiple officers should undertake a tender evaluation process</w:t>
            </w:r>
          </w:p>
          <w:p w14:paraId="5D8AEF2A" w14:textId="77777777" w:rsidR="00083269" w:rsidRPr="007F0C4C" w:rsidRDefault="00083269" w:rsidP="00373528">
            <w:pPr>
              <w:ind w:left="360"/>
              <w:rPr>
                <w:szCs w:val="20"/>
                <w:lang w:eastAsia="en-AU"/>
              </w:rPr>
            </w:pPr>
            <w:r w:rsidRPr="007F0C4C">
              <w:rPr>
                <w:szCs w:val="20"/>
                <w:lang w:eastAsia="en-AU"/>
              </w:rPr>
              <w:t>All evaluation panel members must agree on the evaluation criteria. The panel members should be briefed on the evaluation process, procedures and probity requirements prior to commencing (e.g. protocols covering how communication with suppliers is to occur).</w:t>
            </w:r>
          </w:p>
          <w:p w14:paraId="36061505" w14:textId="77777777" w:rsidR="00083269" w:rsidRDefault="00083269" w:rsidP="00373528">
            <w:pPr>
              <w:ind w:left="360"/>
              <w:rPr>
                <w:szCs w:val="20"/>
                <w:lang w:eastAsia="en-AU"/>
              </w:rPr>
            </w:pPr>
          </w:p>
          <w:p w14:paraId="226136D6" w14:textId="77777777" w:rsidR="00083269" w:rsidRPr="007F0C4C" w:rsidRDefault="00083269" w:rsidP="00373528">
            <w:pPr>
              <w:ind w:left="360"/>
              <w:rPr>
                <w:szCs w:val="20"/>
                <w:lang w:eastAsia="en-AU"/>
              </w:rPr>
            </w:pPr>
            <w:r>
              <w:rPr>
                <w:szCs w:val="20"/>
                <w:lang w:eastAsia="en-AU"/>
              </w:rPr>
              <w:t>E</w:t>
            </w:r>
            <w:r w:rsidRPr="007F0C4C">
              <w:rPr>
                <w:szCs w:val="20"/>
                <w:lang w:eastAsia="en-AU"/>
              </w:rPr>
              <w:t>valuation panel members should include Queensland Government employees. In circumstances where an external consultant</w:t>
            </w:r>
            <w:r>
              <w:rPr>
                <w:szCs w:val="20"/>
                <w:lang w:eastAsia="en-AU"/>
              </w:rPr>
              <w:t xml:space="preserve"> and/or contractor</w:t>
            </w:r>
            <w:r w:rsidRPr="007F0C4C">
              <w:rPr>
                <w:szCs w:val="20"/>
                <w:lang w:eastAsia="en-AU"/>
              </w:rPr>
              <w:t xml:space="preserve"> is required to form part of the evaluation panel it is prudent to request that the</w:t>
            </w:r>
            <w:r>
              <w:rPr>
                <w:szCs w:val="20"/>
                <w:lang w:eastAsia="en-AU"/>
              </w:rPr>
              <w:t>y</w:t>
            </w:r>
            <w:r w:rsidRPr="007F0C4C">
              <w:rPr>
                <w:szCs w:val="20"/>
                <w:lang w:eastAsia="en-AU"/>
              </w:rPr>
              <w:t xml:space="preserve"> disclose both personal and organisational conflicts of interest. Officers should check agency procedures for further information about the composition of the evaluation panel.</w:t>
            </w:r>
          </w:p>
        </w:tc>
      </w:tr>
      <w:tr w:rsidR="00083269" w:rsidRPr="007F0C4C" w14:paraId="78D9FC75" w14:textId="77777777" w:rsidTr="00373528">
        <w:tc>
          <w:tcPr>
            <w:tcW w:w="1022" w:type="pct"/>
            <w:shd w:val="clear" w:color="auto" w:fill="0070C0"/>
          </w:tcPr>
          <w:p w14:paraId="2FCA8A5C" w14:textId="77777777" w:rsidR="00083269" w:rsidRPr="007F0C4C" w:rsidRDefault="00083269" w:rsidP="00373528">
            <w:pPr>
              <w:rPr>
                <w:b/>
                <w:szCs w:val="20"/>
              </w:rPr>
            </w:pPr>
            <w:r w:rsidRPr="007F0C4C">
              <w:rPr>
                <w:b/>
                <w:color w:val="FFFFFF" w:themeColor="background1"/>
                <w:szCs w:val="20"/>
              </w:rPr>
              <w:t>Recordkeeping</w:t>
            </w:r>
          </w:p>
        </w:tc>
        <w:tc>
          <w:tcPr>
            <w:tcW w:w="3978" w:type="pct"/>
            <w:shd w:val="clear" w:color="auto" w:fill="auto"/>
          </w:tcPr>
          <w:p w14:paraId="082AA68B" w14:textId="77777777" w:rsidR="00083269" w:rsidRPr="007F0C4C" w:rsidRDefault="00083269" w:rsidP="00083269">
            <w:pPr>
              <w:pStyle w:val="ListParagraph"/>
              <w:numPr>
                <w:ilvl w:val="0"/>
                <w:numId w:val="18"/>
              </w:numPr>
              <w:spacing w:before="180"/>
              <w:contextualSpacing/>
              <w:rPr>
                <w:szCs w:val="20"/>
                <w:lang w:eastAsia="en-AU"/>
              </w:rPr>
            </w:pPr>
            <w:r w:rsidRPr="007F0C4C">
              <w:rPr>
                <w:b/>
                <w:szCs w:val="20"/>
                <w:lang w:eastAsia="en-AU"/>
              </w:rPr>
              <w:t>Keep accurate records for all stages of the procurement process</w:t>
            </w:r>
            <w:r w:rsidRPr="007F0C4C">
              <w:rPr>
                <w:szCs w:val="20"/>
                <w:lang w:eastAsia="en-AU"/>
              </w:rPr>
              <w:t xml:space="preserve"> </w:t>
            </w:r>
          </w:p>
          <w:p w14:paraId="6743E209" w14:textId="77777777" w:rsidR="00083269" w:rsidRPr="007F0C4C" w:rsidRDefault="00083269" w:rsidP="00373528">
            <w:pPr>
              <w:ind w:left="360"/>
              <w:rPr>
                <w:szCs w:val="20"/>
                <w:lang w:eastAsia="en-AU"/>
              </w:rPr>
            </w:pPr>
            <w:r w:rsidRPr="007F0C4C">
              <w:rPr>
                <w:szCs w:val="20"/>
                <w:lang w:eastAsia="en-AU"/>
              </w:rPr>
              <w:t xml:space="preserve">All decisions (and the process used to arrive at a decision) need to be documented to provide sufficient information for </w:t>
            </w:r>
            <w:proofErr w:type="gramStart"/>
            <w:r w:rsidRPr="007F0C4C">
              <w:rPr>
                <w:szCs w:val="20"/>
                <w:lang w:eastAsia="en-AU"/>
              </w:rPr>
              <w:t>audit</w:t>
            </w:r>
            <w:proofErr w:type="gramEnd"/>
            <w:r w:rsidRPr="007F0C4C">
              <w:rPr>
                <w:szCs w:val="20"/>
                <w:lang w:eastAsia="en-AU"/>
              </w:rPr>
              <w:t xml:space="preserve"> or other review. This should include details on specification development, how criteria and weightings were decided, and the tender evaluation process, including the officers involved and who gave approvals at sign-off points. </w:t>
            </w:r>
          </w:p>
          <w:p w14:paraId="32434E4F" w14:textId="77777777" w:rsidR="00083269" w:rsidRDefault="00083269" w:rsidP="00373528">
            <w:pPr>
              <w:ind w:left="360"/>
              <w:rPr>
                <w:szCs w:val="20"/>
                <w:lang w:eastAsia="en-AU"/>
              </w:rPr>
            </w:pPr>
          </w:p>
          <w:p w14:paraId="5B1FFAC6" w14:textId="77777777" w:rsidR="00083269" w:rsidRDefault="00083269" w:rsidP="00373528">
            <w:pPr>
              <w:ind w:left="360"/>
              <w:rPr>
                <w:szCs w:val="20"/>
                <w:lang w:eastAsia="en-AU"/>
              </w:rPr>
            </w:pPr>
            <w:r w:rsidRPr="007F0C4C">
              <w:rPr>
                <w:szCs w:val="20"/>
                <w:lang w:eastAsia="en-AU"/>
              </w:rPr>
              <w:t>Officers must also ensure that they meet their agency’s legislative obligations when it comes to capturing, managing and disposing of records.</w:t>
            </w:r>
            <w:r>
              <w:rPr>
                <w:szCs w:val="20"/>
                <w:lang w:eastAsia="en-AU"/>
              </w:rPr>
              <w:t xml:space="preserve"> </w:t>
            </w:r>
          </w:p>
          <w:p w14:paraId="74E4621B" w14:textId="77777777" w:rsidR="00083269" w:rsidRPr="007F0C4C" w:rsidRDefault="00083269" w:rsidP="00373528">
            <w:pPr>
              <w:ind w:left="360"/>
              <w:rPr>
                <w:szCs w:val="20"/>
                <w:lang w:eastAsia="en-AU"/>
              </w:rPr>
            </w:pPr>
          </w:p>
          <w:p w14:paraId="7894A063" w14:textId="77777777" w:rsidR="00083269" w:rsidRPr="007F0C4C" w:rsidRDefault="00083269" w:rsidP="00373528">
            <w:pPr>
              <w:ind w:left="360"/>
              <w:rPr>
                <w:szCs w:val="20"/>
                <w:lang w:eastAsia="en-AU"/>
              </w:rPr>
            </w:pPr>
            <w:r w:rsidRPr="007F0C4C">
              <w:rPr>
                <w:szCs w:val="20"/>
                <w:lang w:eastAsia="en-AU"/>
              </w:rPr>
              <w:t>Panel chairs must ensure that all documentation is completed properly and in a timely manner.</w:t>
            </w:r>
          </w:p>
        </w:tc>
      </w:tr>
      <w:tr w:rsidR="00083269" w:rsidRPr="007F0C4C" w14:paraId="6B4C29B1" w14:textId="77777777" w:rsidTr="00373528">
        <w:tc>
          <w:tcPr>
            <w:tcW w:w="1022" w:type="pct"/>
            <w:shd w:val="clear" w:color="auto" w:fill="0070C0"/>
          </w:tcPr>
          <w:p w14:paraId="5DB71681" w14:textId="77777777" w:rsidR="00083269" w:rsidRPr="007F0C4C" w:rsidRDefault="00083269" w:rsidP="00373528">
            <w:pPr>
              <w:rPr>
                <w:b/>
                <w:szCs w:val="20"/>
              </w:rPr>
            </w:pPr>
            <w:r w:rsidRPr="007F0C4C">
              <w:rPr>
                <w:b/>
                <w:color w:val="FFFFFF" w:themeColor="background1"/>
                <w:szCs w:val="20"/>
              </w:rPr>
              <w:t>Supplier communication</w:t>
            </w:r>
          </w:p>
        </w:tc>
        <w:tc>
          <w:tcPr>
            <w:tcW w:w="3978" w:type="pct"/>
            <w:shd w:val="clear" w:color="auto" w:fill="auto"/>
          </w:tcPr>
          <w:p w14:paraId="53E73265" w14:textId="77777777" w:rsidR="00083269" w:rsidRPr="007F0C4C" w:rsidRDefault="00083269" w:rsidP="00083269">
            <w:pPr>
              <w:pStyle w:val="ListParagraph"/>
              <w:numPr>
                <w:ilvl w:val="0"/>
                <w:numId w:val="18"/>
              </w:numPr>
              <w:spacing w:before="180" w:line="264" w:lineRule="auto"/>
              <w:contextualSpacing/>
              <w:rPr>
                <w:szCs w:val="20"/>
                <w:lang w:eastAsia="en-AU"/>
              </w:rPr>
            </w:pPr>
            <w:r w:rsidRPr="007F0C4C">
              <w:rPr>
                <w:b/>
                <w:szCs w:val="20"/>
                <w:lang w:eastAsia="en-AU"/>
              </w:rPr>
              <w:t xml:space="preserve">While it is related to recordkeeping, particular attention should be paid to documenting </w:t>
            </w:r>
            <w:proofErr w:type="gramStart"/>
            <w:r w:rsidRPr="007F0C4C">
              <w:rPr>
                <w:b/>
                <w:szCs w:val="20"/>
                <w:lang w:eastAsia="en-AU"/>
              </w:rPr>
              <w:t>any and all</w:t>
            </w:r>
            <w:proofErr w:type="gramEnd"/>
            <w:r w:rsidRPr="007F0C4C">
              <w:rPr>
                <w:b/>
                <w:szCs w:val="20"/>
                <w:lang w:eastAsia="en-AU"/>
              </w:rPr>
              <w:t xml:space="preserve"> communication with prospective suppliers </w:t>
            </w:r>
          </w:p>
          <w:p w14:paraId="67853D3B" w14:textId="77777777" w:rsidR="00083269" w:rsidRPr="007F0C4C" w:rsidRDefault="00083269" w:rsidP="00373528">
            <w:pPr>
              <w:ind w:left="360"/>
              <w:rPr>
                <w:szCs w:val="20"/>
                <w:lang w:eastAsia="en-AU"/>
              </w:rPr>
            </w:pPr>
            <w:r w:rsidRPr="007F0C4C">
              <w:rPr>
                <w:szCs w:val="20"/>
                <w:lang w:eastAsia="en-AU"/>
              </w:rPr>
              <w:t>This includes both written communications, along with appropriate records of any verbal discussions (e.g. minutes of a meeting, file notes).</w:t>
            </w:r>
          </w:p>
          <w:p w14:paraId="7D8AF9E4" w14:textId="77777777" w:rsidR="00083269" w:rsidRPr="007F0C4C" w:rsidRDefault="00083269" w:rsidP="00083269">
            <w:pPr>
              <w:pStyle w:val="ListParagraph"/>
              <w:numPr>
                <w:ilvl w:val="0"/>
                <w:numId w:val="18"/>
              </w:numPr>
              <w:spacing w:before="180" w:line="264" w:lineRule="auto"/>
              <w:contextualSpacing/>
              <w:rPr>
                <w:b/>
                <w:szCs w:val="20"/>
                <w:lang w:eastAsia="en-AU"/>
              </w:rPr>
            </w:pPr>
            <w:r w:rsidRPr="007F0C4C">
              <w:rPr>
                <w:b/>
                <w:szCs w:val="20"/>
                <w:lang w:eastAsia="en-AU"/>
              </w:rPr>
              <w:t xml:space="preserve">Ensure that negotiated agreements are confirmed in writing. </w:t>
            </w:r>
          </w:p>
          <w:p w14:paraId="57A18A86" w14:textId="77777777" w:rsidR="00083269" w:rsidRPr="007F0C4C" w:rsidRDefault="00083269" w:rsidP="00373528">
            <w:pPr>
              <w:pStyle w:val="ListParagraph"/>
              <w:ind w:left="360"/>
              <w:rPr>
                <w:b/>
                <w:szCs w:val="20"/>
                <w:lang w:eastAsia="en-AU"/>
              </w:rPr>
            </w:pPr>
            <w:r w:rsidRPr="007F0C4C">
              <w:rPr>
                <w:szCs w:val="20"/>
                <w:lang w:eastAsia="en-AU"/>
              </w:rPr>
              <w:t>If verbal post-offer negotiations are used, any agreed outcomes or actions should be documented and subsequently agreed to in writing by both parties.</w:t>
            </w:r>
          </w:p>
        </w:tc>
      </w:tr>
      <w:tr w:rsidR="00083269" w:rsidRPr="007F0C4C" w14:paraId="2EDACE0C" w14:textId="77777777" w:rsidTr="00373528">
        <w:tc>
          <w:tcPr>
            <w:tcW w:w="1022" w:type="pct"/>
            <w:shd w:val="clear" w:color="auto" w:fill="0070C0"/>
          </w:tcPr>
          <w:p w14:paraId="63E86488" w14:textId="77777777" w:rsidR="00083269" w:rsidRPr="007F0C4C" w:rsidRDefault="00083269" w:rsidP="00373528">
            <w:pPr>
              <w:keepNext/>
              <w:keepLines/>
              <w:rPr>
                <w:b/>
                <w:szCs w:val="20"/>
              </w:rPr>
            </w:pPr>
            <w:r w:rsidRPr="007F0C4C">
              <w:rPr>
                <w:b/>
                <w:color w:val="FFFFFF" w:themeColor="background1"/>
                <w:szCs w:val="20"/>
              </w:rPr>
              <w:lastRenderedPageBreak/>
              <w:t>Receipt of goods/services</w:t>
            </w:r>
          </w:p>
        </w:tc>
        <w:tc>
          <w:tcPr>
            <w:tcW w:w="3978" w:type="pct"/>
            <w:shd w:val="clear" w:color="auto" w:fill="auto"/>
          </w:tcPr>
          <w:p w14:paraId="6565B1B6" w14:textId="77777777" w:rsidR="00083269" w:rsidRPr="007F0C4C" w:rsidRDefault="00083269" w:rsidP="00083269">
            <w:pPr>
              <w:pStyle w:val="ListParagraph"/>
              <w:keepNext/>
              <w:keepLines/>
              <w:numPr>
                <w:ilvl w:val="0"/>
                <w:numId w:val="18"/>
              </w:numPr>
              <w:spacing w:before="180" w:line="264" w:lineRule="auto"/>
              <w:contextualSpacing/>
              <w:rPr>
                <w:b/>
                <w:szCs w:val="20"/>
                <w:lang w:eastAsia="en-AU"/>
              </w:rPr>
            </w:pPr>
            <w:r w:rsidRPr="007F0C4C">
              <w:rPr>
                <w:b/>
                <w:szCs w:val="20"/>
                <w:lang w:eastAsia="en-AU"/>
              </w:rPr>
              <w:t xml:space="preserve">Ensure that the procured good or service has been satisfactorily delivered (in accordance with the agreed contract) before issuing payment. </w:t>
            </w:r>
          </w:p>
          <w:p w14:paraId="095F7A13" w14:textId="77777777" w:rsidR="00083269" w:rsidRPr="007F0C4C" w:rsidRDefault="00083269" w:rsidP="00373528">
            <w:pPr>
              <w:keepNext/>
              <w:keepLines/>
              <w:ind w:left="360"/>
              <w:rPr>
                <w:b/>
                <w:szCs w:val="20"/>
                <w:lang w:eastAsia="en-AU"/>
              </w:rPr>
            </w:pPr>
            <w:r w:rsidRPr="007F0C4C">
              <w:rPr>
                <w:szCs w:val="20"/>
                <w:lang w:eastAsia="en-AU"/>
              </w:rPr>
              <w:t>Do not simply pay a supplier because they issue an invoice – perform the appropriate checks before making payment.</w:t>
            </w:r>
          </w:p>
        </w:tc>
      </w:tr>
      <w:tr w:rsidR="00083269" w:rsidRPr="007F0C4C" w14:paraId="69C56266" w14:textId="77777777" w:rsidTr="00373528">
        <w:tc>
          <w:tcPr>
            <w:tcW w:w="1022" w:type="pct"/>
            <w:shd w:val="clear" w:color="auto" w:fill="0070C0"/>
          </w:tcPr>
          <w:p w14:paraId="1B1F5D1B" w14:textId="77777777" w:rsidR="00083269" w:rsidRPr="007F0C4C" w:rsidRDefault="00083269" w:rsidP="00373528">
            <w:pPr>
              <w:rPr>
                <w:b/>
                <w:szCs w:val="20"/>
              </w:rPr>
            </w:pPr>
            <w:r w:rsidRPr="007F0C4C">
              <w:rPr>
                <w:b/>
                <w:color w:val="FFFFFF" w:themeColor="background1"/>
                <w:szCs w:val="20"/>
              </w:rPr>
              <w:t>Confidentiality and security of materials</w:t>
            </w:r>
          </w:p>
        </w:tc>
        <w:tc>
          <w:tcPr>
            <w:tcW w:w="3978" w:type="pct"/>
            <w:shd w:val="clear" w:color="auto" w:fill="auto"/>
          </w:tcPr>
          <w:p w14:paraId="1D4397DF" w14:textId="77777777" w:rsidR="00083269" w:rsidRPr="007F0C4C" w:rsidRDefault="00083269" w:rsidP="00083269">
            <w:pPr>
              <w:pStyle w:val="ListParagraph"/>
              <w:numPr>
                <w:ilvl w:val="0"/>
                <w:numId w:val="18"/>
              </w:numPr>
              <w:spacing w:before="180"/>
              <w:ind w:left="357" w:hanging="357"/>
              <w:rPr>
                <w:szCs w:val="20"/>
                <w:lang w:eastAsia="en-AU"/>
              </w:rPr>
            </w:pPr>
            <w:r w:rsidRPr="007F0C4C">
              <w:rPr>
                <w:b/>
                <w:szCs w:val="20"/>
                <w:lang w:eastAsia="en-AU"/>
              </w:rPr>
              <w:t xml:space="preserve">Ensure that there are defined document management procedures and security controls for </w:t>
            </w:r>
            <w:proofErr w:type="gramStart"/>
            <w:r w:rsidRPr="007F0C4C">
              <w:rPr>
                <w:b/>
                <w:szCs w:val="20"/>
                <w:lang w:eastAsia="en-AU"/>
              </w:rPr>
              <w:t>either hard</w:t>
            </w:r>
            <w:proofErr w:type="gramEnd"/>
            <w:r w:rsidRPr="007F0C4C">
              <w:rPr>
                <w:b/>
                <w:szCs w:val="20"/>
                <w:lang w:eastAsia="en-AU"/>
              </w:rPr>
              <w:t xml:space="preserve"> of soft copy documents to ensure confidentiality. </w:t>
            </w:r>
          </w:p>
          <w:p w14:paraId="45260F4B" w14:textId="77777777" w:rsidR="00083269" w:rsidRPr="007F0C4C" w:rsidRDefault="00083269" w:rsidP="00373528">
            <w:pPr>
              <w:pStyle w:val="ListParagraph"/>
              <w:ind w:left="357"/>
              <w:rPr>
                <w:szCs w:val="20"/>
                <w:lang w:eastAsia="en-AU"/>
              </w:rPr>
            </w:pPr>
            <w:r w:rsidRPr="007F0C4C">
              <w:rPr>
                <w:szCs w:val="20"/>
                <w:lang w:eastAsia="en-AU"/>
              </w:rPr>
              <w:t>This could include, for example:</w:t>
            </w:r>
          </w:p>
          <w:p w14:paraId="60257C72" w14:textId="77777777" w:rsidR="00083269" w:rsidRPr="007F0C4C" w:rsidRDefault="00083269" w:rsidP="00083269">
            <w:pPr>
              <w:pStyle w:val="ListParagraph"/>
              <w:numPr>
                <w:ilvl w:val="0"/>
                <w:numId w:val="22"/>
              </w:numPr>
              <w:spacing w:before="180" w:line="276" w:lineRule="auto"/>
              <w:contextualSpacing/>
              <w:rPr>
                <w:szCs w:val="20"/>
                <w:lang w:eastAsia="en-AU"/>
              </w:rPr>
            </w:pPr>
            <w:proofErr w:type="gramStart"/>
            <w:r w:rsidRPr="007F0C4C">
              <w:rPr>
                <w:szCs w:val="20"/>
                <w:lang w:eastAsia="en-AU"/>
              </w:rPr>
              <w:t>ensuring</w:t>
            </w:r>
            <w:proofErr w:type="gramEnd"/>
            <w:r w:rsidRPr="007F0C4C">
              <w:rPr>
                <w:szCs w:val="20"/>
                <w:lang w:eastAsia="en-AU"/>
              </w:rPr>
              <w:t xml:space="preserve"> electronic documents are on secure drives and password protected</w:t>
            </w:r>
          </w:p>
          <w:p w14:paraId="19241734" w14:textId="77777777" w:rsidR="00083269" w:rsidRPr="007F0C4C" w:rsidRDefault="00083269" w:rsidP="00083269">
            <w:pPr>
              <w:pStyle w:val="ListParagraph"/>
              <w:numPr>
                <w:ilvl w:val="0"/>
                <w:numId w:val="22"/>
              </w:numPr>
              <w:spacing w:before="180" w:line="276" w:lineRule="auto"/>
              <w:contextualSpacing/>
              <w:rPr>
                <w:szCs w:val="20"/>
                <w:lang w:eastAsia="en-AU"/>
              </w:rPr>
            </w:pPr>
            <w:r w:rsidRPr="007F0C4C">
              <w:rPr>
                <w:szCs w:val="20"/>
                <w:lang w:eastAsia="en-AU"/>
              </w:rPr>
              <w:t>requiring documents to be locked away and using document registers</w:t>
            </w:r>
          </w:p>
          <w:p w14:paraId="189AEE0D" w14:textId="77777777" w:rsidR="00083269" w:rsidRPr="007F0C4C" w:rsidRDefault="00083269" w:rsidP="00083269">
            <w:pPr>
              <w:pStyle w:val="ListParagraph"/>
              <w:numPr>
                <w:ilvl w:val="0"/>
                <w:numId w:val="22"/>
              </w:numPr>
              <w:spacing w:before="180" w:line="276" w:lineRule="auto"/>
              <w:contextualSpacing/>
              <w:rPr>
                <w:b/>
                <w:szCs w:val="20"/>
                <w:lang w:eastAsia="en-AU"/>
              </w:rPr>
            </w:pPr>
            <w:proofErr w:type="gramStart"/>
            <w:r w:rsidRPr="007F0C4C">
              <w:rPr>
                <w:szCs w:val="20"/>
                <w:lang w:eastAsia="en-AU"/>
              </w:rPr>
              <w:t>ensuring</w:t>
            </w:r>
            <w:proofErr w:type="gramEnd"/>
            <w:r w:rsidRPr="007F0C4C">
              <w:rPr>
                <w:szCs w:val="20"/>
                <w:lang w:eastAsia="en-AU"/>
              </w:rPr>
              <w:t xml:space="preserve"> evaluation team members are given rooms where they can privately review offers.</w:t>
            </w:r>
          </w:p>
          <w:p w14:paraId="0AAB1921" w14:textId="77777777" w:rsidR="00083269" w:rsidRPr="007F0C4C" w:rsidRDefault="00083269" w:rsidP="00373528">
            <w:pPr>
              <w:pStyle w:val="ListParagraph"/>
              <w:rPr>
                <w:b/>
                <w:szCs w:val="20"/>
                <w:lang w:eastAsia="en-AU"/>
              </w:rPr>
            </w:pPr>
          </w:p>
          <w:p w14:paraId="60EFC780" w14:textId="77777777" w:rsidR="00083269" w:rsidRPr="007F0C4C" w:rsidRDefault="00083269" w:rsidP="00083269">
            <w:pPr>
              <w:pStyle w:val="ListParagraph"/>
              <w:numPr>
                <w:ilvl w:val="0"/>
                <w:numId w:val="18"/>
              </w:numPr>
              <w:spacing w:before="180"/>
              <w:contextualSpacing/>
              <w:rPr>
                <w:b/>
                <w:szCs w:val="20"/>
                <w:lang w:eastAsia="en-AU"/>
              </w:rPr>
            </w:pPr>
            <w:r w:rsidRPr="007F0C4C">
              <w:rPr>
                <w:b/>
                <w:szCs w:val="20"/>
                <w:lang w:eastAsia="en-AU"/>
              </w:rPr>
              <w:t>Confidentiality and conflict of interest deeds must be obtained from all participants in significant tender evaluations in line with their agency’s specific requirements</w:t>
            </w:r>
            <w:r>
              <w:rPr>
                <w:b/>
                <w:szCs w:val="20"/>
                <w:lang w:eastAsia="en-AU"/>
              </w:rPr>
              <w:t xml:space="preserve"> and procurement probity plan.</w:t>
            </w:r>
          </w:p>
        </w:tc>
      </w:tr>
      <w:tr w:rsidR="00083269" w:rsidRPr="007F0C4C" w14:paraId="46AA88BE" w14:textId="77777777" w:rsidTr="00373528">
        <w:tc>
          <w:tcPr>
            <w:tcW w:w="1022" w:type="pct"/>
            <w:shd w:val="clear" w:color="auto" w:fill="0070C0"/>
          </w:tcPr>
          <w:p w14:paraId="545CC848" w14:textId="77777777" w:rsidR="00083269" w:rsidRPr="007F0C4C" w:rsidRDefault="00083269" w:rsidP="00373528">
            <w:pPr>
              <w:rPr>
                <w:b/>
                <w:szCs w:val="20"/>
              </w:rPr>
            </w:pPr>
            <w:r w:rsidRPr="007F0C4C">
              <w:rPr>
                <w:b/>
                <w:color w:val="FFFFFF" w:themeColor="background1"/>
                <w:szCs w:val="20"/>
              </w:rPr>
              <w:t>Delegations</w:t>
            </w:r>
          </w:p>
        </w:tc>
        <w:tc>
          <w:tcPr>
            <w:tcW w:w="3978" w:type="pct"/>
            <w:shd w:val="clear" w:color="auto" w:fill="auto"/>
          </w:tcPr>
          <w:p w14:paraId="067C5B36" w14:textId="77777777" w:rsidR="00083269" w:rsidRPr="007F0C4C" w:rsidRDefault="00083269" w:rsidP="00083269">
            <w:pPr>
              <w:pStyle w:val="ListParagraph"/>
              <w:numPr>
                <w:ilvl w:val="0"/>
                <w:numId w:val="18"/>
              </w:numPr>
              <w:spacing w:before="180"/>
              <w:ind w:left="357" w:hanging="357"/>
              <w:rPr>
                <w:szCs w:val="20"/>
                <w:lang w:eastAsia="en-AU"/>
              </w:rPr>
            </w:pPr>
            <w:r w:rsidRPr="007F0C4C">
              <w:rPr>
                <w:b/>
                <w:szCs w:val="20"/>
                <w:lang w:eastAsia="en-AU"/>
              </w:rPr>
              <w:t>Ensure that all relevant documents are signed off by a person with the appropriate delegation.</w:t>
            </w:r>
            <w:r w:rsidRPr="007F0C4C">
              <w:rPr>
                <w:szCs w:val="20"/>
                <w:lang w:eastAsia="en-AU"/>
              </w:rPr>
              <w:t xml:space="preserve"> </w:t>
            </w:r>
          </w:p>
          <w:p w14:paraId="6BC3CD0E" w14:textId="77777777" w:rsidR="00083269" w:rsidRPr="007F0C4C" w:rsidRDefault="00083269" w:rsidP="00083269">
            <w:pPr>
              <w:pStyle w:val="ListParagraph"/>
              <w:numPr>
                <w:ilvl w:val="0"/>
                <w:numId w:val="18"/>
              </w:numPr>
              <w:spacing w:before="180"/>
              <w:contextualSpacing/>
              <w:rPr>
                <w:b/>
                <w:szCs w:val="20"/>
                <w:lang w:eastAsia="en-AU"/>
              </w:rPr>
            </w:pPr>
            <w:r w:rsidRPr="007F0C4C">
              <w:rPr>
                <w:b/>
                <w:szCs w:val="20"/>
                <w:lang w:eastAsia="en-AU"/>
              </w:rPr>
              <w:t>Functions and responsibilities must be structured to ensure there is an appropriate separation of powers.</w:t>
            </w:r>
            <w:r w:rsidRPr="007F0C4C">
              <w:rPr>
                <w:szCs w:val="20"/>
                <w:lang w:eastAsia="en-AU"/>
              </w:rPr>
              <w:t xml:space="preserve"> </w:t>
            </w:r>
          </w:p>
          <w:p w14:paraId="519E72E4" w14:textId="77777777" w:rsidR="00083269" w:rsidRPr="007F0C4C" w:rsidRDefault="00083269" w:rsidP="00373528">
            <w:pPr>
              <w:pStyle w:val="ListParagraph"/>
              <w:ind w:left="357"/>
              <w:rPr>
                <w:b/>
                <w:szCs w:val="20"/>
                <w:lang w:eastAsia="en-AU"/>
              </w:rPr>
            </w:pPr>
            <w:r w:rsidRPr="007F0C4C">
              <w:rPr>
                <w:szCs w:val="20"/>
                <w:lang w:eastAsia="en-AU"/>
              </w:rPr>
              <w:t xml:space="preserve">Any person involved in the procurement process or exercising a </w:t>
            </w:r>
            <w:proofErr w:type="gramStart"/>
            <w:r w:rsidRPr="007F0C4C">
              <w:rPr>
                <w:szCs w:val="20"/>
                <w:lang w:eastAsia="en-AU"/>
              </w:rPr>
              <w:t>delegation,</w:t>
            </w:r>
            <w:proofErr w:type="gramEnd"/>
            <w:r w:rsidRPr="007F0C4C">
              <w:rPr>
                <w:szCs w:val="20"/>
                <w:lang w:eastAsia="en-AU"/>
              </w:rPr>
              <w:t xml:space="preserve"> should not provide financial approval. </w:t>
            </w:r>
          </w:p>
        </w:tc>
      </w:tr>
    </w:tbl>
    <w:p w14:paraId="174CBACA" w14:textId="77777777" w:rsidR="00083269" w:rsidRDefault="00083269" w:rsidP="00083269">
      <w:pPr>
        <w:spacing w:after="0"/>
        <w:rPr>
          <w:lang w:eastAsia="en-AU"/>
        </w:rPr>
      </w:pPr>
    </w:p>
    <w:p w14:paraId="75A6A215" w14:textId="77777777" w:rsidR="00083269" w:rsidRPr="00F37C49" w:rsidRDefault="00083269" w:rsidP="00083269">
      <w:pPr>
        <w:pStyle w:val="Heading4"/>
        <w:rPr>
          <w:b/>
          <w:bCs/>
          <w:color w:val="0D0D0D" w:themeColor="text1" w:themeTint="F2"/>
        </w:rPr>
      </w:pPr>
      <w:r w:rsidRPr="00F37C49">
        <w:rPr>
          <w:b/>
          <w:bCs/>
          <w:color w:val="0D0D0D" w:themeColor="text1" w:themeTint="F2"/>
        </w:rPr>
        <w:t>Guard against improper influence over a procurement process</w:t>
      </w:r>
    </w:p>
    <w:p w14:paraId="14A50381" w14:textId="77777777" w:rsidR="00083269" w:rsidRPr="007F0C4C" w:rsidRDefault="00083269" w:rsidP="00083269">
      <w:pPr>
        <w:rPr>
          <w:szCs w:val="20"/>
          <w:lang w:eastAsia="en-AU"/>
        </w:rPr>
      </w:pPr>
      <w:r w:rsidRPr="007F0C4C">
        <w:rPr>
          <w:szCs w:val="20"/>
          <w:lang w:eastAsia="en-AU"/>
        </w:rPr>
        <w:t>Sometimes a situation may arise where a person external to the process seeks to exert influence over aspects of a procurement process (e.g. hinting that a particular supplier is preferred, asking inappropriate questions about the process).</w:t>
      </w:r>
    </w:p>
    <w:p w14:paraId="198439B7" w14:textId="77777777" w:rsidR="00083269" w:rsidRPr="007F0C4C" w:rsidRDefault="00083269" w:rsidP="00083269">
      <w:pPr>
        <w:rPr>
          <w:bCs/>
          <w:szCs w:val="20"/>
          <w:lang w:eastAsia="en-AU"/>
        </w:rPr>
      </w:pPr>
      <w:r w:rsidRPr="007F0C4C">
        <w:rPr>
          <w:bCs/>
          <w:szCs w:val="20"/>
          <w:lang w:eastAsia="en-AU"/>
        </w:rPr>
        <w:t xml:space="preserve">Situations such as this are serious and may constitute corrupt conduct. </w:t>
      </w:r>
    </w:p>
    <w:p w14:paraId="00A6F0C2" w14:textId="77777777" w:rsidR="00083269" w:rsidRPr="007F0C4C" w:rsidRDefault="00083269" w:rsidP="00083269">
      <w:pPr>
        <w:spacing w:after="120"/>
        <w:rPr>
          <w:rFonts w:cs="Arial"/>
          <w:szCs w:val="20"/>
        </w:rPr>
      </w:pPr>
      <w:r w:rsidRPr="007F0C4C">
        <w:rPr>
          <w:rFonts w:cs="Arial"/>
          <w:szCs w:val="20"/>
        </w:rPr>
        <w:t xml:space="preserve">Subject to the agency’s fraud and/or corruption control policies and plans, generally in such situations an officer should: </w:t>
      </w:r>
    </w:p>
    <w:p w14:paraId="1F6EFCB3" w14:textId="77777777" w:rsidR="00083269" w:rsidRPr="007F0C4C" w:rsidRDefault="00083269" w:rsidP="00083269">
      <w:pPr>
        <w:pStyle w:val="ListParagraph"/>
        <w:numPr>
          <w:ilvl w:val="0"/>
          <w:numId w:val="31"/>
        </w:numPr>
        <w:spacing w:before="180" w:after="120" w:line="264" w:lineRule="auto"/>
        <w:contextualSpacing/>
        <w:rPr>
          <w:rFonts w:cs="Arial"/>
          <w:szCs w:val="20"/>
        </w:rPr>
      </w:pPr>
      <w:r w:rsidRPr="007F0C4C">
        <w:rPr>
          <w:rFonts w:cs="Arial"/>
          <w:szCs w:val="20"/>
        </w:rPr>
        <w:t>maintain strict confidentiality over the process and not disclose any information</w:t>
      </w:r>
    </w:p>
    <w:p w14:paraId="7FE117AC" w14:textId="77777777" w:rsidR="00083269" w:rsidRPr="007F0C4C" w:rsidRDefault="00083269" w:rsidP="00083269">
      <w:pPr>
        <w:pStyle w:val="ListParagraph"/>
        <w:numPr>
          <w:ilvl w:val="0"/>
          <w:numId w:val="31"/>
        </w:numPr>
        <w:spacing w:before="180" w:after="120" w:line="264" w:lineRule="auto"/>
        <w:contextualSpacing/>
        <w:rPr>
          <w:rFonts w:cs="Arial"/>
          <w:szCs w:val="20"/>
        </w:rPr>
      </w:pPr>
      <w:r w:rsidRPr="007F0C4C">
        <w:rPr>
          <w:rFonts w:cs="Arial"/>
          <w:szCs w:val="20"/>
        </w:rPr>
        <w:t>document details regarding the approach</w:t>
      </w:r>
    </w:p>
    <w:p w14:paraId="7956131C" w14:textId="77777777" w:rsidR="00083269" w:rsidRPr="007F0C4C" w:rsidRDefault="00083269" w:rsidP="00083269">
      <w:pPr>
        <w:pStyle w:val="ListParagraph"/>
        <w:numPr>
          <w:ilvl w:val="0"/>
          <w:numId w:val="31"/>
        </w:numPr>
        <w:spacing w:before="180" w:after="120" w:line="264" w:lineRule="auto"/>
        <w:contextualSpacing/>
        <w:rPr>
          <w:rFonts w:cs="Arial"/>
          <w:szCs w:val="20"/>
        </w:rPr>
      </w:pPr>
      <w:r w:rsidRPr="007F0C4C">
        <w:rPr>
          <w:rFonts w:cs="Arial"/>
          <w:szCs w:val="20"/>
        </w:rPr>
        <w:t>report the incident to a manager,</w:t>
      </w:r>
      <w:r>
        <w:rPr>
          <w:rFonts w:cs="Arial"/>
          <w:szCs w:val="20"/>
        </w:rPr>
        <w:t xml:space="preserve"> </w:t>
      </w:r>
      <w:r w:rsidRPr="007F0C4C">
        <w:rPr>
          <w:rFonts w:cs="Arial"/>
          <w:szCs w:val="20"/>
        </w:rPr>
        <w:t>ethical standards/integrity unit</w:t>
      </w:r>
      <w:r>
        <w:rPr>
          <w:rFonts w:cs="Arial"/>
          <w:szCs w:val="20"/>
        </w:rPr>
        <w:t xml:space="preserve">, </w:t>
      </w:r>
      <w:r w:rsidRPr="007F0C4C">
        <w:rPr>
          <w:rFonts w:cs="Arial"/>
          <w:szCs w:val="20"/>
        </w:rPr>
        <w:t>departmental Crime and Corruption Liaison Officer, Director-General, or the Crime and Corruption Commission.</w:t>
      </w:r>
    </w:p>
    <w:p w14:paraId="762817DF" w14:textId="77777777" w:rsidR="00083269" w:rsidRDefault="00083269" w:rsidP="00083269">
      <w:pPr>
        <w:pStyle w:val="Heading3"/>
        <w:keepNext w:val="0"/>
        <w:keepLines w:val="0"/>
        <w:numPr>
          <w:ilvl w:val="0"/>
          <w:numId w:val="32"/>
        </w:numPr>
        <w:autoSpaceDE w:val="0"/>
        <w:autoSpaceDN w:val="0"/>
        <w:adjustRightInd w:val="0"/>
        <w:spacing w:line="264" w:lineRule="auto"/>
        <w:ind w:left="720"/>
      </w:pPr>
      <w:bookmarkStart w:id="45" w:name="_Toc77338201"/>
      <w:bookmarkStart w:id="46" w:name="_Toc47942939"/>
      <w:bookmarkStart w:id="47" w:name="_Toc47943041"/>
      <w:bookmarkStart w:id="48" w:name="_Toc47943120"/>
      <w:bookmarkStart w:id="49" w:name="_Toc55888650"/>
      <w:bookmarkStart w:id="50" w:name="_Toc56171343"/>
      <w:bookmarkStart w:id="51" w:name="_Toc47942940"/>
      <w:bookmarkStart w:id="52" w:name="_Toc47943042"/>
      <w:bookmarkStart w:id="53" w:name="_Toc47943121"/>
      <w:bookmarkStart w:id="54" w:name="_Toc55888651"/>
      <w:bookmarkStart w:id="55" w:name="_Toc56171344"/>
      <w:bookmarkStart w:id="56" w:name="_Toc494373744"/>
      <w:bookmarkStart w:id="57" w:name="_Toc517676714"/>
      <w:bookmarkStart w:id="58" w:name="_Toc56171354"/>
      <w:bookmarkStart w:id="59" w:name="_Toc202939768"/>
      <w:bookmarkEnd w:id="44"/>
      <w:bookmarkEnd w:id="45"/>
      <w:bookmarkEnd w:id="46"/>
      <w:bookmarkEnd w:id="47"/>
      <w:bookmarkEnd w:id="48"/>
      <w:bookmarkEnd w:id="49"/>
      <w:bookmarkEnd w:id="50"/>
      <w:bookmarkEnd w:id="51"/>
      <w:bookmarkEnd w:id="52"/>
      <w:bookmarkEnd w:id="53"/>
      <w:bookmarkEnd w:id="54"/>
      <w:bookmarkEnd w:id="55"/>
      <w:r>
        <w:t xml:space="preserve">Managing conflicts of interest </w:t>
      </w:r>
      <w:bookmarkEnd w:id="56"/>
      <w:bookmarkEnd w:id="57"/>
      <w:bookmarkEnd w:id="58"/>
      <w:bookmarkEnd w:id="59"/>
    </w:p>
    <w:p w14:paraId="7B28CC34" w14:textId="77777777" w:rsidR="00083269" w:rsidRPr="007F0C4C" w:rsidRDefault="00083269" w:rsidP="00083269">
      <w:pPr>
        <w:rPr>
          <w:bCs/>
          <w:szCs w:val="20"/>
          <w:lang w:eastAsia="en-AU"/>
        </w:rPr>
      </w:pPr>
      <w:r w:rsidRPr="007F0C4C">
        <w:rPr>
          <w:bCs/>
          <w:szCs w:val="20"/>
          <w:lang w:eastAsia="en-AU"/>
        </w:rPr>
        <w:t>This focus area aims to ensure that any conflict of interest is identified and appropriately managed.</w:t>
      </w:r>
    </w:p>
    <w:p w14:paraId="672EF361" w14:textId="77777777" w:rsidR="00083269" w:rsidRPr="007F0C4C" w:rsidRDefault="00083269" w:rsidP="00083269">
      <w:pPr>
        <w:rPr>
          <w:szCs w:val="20"/>
          <w:lang w:eastAsia="en-AU"/>
        </w:rPr>
      </w:pPr>
      <w:r w:rsidRPr="007F0C4C">
        <w:rPr>
          <w:szCs w:val="20"/>
          <w:lang w:eastAsia="en-AU"/>
        </w:rPr>
        <w:t xml:space="preserve">As per the </w:t>
      </w:r>
      <w:r w:rsidRPr="00384CC0">
        <w:rPr>
          <w:iCs/>
          <w:szCs w:val="20"/>
          <w:lang w:eastAsia="en-AU"/>
        </w:rPr>
        <w:t>Code</w:t>
      </w:r>
      <w:r w:rsidRPr="007F0C4C">
        <w:rPr>
          <w:szCs w:val="20"/>
          <w:lang w:eastAsia="en-AU"/>
        </w:rPr>
        <w:t xml:space="preserve">, </w:t>
      </w:r>
      <w:r w:rsidRPr="007F0C4C">
        <w:rPr>
          <w:i/>
          <w:szCs w:val="20"/>
          <w:lang w:eastAsia="en-AU"/>
        </w:rPr>
        <w:t>‘a conflict of interest involves a conflict between our duty, as public service employees, to serve the public interest and our personal interests’</w:t>
      </w:r>
      <w:r w:rsidRPr="007F0C4C">
        <w:rPr>
          <w:szCs w:val="20"/>
          <w:lang w:eastAsia="en-AU"/>
        </w:rPr>
        <w:t xml:space="preserve">. </w:t>
      </w:r>
    </w:p>
    <w:p w14:paraId="0F3BC042" w14:textId="77777777" w:rsidR="00083269" w:rsidRPr="007F0C4C" w:rsidRDefault="00083269" w:rsidP="00083269">
      <w:pPr>
        <w:rPr>
          <w:szCs w:val="20"/>
          <w:lang w:eastAsia="en-AU"/>
        </w:rPr>
      </w:pPr>
      <w:r w:rsidRPr="007F0C4C">
        <w:rPr>
          <w:szCs w:val="20"/>
          <w:lang w:eastAsia="en-AU"/>
        </w:rPr>
        <w:t>It is important to remember that an actual conflict of interest does not need to exist for there to be an issue. Conflicts of interest can be either actual, perceived, or potential:</w:t>
      </w:r>
    </w:p>
    <w:p w14:paraId="024B6CA9" w14:textId="77777777" w:rsidR="00083269" w:rsidRPr="007F0C4C" w:rsidRDefault="00083269" w:rsidP="00083269">
      <w:pPr>
        <w:pStyle w:val="ListParagraph"/>
        <w:numPr>
          <w:ilvl w:val="0"/>
          <w:numId w:val="25"/>
        </w:numPr>
        <w:spacing w:before="180" w:line="264" w:lineRule="auto"/>
        <w:contextualSpacing/>
        <w:rPr>
          <w:szCs w:val="20"/>
          <w:lang w:eastAsia="en-AU"/>
        </w:rPr>
      </w:pPr>
      <w:r w:rsidRPr="007F0C4C">
        <w:rPr>
          <w:b/>
          <w:szCs w:val="20"/>
          <w:lang w:eastAsia="en-AU"/>
        </w:rPr>
        <w:t>actual</w:t>
      </w:r>
      <w:r w:rsidRPr="007F0C4C">
        <w:rPr>
          <w:szCs w:val="20"/>
          <w:lang w:eastAsia="en-AU"/>
        </w:rPr>
        <w:t>,</w:t>
      </w:r>
      <w:r w:rsidRPr="007F0C4C">
        <w:rPr>
          <w:szCs w:val="20"/>
        </w:rPr>
        <w:t xml:space="preserve"> </w:t>
      </w:r>
      <w:r w:rsidRPr="007F0C4C">
        <w:rPr>
          <w:szCs w:val="20"/>
          <w:lang w:eastAsia="en-AU"/>
        </w:rPr>
        <w:t xml:space="preserve">where an officer is </w:t>
      </w:r>
      <w:proofErr w:type="gramStart"/>
      <w:r w:rsidRPr="007F0C4C">
        <w:rPr>
          <w:szCs w:val="20"/>
          <w:lang w:eastAsia="en-AU"/>
        </w:rPr>
        <w:t>in a position</w:t>
      </w:r>
      <w:proofErr w:type="gramEnd"/>
      <w:r w:rsidRPr="007F0C4C">
        <w:rPr>
          <w:szCs w:val="20"/>
          <w:lang w:eastAsia="en-AU"/>
        </w:rPr>
        <w:t xml:space="preserve"> </w:t>
      </w:r>
      <w:r w:rsidRPr="007F0C4C">
        <w:rPr>
          <w:i/>
          <w:szCs w:val="20"/>
          <w:lang w:eastAsia="en-AU"/>
        </w:rPr>
        <w:t>to be influenced</w:t>
      </w:r>
      <w:r w:rsidRPr="007F0C4C">
        <w:rPr>
          <w:szCs w:val="20"/>
          <w:lang w:eastAsia="en-AU"/>
        </w:rPr>
        <w:t xml:space="preserve"> by their personal interests when doing their job</w:t>
      </w:r>
    </w:p>
    <w:p w14:paraId="22944A37" w14:textId="77777777" w:rsidR="00083269" w:rsidRPr="007F0C4C" w:rsidRDefault="00083269" w:rsidP="00083269">
      <w:pPr>
        <w:pStyle w:val="ListParagraph"/>
        <w:numPr>
          <w:ilvl w:val="0"/>
          <w:numId w:val="24"/>
        </w:numPr>
        <w:spacing w:before="180" w:line="264" w:lineRule="auto"/>
        <w:contextualSpacing/>
        <w:rPr>
          <w:szCs w:val="20"/>
          <w:lang w:eastAsia="en-AU"/>
        </w:rPr>
      </w:pPr>
      <w:r w:rsidRPr="007F0C4C">
        <w:rPr>
          <w:b/>
          <w:szCs w:val="20"/>
          <w:lang w:eastAsia="en-AU"/>
        </w:rPr>
        <w:lastRenderedPageBreak/>
        <w:t>perceived</w:t>
      </w:r>
      <w:r w:rsidRPr="007F0C4C">
        <w:rPr>
          <w:szCs w:val="20"/>
          <w:lang w:eastAsia="en-AU"/>
        </w:rPr>
        <w:t xml:space="preserve">, where an officer is </w:t>
      </w:r>
      <w:proofErr w:type="gramStart"/>
      <w:r w:rsidRPr="007F0C4C">
        <w:rPr>
          <w:szCs w:val="20"/>
          <w:lang w:eastAsia="en-AU"/>
        </w:rPr>
        <w:t>in a position</w:t>
      </w:r>
      <w:proofErr w:type="gramEnd"/>
      <w:r w:rsidRPr="007F0C4C">
        <w:rPr>
          <w:i/>
          <w:szCs w:val="20"/>
          <w:lang w:eastAsia="en-AU"/>
        </w:rPr>
        <w:t xml:space="preserve"> to appear to be influenced</w:t>
      </w:r>
      <w:r w:rsidRPr="007F0C4C">
        <w:rPr>
          <w:szCs w:val="20"/>
          <w:lang w:eastAsia="en-AU"/>
        </w:rPr>
        <w:t xml:space="preserve"> by their personal interests when doing their job</w:t>
      </w:r>
    </w:p>
    <w:p w14:paraId="2DEFEA03" w14:textId="77777777" w:rsidR="00083269" w:rsidRPr="007F0C4C" w:rsidRDefault="00083269" w:rsidP="00083269">
      <w:pPr>
        <w:pStyle w:val="ListParagraph"/>
        <w:numPr>
          <w:ilvl w:val="0"/>
          <w:numId w:val="24"/>
        </w:numPr>
        <w:spacing w:before="180" w:after="120" w:line="264" w:lineRule="auto"/>
        <w:ind w:left="714" w:hanging="357"/>
        <w:contextualSpacing/>
        <w:rPr>
          <w:szCs w:val="20"/>
          <w:lang w:eastAsia="en-AU"/>
        </w:rPr>
      </w:pPr>
      <w:r w:rsidRPr="007F0C4C">
        <w:rPr>
          <w:b/>
          <w:szCs w:val="20"/>
          <w:lang w:eastAsia="en-AU"/>
        </w:rPr>
        <w:t>potential</w:t>
      </w:r>
      <w:r w:rsidRPr="007F0C4C">
        <w:rPr>
          <w:szCs w:val="20"/>
          <w:lang w:eastAsia="en-AU"/>
        </w:rPr>
        <w:t xml:space="preserve">, where an officer is in a position where they </w:t>
      </w:r>
      <w:r w:rsidRPr="007F0C4C">
        <w:rPr>
          <w:i/>
          <w:szCs w:val="20"/>
          <w:lang w:eastAsia="en-AU"/>
        </w:rPr>
        <w:t>may be influenced in the future</w:t>
      </w:r>
      <w:r w:rsidRPr="007F0C4C">
        <w:rPr>
          <w:szCs w:val="20"/>
          <w:lang w:eastAsia="en-AU"/>
        </w:rPr>
        <w:t xml:space="preserve"> by their </w:t>
      </w:r>
      <w:r>
        <w:rPr>
          <w:szCs w:val="20"/>
          <w:lang w:eastAsia="en-AU"/>
        </w:rPr>
        <w:t>personal</w:t>
      </w:r>
      <w:r w:rsidRPr="007F0C4C">
        <w:rPr>
          <w:szCs w:val="20"/>
          <w:lang w:eastAsia="en-AU"/>
        </w:rPr>
        <w:t xml:space="preserve"> interests when doing their job.</w:t>
      </w:r>
    </w:p>
    <w:p w14:paraId="67F15140" w14:textId="77777777" w:rsidR="00083269" w:rsidRPr="007F0C4C" w:rsidRDefault="00083269" w:rsidP="00083269">
      <w:pPr>
        <w:rPr>
          <w:szCs w:val="20"/>
          <w:lang w:eastAsia="en-AU"/>
        </w:rPr>
      </w:pPr>
      <w:r w:rsidRPr="007F0C4C">
        <w:rPr>
          <w:szCs w:val="20"/>
          <w:lang w:eastAsia="en-AU"/>
        </w:rPr>
        <w:t>Managing all three types of conflicts (not just actual conflicts) is vital to ensure the integrity of any procurement activity and to reduce the risk of fraud and corruption – even a poorly managed perceived or potential conflict can be just as damaging as an actual conflict.</w:t>
      </w:r>
    </w:p>
    <w:p w14:paraId="2FC6EE20" w14:textId="77777777" w:rsidR="00083269" w:rsidRPr="00F37C49" w:rsidRDefault="00083269" w:rsidP="00083269">
      <w:pPr>
        <w:pStyle w:val="Heading2"/>
        <w:rPr>
          <w:lang w:eastAsia="en-AU"/>
        </w:rPr>
      </w:pPr>
      <w:bookmarkStart w:id="60" w:name="_Toc202939769"/>
      <w:r w:rsidRPr="20E4B047">
        <w:rPr>
          <w:lang w:eastAsia="en-AU"/>
        </w:rPr>
        <w:t>Managing conflicts of interest</w:t>
      </w:r>
      <w:bookmarkEnd w:id="60"/>
    </w:p>
    <w:tbl>
      <w:tblPr>
        <w:tblStyle w:val="TableGrid"/>
        <w:tblW w:w="0" w:type="auto"/>
        <w:tblLook w:val="04A0" w:firstRow="1" w:lastRow="0" w:firstColumn="1" w:lastColumn="0" w:noHBand="0" w:noVBand="1"/>
      </w:tblPr>
      <w:tblGrid>
        <w:gridCol w:w="1651"/>
        <w:gridCol w:w="7365"/>
      </w:tblGrid>
      <w:tr w:rsidR="00083269" w:rsidRPr="007F0C4C" w14:paraId="13BD0BD1" w14:textId="77777777" w:rsidTr="00373528">
        <w:tc>
          <w:tcPr>
            <w:tcW w:w="1694" w:type="dxa"/>
            <w:shd w:val="clear" w:color="auto" w:fill="0070C0"/>
          </w:tcPr>
          <w:p w14:paraId="7DAA0E59" w14:textId="77777777" w:rsidR="00083269" w:rsidRPr="007F0C4C" w:rsidRDefault="00083269" w:rsidP="00373528">
            <w:pPr>
              <w:rPr>
                <w:b/>
                <w:szCs w:val="20"/>
              </w:rPr>
            </w:pPr>
            <w:bookmarkStart w:id="61" w:name="_Hlk485915066"/>
            <w:r w:rsidRPr="007F0C4C">
              <w:rPr>
                <w:b/>
                <w:color w:val="FFFFFF" w:themeColor="background1"/>
                <w:szCs w:val="20"/>
              </w:rPr>
              <w:t>For individual officers conducting procurement processes</w:t>
            </w:r>
          </w:p>
        </w:tc>
        <w:tc>
          <w:tcPr>
            <w:tcW w:w="8366" w:type="dxa"/>
            <w:shd w:val="clear" w:color="auto" w:fill="auto"/>
          </w:tcPr>
          <w:p w14:paraId="7FF56C88" w14:textId="77777777" w:rsidR="00083269" w:rsidRPr="007F0C4C" w:rsidRDefault="00083269" w:rsidP="00083269">
            <w:pPr>
              <w:pStyle w:val="ListParagraph"/>
              <w:numPr>
                <w:ilvl w:val="0"/>
                <w:numId w:val="19"/>
              </w:numPr>
              <w:spacing w:before="180"/>
              <w:contextualSpacing/>
              <w:rPr>
                <w:szCs w:val="20"/>
                <w:lang w:eastAsia="en-AU"/>
              </w:rPr>
            </w:pPr>
            <w:r w:rsidRPr="007F0C4C">
              <w:rPr>
                <w:b/>
                <w:szCs w:val="20"/>
                <w:lang w:eastAsia="en-AU"/>
              </w:rPr>
              <w:t xml:space="preserve">Obtain conflict of interest declarations, as per agency requirements, from all personnel involved in significant tender activities as soon as possible.  </w:t>
            </w:r>
          </w:p>
          <w:p w14:paraId="05519585" w14:textId="77777777" w:rsidR="00083269" w:rsidRPr="007F0C4C" w:rsidRDefault="00083269" w:rsidP="00373528">
            <w:pPr>
              <w:spacing w:before="60"/>
              <w:ind w:left="357"/>
              <w:rPr>
                <w:szCs w:val="20"/>
                <w:lang w:eastAsia="en-AU"/>
              </w:rPr>
            </w:pPr>
            <w:r w:rsidRPr="007F0C4C">
              <w:rPr>
                <w:szCs w:val="20"/>
                <w:lang w:eastAsia="en-AU"/>
              </w:rPr>
              <w:t xml:space="preserve">Maintain a register of all </w:t>
            </w:r>
            <w:proofErr w:type="gramStart"/>
            <w:r w:rsidRPr="007F0C4C">
              <w:rPr>
                <w:szCs w:val="20"/>
                <w:lang w:eastAsia="en-AU"/>
              </w:rPr>
              <w:t>conflict of interest</w:t>
            </w:r>
            <w:proofErr w:type="gramEnd"/>
            <w:r w:rsidRPr="007F0C4C">
              <w:rPr>
                <w:szCs w:val="20"/>
                <w:lang w:eastAsia="en-AU"/>
              </w:rPr>
              <w:t xml:space="preserve"> declarations received. Remember to ensure that declarations are obtained from </w:t>
            </w:r>
            <w:proofErr w:type="gramStart"/>
            <w:r w:rsidRPr="007F0C4C">
              <w:rPr>
                <w:szCs w:val="20"/>
                <w:lang w:eastAsia="en-AU"/>
              </w:rPr>
              <w:t>persons</w:t>
            </w:r>
            <w:proofErr w:type="gramEnd"/>
            <w:r w:rsidRPr="007F0C4C">
              <w:rPr>
                <w:szCs w:val="20"/>
                <w:lang w:eastAsia="en-AU"/>
              </w:rPr>
              <w:t xml:space="preserve"> who have entered later into the process after the initial declarations were sought. Be mindful that previously unidentified conflicts of interest may arise throughout the procurement process (e.g. a change in personal circumstances, information is obtained during the process that was not previously known) – conflicts of interest should therefore be revisited throughout the process.</w:t>
            </w:r>
          </w:p>
          <w:p w14:paraId="25E1C963" w14:textId="77777777" w:rsidR="00083269" w:rsidRPr="007F0C4C" w:rsidRDefault="00083269" w:rsidP="00083269">
            <w:pPr>
              <w:pStyle w:val="ListParagraph"/>
              <w:numPr>
                <w:ilvl w:val="0"/>
                <w:numId w:val="19"/>
              </w:numPr>
              <w:spacing w:before="180"/>
              <w:ind w:left="357" w:hanging="357"/>
              <w:contextualSpacing/>
              <w:rPr>
                <w:b/>
                <w:szCs w:val="20"/>
                <w:lang w:eastAsia="en-AU"/>
              </w:rPr>
            </w:pPr>
            <w:r w:rsidRPr="007F0C4C">
              <w:rPr>
                <w:b/>
                <w:szCs w:val="20"/>
                <w:lang w:eastAsia="en-AU"/>
              </w:rPr>
              <w:t>Include conflicts of interest as a standing item on all meeting agendas.</w:t>
            </w:r>
          </w:p>
          <w:p w14:paraId="61F7AC09" w14:textId="77777777" w:rsidR="00083269" w:rsidRPr="007F0C4C" w:rsidRDefault="00083269" w:rsidP="00373528">
            <w:pPr>
              <w:pStyle w:val="ListParagraph"/>
              <w:ind w:left="360"/>
              <w:rPr>
                <w:b/>
                <w:szCs w:val="20"/>
                <w:lang w:eastAsia="en-AU"/>
              </w:rPr>
            </w:pPr>
          </w:p>
          <w:p w14:paraId="758FC3A3" w14:textId="77777777" w:rsidR="00083269" w:rsidRPr="007F0C4C" w:rsidRDefault="00083269" w:rsidP="00083269">
            <w:pPr>
              <w:pStyle w:val="ListParagraph"/>
              <w:numPr>
                <w:ilvl w:val="0"/>
                <w:numId w:val="19"/>
              </w:numPr>
              <w:spacing w:before="180"/>
              <w:ind w:left="357" w:hanging="357"/>
              <w:contextualSpacing/>
              <w:rPr>
                <w:b/>
                <w:szCs w:val="20"/>
                <w:lang w:eastAsia="en-AU"/>
              </w:rPr>
            </w:pPr>
            <w:r w:rsidRPr="007F0C4C">
              <w:rPr>
                <w:b/>
                <w:szCs w:val="20"/>
                <w:lang w:eastAsia="en-AU"/>
              </w:rPr>
              <w:t>Ask potential suppliers to disclose all actual, perceived or potential conflicts of interest at the time they provide an offer.</w:t>
            </w:r>
          </w:p>
          <w:p w14:paraId="27513369" w14:textId="77777777" w:rsidR="00083269" w:rsidRPr="007F0C4C" w:rsidRDefault="00083269" w:rsidP="00373528">
            <w:pPr>
              <w:spacing w:before="60"/>
              <w:ind w:left="357"/>
              <w:rPr>
                <w:szCs w:val="20"/>
                <w:lang w:eastAsia="en-AU"/>
              </w:rPr>
            </w:pPr>
            <w:r w:rsidRPr="007F0C4C">
              <w:rPr>
                <w:szCs w:val="20"/>
                <w:lang w:eastAsia="en-AU"/>
              </w:rPr>
              <w:t xml:space="preserve">Failure to make adequate disclosure at any time may be grounds for later ending the contract. </w:t>
            </w:r>
          </w:p>
          <w:p w14:paraId="712E0BE6" w14:textId="77777777" w:rsidR="00083269" w:rsidRPr="007F0C4C" w:rsidRDefault="00083269" w:rsidP="00083269">
            <w:pPr>
              <w:pStyle w:val="ListParagraph"/>
              <w:numPr>
                <w:ilvl w:val="0"/>
                <w:numId w:val="19"/>
              </w:numPr>
              <w:spacing w:before="180"/>
              <w:ind w:left="357" w:hanging="357"/>
              <w:contextualSpacing/>
              <w:rPr>
                <w:b/>
                <w:szCs w:val="20"/>
                <w:lang w:eastAsia="en-AU"/>
              </w:rPr>
            </w:pPr>
            <w:r w:rsidRPr="007F0C4C">
              <w:rPr>
                <w:b/>
                <w:szCs w:val="20"/>
                <w:lang w:eastAsia="en-AU"/>
              </w:rPr>
              <w:t xml:space="preserve">If you become aware that you, or someone involved in the process, </w:t>
            </w:r>
            <w:proofErr w:type="gramStart"/>
            <w:r w:rsidRPr="007F0C4C">
              <w:rPr>
                <w:b/>
                <w:szCs w:val="20"/>
                <w:lang w:eastAsia="en-AU"/>
              </w:rPr>
              <w:t>has</w:t>
            </w:r>
            <w:proofErr w:type="gramEnd"/>
            <w:r w:rsidRPr="007F0C4C">
              <w:rPr>
                <w:b/>
                <w:szCs w:val="20"/>
                <w:lang w:eastAsia="en-AU"/>
              </w:rPr>
              <w:t xml:space="preserve"> a conflict of interest, you must register and document the conflict of interest. You must also discuss it with the appropriate manager/supervisor to determine the most appropriate course of action to manage the situation in accordance with the requirements.</w:t>
            </w:r>
          </w:p>
          <w:p w14:paraId="0E8B5EB5" w14:textId="77777777" w:rsidR="00083269" w:rsidRPr="007F0C4C" w:rsidRDefault="00083269" w:rsidP="00373528">
            <w:pPr>
              <w:spacing w:before="60"/>
              <w:ind w:left="357"/>
              <w:rPr>
                <w:b/>
                <w:szCs w:val="20"/>
                <w:lang w:eastAsia="en-AU"/>
              </w:rPr>
            </w:pPr>
            <w:r w:rsidRPr="007F0C4C">
              <w:rPr>
                <w:szCs w:val="20"/>
                <w:lang w:eastAsia="en-AU"/>
              </w:rPr>
              <w:t xml:space="preserve">You should </w:t>
            </w:r>
            <w:r>
              <w:rPr>
                <w:szCs w:val="20"/>
                <w:lang w:eastAsia="en-AU"/>
              </w:rPr>
              <w:t xml:space="preserve">seek approval of any </w:t>
            </w:r>
            <w:proofErr w:type="gramStart"/>
            <w:r>
              <w:rPr>
                <w:szCs w:val="20"/>
                <w:lang w:eastAsia="en-AU"/>
              </w:rPr>
              <w:t>conflict of interest</w:t>
            </w:r>
            <w:proofErr w:type="gramEnd"/>
            <w:r>
              <w:rPr>
                <w:szCs w:val="20"/>
                <w:lang w:eastAsia="en-AU"/>
              </w:rPr>
              <w:t xml:space="preserve"> management strategy from an appropriate agency delegate.</w:t>
            </w:r>
          </w:p>
        </w:tc>
      </w:tr>
      <w:tr w:rsidR="00083269" w:rsidRPr="007F0C4C" w14:paraId="69C02A94" w14:textId="77777777" w:rsidTr="00373528">
        <w:tc>
          <w:tcPr>
            <w:tcW w:w="1694" w:type="dxa"/>
            <w:shd w:val="clear" w:color="auto" w:fill="0070C0"/>
          </w:tcPr>
          <w:p w14:paraId="567AFE08" w14:textId="77777777" w:rsidR="00083269" w:rsidRPr="007F0C4C" w:rsidRDefault="00083269" w:rsidP="00373528">
            <w:pPr>
              <w:rPr>
                <w:b/>
                <w:szCs w:val="20"/>
              </w:rPr>
            </w:pPr>
            <w:r w:rsidRPr="007F0C4C">
              <w:rPr>
                <w:b/>
                <w:color w:val="FFFFFF" w:themeColor="background1"/>
                <w:szCs w:val="20"/>
              </w:rPr>
              <w:t>For agencies managing conflicts of interest</w:t>
            </w:r>
          </w:p>
        </w:tc>
        <w:tc>
          <w:tcPr>
            <w:tcW w:w="8366" w:type="dxa"/>
            <w:shd w:val="clear" w:color="auto" w:fill="auto"/>
          </w:tcPr>
          <w:p w14:paraId="47706015" w14:textId="77777777" w:rsidR="00083269" w:rsidRPr="007F0C4C" w:rsidRDefault="00083269" w:rsidP="00083269">
            <w:pPr>
              <w:pStyle w:val="ListParagraph"/>
              <w:numPr>
                <w:ilvl w:val="0"/>
                <w:numId w:val="20"/>
              </w:numPr>
              <w:spacing w:before="60"/>
              <w:ind w:left="357" w:hanging="357"/>
              <w:contextualSpacing/>
              <w:rPr>
                <w:b/>
                <w:szCs w:val="20"/>
                <w:lang w:eastAsia="en-AU"/>
              </w:rPr>
            </w:pPr>
            <w:r w:rsidRPr="007F0C4C">
              <w:rPr>
                <w:b/>
                <w:szCs w:val="20"/>
                <w:lang w:eastAsia="en-AU"/>
              </w:rPr>
              <w:t xml:space="preserve">It is recommended that the agency maintain a centralised conflict </w:t>
            </w:r>
            <w:r>
              <w:rPr>
                <w:b/>
                <w:szCs w:val="20"/>
                <w:lang w:eastAsia="en-AU"/>
              </w:rPr>
              <w:t xml:space="preserve">of interest </w:t>
            </w:r>
            <w:r w:rsidRPr="007F0C4C">
              <w:rPr>
                <w:b/>
                <w:szCs w:val="20"/>
                <w:lang w:eastAsia="en-AU"/>
              </w:rPr>
              <w:t>register.</w:t>
            </w:r>
          </w:p>
          <w:p w14:paraId="3D22E40A" w14:textId="77777777" w:rsidR="00083269" w:rsidRPr="007F0C4C" w:rsidRDefault="00083269" w:rsidP="00083269">
            <w:pPr>
              <w:pStyle w:val="ListParagraph"/>
              <w:numPr>
                <w:ilvl w:val="0"/>
                <w:numId w:val="20"/>
              </w:numPr>
              <w:spacing w:before="60"/>
              <w:ind w:left="357" w:hanging="357"/>
              <w:contextualSpacing/>
              <w:rPr>
                <w:b/>
                <w:szCs w:val="20"/>
                <w:lang w:eastAsia="en-AU"/>
              </w:rPr>
            </w:pPr>
            <w:r w:rsidRPr="007F0C4C">
              <w:rPr>
                <w:b/>
                <w:szCs w:val="20"/>
                <w:lang w:eastAsia="en-AU"/>
              </w:rPr>
              <w:t>The agency should nominate a responsible officer to review</w:t>
            </w:r>
            <w:r>
              <w:rPr>
                <w:b/>
                <w:szCs w:val="20"/>
                <w:lang w:eastAsia="en-AU"/>
              </w:rPr>
              <w:t>,</w:t>
            </w:r>
            <w:r w:rsidRPr="007F0C4C">
              <w:rPr>
                <w:b/>
                <w:szCs w:val="20"/>
                <w:lang w:eastAsia="en-AU"/>
              </w:rPr>
              <w:t xml:space="preserve"> manage and ensure </w:t>
            </w:r>
            <w:proofErr w:type="gramStart"/>
            <w:r w:rsidRPr="007F0C4C">
              <w:rPr>
                <w:b/>
                <w:szCs w:val="20"/>
                <w:lang w:eastAsia="en-AU"/>
              </w:rPr>
              <w:t>currency</w:t>
            </w:r>
            <w:proofErr w:type="gramEnd"/>
            <w:r w:rsidRPr="007F0C4C">
              <w:rPr>
                <w:b/>
                <w:szCs w:val="20"/>
                <w:lang w:eastAsia="en-AU"/>
              </w:rPr>
              <w:t xml:space="preserve"> of the register.</w:t>
            </w:r>
          </w:p>
          <w:p w14:paraId="7E932860" w14:textId="77777777" w:rsidR="00083269" w:rsidRPr="007F0C4C" w:rsidRDefault="00083269" w:rsidP="00083269">
            <w:pPr>
              <w:pStyle w:val="ListParagraph"/>
              <w:numPr>
                <w:ilvl w:val="0"/>
                <w:numId w:val="20"/>
              </w:numPr>
              <w:spacing w:before="60"/>
              <w:ind w:left="357" w:hanging="357"/>
              <w:contextualSpacing/>
              <w:rPr>
                <w:b/>
                <w:szCs w:val="20"/>
                <w:lang w:eastAsia="en-AU"/>
              </w:rPr>
            </w:pPr>
            <w:r w:rsidRPr="007F0C4C">
              <w:rPr>
                <w:b/>
                <w:szCs w:val="20"/>
                <w:lang w:eastAsia="en-AU"/>
              </w:rPr>
              <w:t xml:space="preserve">The primary goal of managing conflicts of interest is to ensure that decisions are made on proper grounds, for legitimate reasons, and without bias. </w:t>
            </w:r>
          </w:p>
          <w:p w14:paraId="6E80D56C" w14:textId="77777777" w:rsidR="00083269" w:rsidRPr="007F0C4C" w:rsidRDefault="00083269" w:rsidP="00373528">
            <w:pPr>
              <w:ind w:left="360"/>
              <w:rPr>
                <w:szCs w:val="20"/>
                <w:lang w:eastAsia="en-AU"/>
              </w:rPr>
            </w:pPr>
            <w:r w:rsidRPr="007F0C4C">
              <w:rPr>
                <w:szCs w:val="20"/>
                <w:lang w:eastAsia="en-AU"/>
              </w:rPr>
              <w:t>In the first instance you should always refer to any policies or procedures that your agency may have in place. If your agency does not have a policy or procedure in place, then</w:t>
            </w:r>
            <w:r>
              <w:rPr>
                <w:szCs w:val="20"/>
                <w:lang w:eastAsia="en-AU"/>
              </w:rPr>
              <w:t xml:space="preserve"> it is important to</w:t>
            </w:r>
            <w:r w:rsidRPr="007F0C4C">
              <w:rPr>
                <w:szCs w:val="20"/>
                <w:lang w:eastAsia="en-AU"/>
              </w:rPr>
              <w:t xml:space="preserve"> </w:t>
            </w:r>
            <w:r>
              <w:rPr>
                <w:szCs w:val="20"/>
                <w:lang w:eastAsia="en-AU"/>
              </w:rPr>
              <w:t>consider developing a</w:t>
            </w:r>
            <w:r w:rsidRPr="007F0C4C">
              <w:rPr>
                <w:szCs w:val="20"/>
                <w:lang w:eastAsia="en-AU"/>
              </w:rPr>
              <w:t xml:space="preserve"> system to manage conflicts of interest for procurement. There are several management strategies available:</w:t>
            </w:r>
          </w:p>
          <w:p w14:paraId="5F887576" w14:textId="77777777" w:rsidR="00083269" w:rsidRPr="007F0C4C" w:rsidRDefault="00083269" w:rsidP="00083269">
            <w:pPr>
              <w:pStyle w:val="ListParagraph"/>
              <w:numPr>
                <w:ilvl w:val="0"/>
                <w:numId w:val="26"/>
              </w:numPr>
              <w:spacing w:after="0"/>
              <w:ind w:left="714" w:hanging="357"/>
              <w:rPr>
                <w:szCs w:val="20"/>
                <w:lang w:eastAsia="en-AU"/>
              </w:rPr>
            </w:pPr>
            <w:r w:rsidRPr="007F0C4C">
              <w:rPr>
                <w:szCs w:val="20"/>
                <w:lang w:eastAsia="en-AU"/>
              </w:rPr>
              <w:t>register – details of the conflict of interest are declared and registered (in low-risk situations this single strategy may be sufficient)</w:t>
            </w:r>
          </w:p>
          <w:p w14:paraId="110F18FF" w14:textId="77777777" w:rsidR="00083269" w:rsidRPr="007F0C4C" w:rsidRDefault="00083269" w:rsidP="00083269">
            <w:pPr>
              <w:pStyle w:val="ListParagraph"/>
              <w:numPr>
                <w:ilvl w:val="0"/>
                <w:numId w:val="26"/>
              </w:numPr>
              <w:spacing w:after="0"/>
              <w:ind w:left="714" w:hanging="357"/>
              <w:rPr>
                <w:szCs w:val="20"/>
                <w:lang w:eastAsia="en-AU"/>
              </w:rPr>
            </w:pPr>
            <w:r w:rsidRPr="007F0C4C">
              <w:rPr>
                <w:szCs w:val="20"/>
                <w:lang w:eastAsia="en-AU"/>
              </w:rPr>
              <w:t>restrict – restrictions are placed on the officer’s involvement in the matter</w:t>
            </w:r>
          </w:p>
          <w:p w14:paraId="0B3E9C0C" w14:textId="77777777" w:rsidR="00083269" w:rsidRPr="007F0C4C" w:rsidRDefault="00083269" w:rsidP="00083269">
            <w:pPr>
              <w:pStyle w:val="ListParagraph"/>
              <w:numPr>
                <w:ilvl w:val="0"/>
                <w:numId w:val="26"/>
              </w:numPr>
              <w:spacing w:after="0"/>
              <w:ind w:left="714" w:hanging="357"/>
              <w:rPr>
                <w:szCs w:val="20"/>
                <w:lang w:eastAsia="en-AU"/>
              </w:rPr>
            </w:pPr>
            <w:r w:rsidRPr="007F0C4C">
              <w:rPr>
                <w:szCs w:val="20"/>
                <w:lang w:eastAsia="en-AU"/>
              </w:rPr>
              <w:t xml:space="preserve">recruit – an impartial third party is used to oversee part or </w:t>
            </w:r>
            <w:proofErr w:type="gramStart"/>
            <w:r w:rsidRPr="007F0C4C">
              <w:rPr>
                <w:szCs w:val="20"/>
                <w:lang w:eastAsia="en-AU"/>
              </w:rPr>
              <w:t>all of</w:t>
            </w:r>
            <w:proofErr w:type="gramEnd"/>
            <w:r w:rsidRPr="007F0C4C">
              <w:rPr>
                <w:szCs w:val="20"/>
                <w:lang w:eastAsia="en-AU"/>
              </w:rPr>
              <w:t xml:space="preserve"> the process </w:t>
            </w:r>
          </w:p>
          <w:p w14:paraId="7BF52EAE" w14:textId="77777777" w:rsidR="00083269" w:rsidRPr="007F0C4C" w:rsidRDefault="00083269" w:rsidP="00083269">
            <w:pPr>
              <w:pStyle w:val="ListParagraph"/>
              <w:numPr>
                <w:ilvl w:val="0"/>
                <w:numId w:val="26"/>
              </w:numPr>
              <w:spacing w:after="0"/>
              <w:ind w:left="714" w:hanging="357"/>
              <w:rPr>
                <w:szCs w:val="20"/>
                <w:lang w:eastAsia="en-AU"/>
              </w:rPr>
            </w:pPr>
            <w:r w:rsidRPr="007F0C4C">
              <w:rPr>
                <w:szCs w:val="20"/>
                <w:lang w:eastAsia="en-AU"/>
              </w:rPr>
              <w:t>remove – the officer chooses, or is requested, to be removed from the matter</w:t>
            </w:r>
          </w:p>
          <w:p w14:paraId="080CBD81" w14:textId="77777777" w:rsidR="00083269" w:rsidRPr="007F0C4C" w:rsidRDefault="00083269" w:rsidP="00083269">
            <w:pPr>
              <w:pStyle w:val="ListParagraph"/>
              <w:numPr>
                <w:ilvl w:val="0"/>
                <w:numId w:val="26"/>
              </w:numPr>
              <w:spacing w:after="0"/>
              <w:ind w:left="714" w:hanging="357"/>
              <w:rPr>
                <w:szCs w:val="20"/>
                <w:lang w:eastAsia="en-AU"/>
              </w:rPr>
            </w:pPr>
            <w:r w:rsidRPr="007F0C4C">
              <w:rPr>
                <w:szCs w:val="20"/>
                <w:lang w:eastAsia="en-AU"/>
              </w:rPr>
              <w:t>relinquish – the officer relinquishes the private interest that is creating the conflict</w:t>
            </w:r>
          </w:p>
          <w:p w14:paraId="6BCEADBD" w14:textId="77777777" w:rsidR="00083269" w:rsidRPr="007F0C4C" w:rsidRDefault="00083269" w:rsidP="00083269">
            <w:pPr>
              <w:pStyle w:val="ListParagraph"/>
              <w:numPr>
                <w:ilvl w:val="0"/>
                <w:numId w:val="26"/>
              </w:numPr>
              <w:spacing w:after="0"/>
              <w:ind w:left="714" w:hanging="357"/>
              <w:rPr>
                <w:b/>
                <w:szCs w:val="20"/>
                <w:lang w:eastAsia="en-AU"/>
              </w:rPr>
            </w:pPr>
            <w:r w:rsidRPr="007F0C4C">
              <w:rPr>
                <w:szCs w:val="20"/>
                <w:lang w:eastAsia="en-AU"/>
              </w:rPr>
              <w:lastRenderedPageBreak/>
              <w:t>resign – where the officer resigns from their position with the agency (this strategy should be considered only if the conflict of interest cannot be resolved in any other workable way).</w:t>
            </w:r>
          </w:p>
          <w:p w14:paraId="72EC2E7B" w14:textId="77777777" w:rsidR="00083269" w:rsidRPr="007F0C4C" w:rsidRDefault="00083269" w:rsidP="00083269">
            <w:pPr>
              <w:pStyle w:val="ListParagraph"/>
              <w:numPr>
                <w:ilvl w:val="0"/>
                <w:numId w:val="19"/>
              </w:numPr>
              <w:spacing w:before="180"/>
              <w:contextualSpacing/>
              <w:rPr>
                <w:b/>
                <w:szCs w:val="20"/>
                <w:lang w:eastAsia="en-AU"/>
              </w:rPr>
            </w:pPr>
            <w:r w:rsidRPr="007F0C4C">
              <w:rPr>
                <w:szCs w:val="20"/>
                <w:lang w:eastAsia="en-AU"/>
              </w:rPr>
              <w:t>Conflicts of interest must always be resolved in the public interest.</w:t>
            </w:r>
          </w:p>
        </w:tc>
      </w:tr>
    </w:tbl>
    <w:p w14:paraId="0C2E6063" w14:textId="77777777" w:rsidR="00083269" w:rsidRPr="00F37C49" w:rsidRDefault="00083269" w:rsidP="00083269">
      <w:pPr>
        <w:pStyle w:val="Heading4"/>
        <w:spacing w:before="240"/>
        <w:rPr>
          <w:b/>
          <w:bCs/>
          <w:color w:val="0D0D0D" w:themeColor="text1" w:themeTint="F2"/>
        </w:rPr>
      </w:pPr>
      <w:r w:rsidRPr="00F37C49">
        <w:rPr>
          <w:b/>
          <w:bCs/>
          <w:color w:val="0D0D0D" w:themeColor="text1" w:themeTint="F2"/>
        </w:rPr>
        <w:lastRenderedPageBreak/>
        <w:t>Examples of conflict of interest in procurement</w:t>
      </w:r>
    </w:p>
    <w:bookmarkEnd w:id="61"/>
    <w:p w14:paraId="6A3469AA" w14:textId="77777777" w:rsidR="00083269" w:rsidRPr="007F0C4C" w:rsidRDefault="00083269" w:rsidP="00083269">
      <w:pPr>
        <w:spacing w:after="120"/>
        <w:rPr>
          <w:rFonts w:cs="Arial"/>
          <w:szCs w:val="20"/>
        </w:rPr>
      </w:pPr>
      <w:r w:rsidRPr="007F0C4C">
        <w:rPr>
          <w:rFonts w:cs="Arial"/>
          <w:szCs w:val="20"/>
        </w:rPr>
        <w:t>The following examples demonstrate how conflict of interest may arise in procurement:</w:t>
      </w:r>
    </w:p>
    <w:p w14:paraId="77C68555" w14:textId="77777777" w:rsidR="00083269" w:rsidRPr="007F0C4C" w:rsidRDefault="00083269" w:rsidP="00083269">
      <w:pPr>
        <w:pStyle w:val="ListParagraph"/>
        <w:numPr>
          <w:ilvl w:val="0"/>
          <w:numId w:val="31"/>
        </w:numPr>
        <w:spacing w:before="60" w:afterLines="60" w:after="144"/>
        <w:ind w:left="714" w:hanging="357"/>
        <w:contextualSpacing/>
        <w:rPr>
          <w:rFonts w:cs="Arial"/>
          <w:szCs w:val="20"/>
        </w:rPr>
      </w:pPr>
      <w:r w:rsidRPr="007F0C4C">
        <w:rPr>
          <w:rFonts w:cs="Arial"/>
          <w:szCs w:val="20"/>
        </w:rPr>
        <w:t>A family member works for a company that is looking to submit a tender for a procurement process you are running.</w:t>
      </w:r>
      <w:r w:rsidRPr="007F0C4C">
        <w:rPr>
          <w:rFonts w:cs="Arial"/>
          <w:szCs w:val="20"/>
        </w:rPr>
        <w:br/>
      </w:r>
    </w:p>
    <w:p w14:paraId="15F60145" w14:textId="77777777" w:rsidR="00083269" w:rsidRPr="007F0C4C" w:rsidRDefault="00083269" w:rsidP="00083269">
      <w:pPr>
        <w:pStyle w:val="ListParagraph"/>
        <w:numPr>
          <w:ilvl w:val="0"/>
          <w:numId w:val="31"/>
        </w:numPr>
        <w:spacing w:before="60" w:afterLines="60" w:after="144"/>
        <w:ind w:left="714" w:hanging="357"/>
        <w:contextualSpacing/>
        <w:rPr>
          <w:rFonts w:cs="Arial"/>
          <w:szCs w:val="20"/>
        </w:rPr>
      </w:pPr>
      <w:r w:rsidRPr="007F0C4C">
        <w:rPr>
          <w:rFonts w:cs="Arial"/>
          <w:szCs w:val="20"/>
        </w:rPr>
        <w:t xml:space="preserve">You or a </w:t>
      </w:r>
      <w:proofErr w:type="gramStart"/>
      <w:r w:rsidRPr="007F0C4C">
        <w:rPr>
          <w:rFonts w:cs="Arial"/>
          <w:szCs w:val="20"/>
        </w:rPr>
        <w:t>family member own shares</w:t>
      </w:r>
      <w:proofErr w:type="gramEnd"/>
      <w:r w:rsidRPr="007F0C4C">
        <w:rPr>
          <w:rFonts w:cs="Arial"/>
          <w:szCs w:val="20"/>
        </w:rPr>
        <w:t xml:space="preserve"> in a company that is looking to submit an offer for a tender you are managing.</w:t>
      </w:r>
      <w:r w:rsidRPr="007F0C4C">
        <w:rPr>
          <w:rFonts w:cs="Arial"/>
          <w:szCs w:val="20"/>
        </w:rPr>
        <w:br/>
      </w:r>
    </w:p>
    <w:p w14:paraId="199B836B" w14:textId="77777777" w:rsidR="00083269" w:rsidRPr="007F0C4C" w:rsidRDefault="00083269" w:rsidP="00083269">
      <w:pPr>
        <w:pStyle w:val="ListParagraph"/>
        <w:numPr>
          <w:ilvl w:val="0"/>
          <w:numId w:val="31"/>
        </w:numPr>
        <w:spacing w:before="60" w:afterLines="60" w:after="144"/>
        <w:ind w:left="714" w:hanging="357"/>
        <w:contextualSpacing/>
        <w:rPr>
          <w:rFonts w:cs="Arial"/>
          <w:szCs w:val="20"/>
        </w:rPr>
      </w:pPr>
      <w:r w:rsidRPr="007F0C4C">
        <w:rPr>
          <w:rFonts w:cs="Arial"/>
          <w:szCs w:val="20"/>
        </w:rPr>
        <w:t>A former colleague, with whom you frequently socialise, has now started working for a supplier who is not currently under contract, but will likely be submitting an offer to a forthcoming tender.</w:t>
      </w:r>
    </w:p>
    <w:p w14:paraId="7E0D610E" w14:textId="77777777" w:rsidR="00083269" w:rsidRPr="007F0C4C" w:rsidRDefault="00083269" w:rsidP="00083269">
      <w:pPr>
        <w:spacing w:after="0"/>
        <w:rPr>
          <w:szCs w:val="20"/>
        </w:rPr>
      </w:pPr>
      <w:r w:rsidRPr="007F0C4C">
        <w:rPr>
          <w:szCs w:val="20"/>
          <w:lang w:eastAsia="en-AU"/>
        </w:rPr>
        <w:t>The general rule is if you are in doubt about whether a conflict of interest exists you should disclose it.</w:t>
      </w:r>
    </w:p>
    <w:p w14:paraId="62515756" w14:textId="77777777" w:rsidR="00083269" w:rsidRDefault="00083269" w:rsidP="00083269">
      <w:pPr>
        <w:spacing w:after="0"/>
      </w:pPr>
    </w:p>
    <w:tbl>
      <w:tblPr>
        <w:tblStyle w:val="TableGrid"/>
        <w:tblW w:w="0" w:type="auto"/>
        <w:tblLook w:val="04A0" w:firstRow="1" w:lastRow="0" w:firstColumn="1" w:lastColumn="0" w:noHBand="0" w:noVBand="1"/>
      </w:tblPr>
      <w:tblGrid>
        <w:gridCol w:w="9016"/>
      </w:tblGrid>
      <w:tr w:rsidR="00083269" w:rsidRPr="007F0C4C" w14:paraId="6F789950" w14:textId="77777777" w:rsidTr="00373528">
        <w:tc>
          <w:tcPr>
            <w:tcW w:w="9346" w:type="dxa"/>
            <w:shd w:val="clear" w:color="auto" w:fill="0070C0"/>
          </w:tcPr>
          <w:p w14:paraId="659064D1" w14:textId="77777777" w:rsidR="00083269" w:rsidRPr="007F0C4C" w:rsidRDefault="00083269" w:rsidP="00373528">
            <w:pPr>
              <w:pStyle w:val="Heading4"/>
              <w:rPr>
                <w:b/>
                <w:bCs/>
                <w:sz w:val="20"/>
                <w:szCs w:val="20"/>
              </w:rPr>
            </w:pPr>
            <w:r w:rsidRPr="20E4B047">
              <w:rPr>
                <w:b/>
                <w:bCs/>
                <w:color w:val="FFFFFF" w:themeColor="background1"/>
                <w:sz w:val="20"/>
                <w:szCs w:val="20"/>
              </w:rPr>
              <w:t>Case study – Victorian Government Department of Education procurement</w:t>
            </w:r>
          </w:p>
        </w:tc>
      </w:tr>
      <w:tr w:rsidR="00083269" w:rsidRPr="007F0C4C" w14:paraId="07C09BFF" w14:textId="77777777" w:rsidTr="00373528">
        <w:tc>
          <w:tcPr>
            <w:tcW w:w="9346" w:type="dxa"/>
            <w:shd w:val="clear" w:color="auto" w:fill="auto"/>
          </w:tcPr>
          <w:p w14:paraId="009E87C7" w14:textId="77777777" w:rsidR="00083269" w:rsidRPr="007F0C4C" w:rsidRDefault="00083269" w:rsidP="00373528">
            <w:pPr>
              <w:spacing w:after="120"/>
              <w:rPr>
                <w:szCs w:val="20"/>
                <w:lang w:eastAsia="en-AU"/>
              </w:rPr>
            </w:pPr>
            <w:r w:rsidRPr="007F0C4C">
              <w:rPr>
                <w:szCs w:val="20"/>
                <w:lang w:eastAsia="en-AU"/>
              </w:rPr>
              <w:t>The Victorian Department of Education has recently been the subject of a Victorian Independent Broad-based Anti-Corruption Commission (IBAC) investigation.</w:t>
            </w:r>
            <w:r w:rsidRPr="007F0C4C">
              <w:rPr>
                <w:rStyle w:val="FootnoteReference"/>
                <w:szCs w:val="20"/>
                <w:lang w:eastAsia="en-AU"/>
              </w:rPr>
              <w:footnoteReference w:id="2"/>
            </w:r>
            <w:r w:rsidRPr="007F0C4C">
              <w:rPr>
                <w:szCs w:val="20"/>
                <w:lang w:eastAsia="en-AU"/>
              </w:rPr>
              <w:t xml:space="preserve"> This focused on the procurement of ‘Ultranet’, a school-based intranet program, supplied by CSG Limited. The investigation heard that the procurement was poorly planned and demonstrated significant lapses in probity (specifically in the tendering process and ultimate awarding of the contract) largely attributed to undeclared conflicts of interest.</w:t>
            </w:r>
          </w:p>
          <w:p w14:paraId="5CCB9E8E" w14:textId="77777777" w:rsidR="00083269" w:rsidRPr="007F0C4C" w:rsidRDefault="00083269" w:rsidP="00373528">
            <w:pPr>
              <w:rPr>
                <w:szCs w:val="20"/>
                <w:lang w:eastAsia="en-AU"/>
              </w:rPr>
            </w:pPr>
            <w:r w:rsidRPr="007F0C4C">
              <w:rPr>
                <w:szCs w:val="20"/>
                <w:lang w:eastAsia="en-AU"/>
              </w:rPr>
              <w:t xml:space="preserve">An independent consultant to the Department testified that concerns about corruption in the procurement activity had been reported to the project manager. The concerns included: </w:t>
            </w:r>
          </w:p>
          <w:p w14:paraId="0A8E8F72" w14:textId="77777777" w:rsidR="00083269" w:rsidRPr="007F0C4C" w:rsidRDefault="00083269" w:rsidP="00083269">
            <w:pPr>
              <w:pStyle w:val="ListParagraph"/>
              <w:numPr>
                <w:ilvl w:val="0"/>
                <w:numId w:val="33"/>
              </w:numPr>
              <w:spacing w:before="180" w:line="264" w:lineRule="auto"/>
              <w:contextualSpacing/>
              <w:rPr>
                <w:szCs w:val="20"/>
                <w:lang w:eastAsia="en-AU"/>
              </w:rPr>
            </w:pPr>
            <w:r w:rsidRPr="007F0C4C">
              <w:rPr>
                <w:szCs w:val="20"/>
                <w:lang w:eastAsia="en-AU"/>
              </w:rPr>
              <w:t xml:space="preserve">disproportionately high gradings for the CSG tender </w:t>
            </w:r>
          </w:p>
          <w:p w14:paraId="1A21CFE6" w14:textId="77777777" w:rsidR="00083269" w:rsidRPr="007F0C4C" w:rsidRDefault="00083269" w:rsidP="00083269">
            <w:pPr>
              <w:pStyle w:val="ListParagraph"/>
              <w:numPr>
                <w:ilvl w:val="0"/>
                <w:numId w:val="33"/>
              </w:numPr>
              <w:spacing w:before="180" w:line="264" w:lineRule="auto"/>
              <w:contextualSpacing/>
              <w:rPr>
                <w:szCs w:val="20"/>
                <w:lang w:eastAsia="en-AU"/>
              </w:rPr>
            </w:pPr>
            <w:r w:rsidRPr="007F0C4C">
              <w:rPr>
                <w:szCs w:val="20"/>
                <w:lang w:eastAsia="en-AU"/>
              </w:rPr>
              <w:t xml:space="preserve">concerns that CSG was not equipped to deliver the large-scale project and had tendered an inflated offer </w:t>
            </w:r>
          </w:p>
          <w:p w14:paraId="1E3168F9" w14:textId="77777777" w:rsidR="00083269" w:rsidRPr="007F0C4C" w:rsidRDefault="00083269" w:rsidP="00083269">
            <w:pPr>
              <w:pStyle w:val="ListParagraph"/>
              <w:numPr>
                <w:ilvl w:val="0"/>
                <w:numId w:val="33"/>
              </w:numPr>
              <w:spacing w:before="180" w:line="264" w:lineRule="auto"/>
              <w:contextualSpacing/>
              <w:rPr>
                <w:szCs w:val="20"/>
                <w:lang w:eastAsia="en-AU"/>
              </w:rPr>
            </w:pPr>
            <w:r w:rsidRPr="007F0C4C">
              <w:rPr>
                <w:szCs w:val="20"/>
                <w:lang w:eastAsia="en-AU"/>
              </w:rPr>
              <w:t xml:space="preserve">suspected connections </w:t>
            </w:r>
            <w:proofErr w:type="gramStart"/>
            <w:r w:rsidRPr="007F0C4C">
              <w:rPr>
                <w:szCs w:val="20"/>
                <w:lang w:eastAsia="en-AU"/>
              </w:rPr>
              <w:t>to</w:t>
            </w:r>
            <w:proofErr w:type="gramEnd"/>
            <w:r w:rsidRPr="007F0C4C">
              <w:rPr>
                <w:szCs w:val="20"/>
                <w:lang w:eastAsia="en-AU"/>
              </w:rPr>
              <w:t xml:space="preserve"> government officials involved in the procurement activity.</w:t>
            </w:r>
          </w:p>
          <w:p w14:paraId="6894D7B2" w14:textId="77777777" w:rsidR="00083269" w:rsidRPr="007F0C4C" w:rsidRDefault="00083269" w:rsidP="00373528">
            <w:pPr>
              <w:spacing w:after="120"/>
              <w:rPr>
                <w:szCs w:val="20"/>
                <w:lang w:eastAsia="en-AU"/>
              </w:rPr>
            </w:pPr>
            <w:r w:rsidRPr="007F0C4C">
              <w:rPr>
                <w:szCs w:val="20"/>
                <w:lang w:eastAsia="en-AU"/>
              </w:rPr>
              <w:t xml:space="preserve">The Ultranet project failed and was scrapped by the government in 2013 due to ongoing and unresolved technical issues. The IBAC investigation concluded that Department officials purchased shares in CSG and were influenced during the tender process by accepting inappropriate gifts from the supplier. </w:t>
            </w:r>
          </w:p>
          <w:p w14:paraId="3123AD31" w14:textId="77777777" w:rsidR="00083269" w:rsidRPr="007F0C4C" w:rsidRDefault="00083269" w:rsidP="00373528">
            <w:pPr>
              <w:spacing w:after="120"/>
              <w:rPr>
                <w:szCs w:val="20"/>
                <w:lang w:eastAsia="en-AU"/>
              </w:rPr>
            </w:pPr>
            <w:r w:rsidRPr="007F0C4C">
              <w:rPr>
                <w:szCs w:val="20"/>
                <w:lang w:eastAsia="en-AU"/>
              </w:rPr>
              <w:t xml:space="preserve">IBAC also determined that proper procurement processes had not been observed in the evaluation process and that the decision to award the contract to CSG was unreasoned and inexplicable. </w:t>
            </w:r>
          </w:p>
          <w:p w14:paraId="40B80F5C" w14:textId="77777777" w:rsidR="00083269" w:rsidRPr="007F0C4C" w:rsidRDefault="00083269" w:rsidP="00373528">
            <w:pPr>
              <w:rPr>
                <w:szCs w:val="20"/>
                <w:lang w:eastAsia="en-AU"/>
              </w:rPr>
            </w:pPr>
            <w:r w:rsidRPr="007F0C4C">
              <w:rPr>
                <w:szCs w:val="20"/>
                <w:lang w:eastAsia="en-AU"/>
              </w:rPr>
              <w:t xml:space="preserve">Further allegations were explored, whereby IBAC heard that a complementary procurement in 2011 to evaluate the project was also corrupt. The supplier, Alliance Recruitment, was alleged to have received </w:t>
            </w:r>
            <w:proofErr w:type="gramStart"/>
            <w:r w:rsidRPr="007F0C4C">
              <w:rPr>
                <w:szCs w:val="20"/>
                <w:lang w:eastAsia="en-AU"/>
              </w:rPr>
              <w:t>a payment</w:t>
            </w:r>
            <w:proofErr w:type="gramEnd"/>
            <w:r w:rsidRPr="007F0C4C">
              <w:rPr>
                <w:szCs w:val="20"/>
                <w:lang w:eastAsia="en-AU"/>
              </w:rPr>
              <w:t>, to ensure that funds were corruptly injected into CSG to ensure it remained viable.</w:t>
            </w:r>
          </w:p>
          <w:p w14:paraId="70321F1A" w14:textId="77777777" w:rsidR="00083269" w:rsidRPr="007F0C4C" w:rsidRDefault="00083269" w:rsidP="00373528">
            <w:pPr>
              <w:rPr>
                <w:szCs w:val="20"/>
                <w:lang w:eastAsia="en-AU"/>
              </w:rPr>
            </w:pPr>
            <w:r w:rsidRPr="007F0C4C">
              <w:rPr>
                <w:szCs w:val="20"/>
                <w:lang w:eastAsia="en-AU"/>
              </w:rPr>
              <w:t xml:space="preserve">The investigation resulted in recommendations including: </w:t>
            </w:r>
          </w:p>
          <w:p w14:paraId="4DE00AC0" w14:textId="77777777" w:rsidR="00083269" w:rsidRPr="007F0C4C" w:rsidRDefault="00083269" w:rsidP="00083269">
            <w:pPr>
              <w:pStyle w:val="ListParagraph"/>
              <w:numPr>
                <w:ilvl w:val="0"/>
                <w:numId w:val="34"/>
              </w:numPr>
              <w:spacing w:before="180" w:line="264" w:lineRule="auto"/>
              <w:contextualSpacing/>
              <w:rPr>
                <w:szCs w:val="20"/>
                <w:lang w:eastAsia="en-AU"/>
              </w:rPr>
            </w:pPr>
            <w:r w:rsidRPr="007F0C4C">
              <w:rPr>
                <w:szCs w:val="20"/>
                <w:lang w:eastAsia="en-AU"/>
              </w:rPr>
              <w:t>acting to strengthen internal procurement and governance arrangements for major projects</w:t>
            </w:r>
          </w:p>
          <w:p w14:paraId="27094D94" w14:textId="77777777" w:rsidR="00083269" w:rsidRPr="007F0C4C" w:rsidRDefault="00083269" w:rsidP="00083269">
            <w:pPr>
              <w:pStyle w:val="ListParagraph"/>
              <w:numPr>
                <w:ilvl w:val="0"/>
                <w:numId w:val="34"/>
              </w:numPr>
              <w:spacing w:before="180" w:line="264" w:lineRule="auto"/>
              <w:contextualSpacing/>
              <w:rPr>
                <w:szCs w:val="20"/>
                <w:lang w:eastAsia="en-AU"/>
              </w:rPr>
            </w:pPr>
            <w:r w:rsidRPr="007F0C4C">
              <w:rPr>
                <w:szCs w:val="20"/>
                <w:lang w:eastAsia="en-AU"/>
              </w:rPr>
              <w:t>proper recordkeeping</w:t>
            </w:r>
          </w:p>
          <w:p w14:paraId="2AF1FAD6" w14:textId="77777777" w:rsidR="00083269" w:rsidRPr="007F0C4C" w:rsidRDefault="00083269" w:rsidP="00083269">
            <w:pPr>
              <w:pStyle w:val="ListParagraph"/>
              <w:numPr>
                <w:ilvl w:val="0"/>
                <w:numId w:val="34"/>
              </w:numPr>
              <w:spacing w:before="180" w:line="264" w:lineRule="auto"/>
              <w:contextualSpacing/>
              <w:rPr>
                <w:szCs w:val="20"/>
                <w:lang w:eastAsia="en-AU"/>
              </w:rPr>
            </w:pPr>
            <w:r w:rsidRPr="007F0C4C">
              <w:rPr>
                <w:szCs w:val="20"/>
                <w:lang w:eastAsia="en-AU"/>
              </w:rPr>
              <w:t xml:space="preserve">maintenance of </w:t>
            </w:r>
            <w:proofErr w:type="gramStart"/>
            <w:r w:rsidRPr="007F0C4C">
              <w:rPr>
                <w:szCs w:val="20"/>
                <w:lang w:eastAsia="en-AU"/>
              </w:rPr>
              <w:t>conflict of interest</w:t>
            </w:r>
            <w:proofErr w:type="gramEnd"/>
            <w:r w:rsidRPr="007F0C4C">
              <w:rPr>
                <w:szCs w:val="20"/>
                <w:lang w:eastAsia="en-AU"/>
              </w:rPr>
              <w:t xml:space="preserve"> registers</w:t>
            </w:r>
          </w:p>
          <w:p w14:paraId="2030B5F1" w14:textId="77777777" w:rsidR="00083269" w:rsidRPr="007F0C4C" w:rsidRDefault="00083269" w:rsidP="00083269">
            <w:pPr>
              <w:pStyle w:val="ListParagraph"/>
              <w:numPr>
                <w:ilvl w:val="0"/>
                <w:numId w:val="34"/>
              </w:numPr>
              <w:spacing w:before="180" w:after="120" w:line="264" w:lineRule="auto"/>
              <w:ind w:left="714" w:hanging="357"/>
              <w:contextualSpacing/>
              <w:rPr>
                <w:szCs w:val="20"/>
              </w:rPr>
            </w:pPr>
            <w:r w:rsidRPr="007F0C4C">
              <w:rPr>
                <w:szCs w:val="20"/>
                <w:lang w:eastAsia="en-AU"/>
              </w:rPr>
              <w:t>proper documentation of complaints regarding probity.</w:t>
            </w:r>
          </w:p>
        </w:tc>
      </w:tr>
    </w:tbl>
    <w:p w14:paraId="032D3705" w14:textId="77777777" w:rsidR="00083269" w:rsidRDefault="00083269" w:rsidP="00083269">
      <w:pPr>
        <w:pStyle w:val="Heading3"/>
        <w:keepNext w:val="0"/>
        <w:keepLines w:val="0"/>
        <w:numPr>
          <w:ilvl w:val="0"/>
          <w:numId w:val="32"/>
        </w:numPr>
        <w:autoSpaceDE w:val="0"/>
        <w:autoSpaceDN w:val="0"/>
        <w:adjustRightInd w:val="0"/>
        <w:spacing w:before="240" w:line="264" w:lineRule="auto"/>
        <w:ind w:left="357" w:hanging="357"/>
      </w:pPr>
      <w:bookmarkStart w:id="62" w:name="_Toc77338204"/>
      <w:bookmarkStart w:id="63" w:name="_Toc77338219"/>
      <w:bookmarkStart w:id="64" w:name="_Toc47942953"/>
      <w:bookmarkStart w:id="65" w:name="_Toc47943055"/>
      <w:bookmarkStart w:id="66" w:name="_Toc47943134"/>
      <w:bookmarkStart w:id="67" w:name="_Toc55888662"/>
      <w:bookmarkStart w:id="68" w:name="_Toc56171355"/>
      <w:bookmarkStart w:id="69" w:name="_Toc517181560"/>
      <w:bookmarkStart w:id="70" w:name="_Toc517181561"/>
      <w:bookmarkStart w:id="71" w:name="_Toc517181562"/>
      <w:bookmarkStart w:id="72" w:name="_Toc494365928"/>
      <w:bookmarkStart w:id="73" w:name="_Toc494373745"/>
      <w:bookmarkStart w:id="74" w:name="_Toc494373853"/>
      <w:bookmarkStart w:id="75" w:name="_Toc494365929"/>
      <w:bookmarkStart w:id="76" w:name="_Toc494373746"/>
      <w:bookmarkStart w:id="77" w:name="_Toc494373854"/>
      <w:bookmarkStart w:id="78" w:name="_Toc494373747"/>
      <w:bookmarkStart w:id="79" w:name="_Toc517676715"/>
      <w:bookmarkStart w:id="80" w:name="_Toc56171363"/>
      <w:bookmarkStart w:id="81" w:name="_Toc20293977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C42052">
        <w:lastRenderedPageBreak/>
        <w:t>Managing probity relative to value and risk</w:t>
      </w:r>
      <w:bookmarkEnd w:id="78"/>
      <w:bookmarkEnd w:id="79"/>
      <w:bookmarkEnd w:id="80"/>
      <w:bookmarkEnd w:id="81"/>
    </w:p>
    <w:p w14:paraId="78A462D3" w14:textId="77777777" w:rsidR="00083269" w:rsidRPr="007F0C4C" w:rsidRDefault="00083269" w:rsidP="00083269">
      <w:pPr>
        <w:rPr>
          <w:bCs/>
          <w:szCs w:val="20"/>
          <w:lang w:eastAsia="en-AU"/>
        </w:rPr>
      </w:pPr>
      <w:r w:rsidRPr="007F0C4C">
        <w:rPr>
          <w:bCs/>
          <w:szCs w:val="20"/>
          <w:lang w:eastAsia="en-AU"/>
        </w:rPr>
        <w:t>This focus area aims to ensure that probity is integrated within an agency’s framework to ensure that it is managed relative to the value and risk of a particular procurement activity.</w:t>
      </w:r>
    </w:p>
    <w:p w14:paraId="557038B5" w14:textId="77777777" w:rsidR="00083269" w:rsidRPr="007F0C4C" w:rsidRDefault="00083269" w:rsidP="00083269">
      <w:pPr>
        <w:rPr>
          <w:szCs w:val="20"/>
          <w:lang w:eastAsia="en-AU"/>
        </w:rPr>
      </w:pPr>
      <w:r w:rsidRPr="007F0C4C">
        <w:rPr>
          <w:szCs w:val="20"/>
          <w:lang w:eastAsia="en-AU"/>
        </w:rPr>
        <w:t xml:space="preserve">The below table provides </w:t>
      </w:r>
      <w:r>
        <w:rPr>
          <w:szCs w:val="20"/>
          <w:lang w:eastAsia="en-AU"/>
        </w:rPr>
        <w:t xml:space="preserve">general </w:t>
      </w:r>
      <w:r w:rsidRPr="007F0C4C">
        <w:rPr>
          <w:szCs w:val="20"/>
          <w:lang w:eastAsia="en-AU"/>
        </w:rPr>
        <w:t xml:space="preserve">guidance </w:t>
      </w:r>
      <w:r>
        <w:rPr>
          <w:szCs w:val="20"/>
          <w:lang w:eastAsia="en-AU"/>
        </w:rPr>
        <w:t>for</w:t>
      </w:r>
      <w:r w:rsidRPr="007F0C4C">
        <w:rPr>
          <w:szCs w:val="20"/>
          <w:lang w:eastAsia="en-AU"/>
        </w:rPr>
        <w:t xml:space="preserve"> agencies on how various probity considerations, such as probity plans, can be incorporated as value and risk increase. </w:t>
      </w:r>
    </w:p>
    <w:p w14:paraId="4D3C527E" w14:textId="77777777" w:rsidR="00083269" w:rsidRDefault="00083269" w:rsidP="00083269">
      <w:pPr>
        <w:spacing w:after="0"/>
        <w:rPr>
          <w:lang w:eastAsia="en-AU"/>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7"/>
        <w:gridCol w:w="3007"/>
        <w:gridCol w:w="3742"/>
      </w:tblGrid>
      <w:tr w:rsidR="00083269" w:rsidRPr="007F0C4C" w14:paraId="01F12C39" w14:textId="77777777" w:rsidTr="00373528">
        <w:tc>
          <w:tcPr>
            <w:tcW w:w="2312" w:type="dxa"/>
            <w:tcBorders>
              <w:bottom w:val="single" w:sz="4" w:space="0" w:color="auto"/>
              <w:right w:val="single" w:sz="4" w:space="0" w:color="auto"/>
            </w:tcBorders>
            <w:shd w:val="clear" w:color="auto" w:fill="FFFFFF" w:themeFill="background1"/>
          </w:tcPr>
          <w:p w14:paraId="1E358457" w14:textId="77777777" w:rsidR="00083269" w:rsidRPr="007F0C4C" w:rsidRDefault="00083269" w:rsidP="00373528">
            <w:pPr>
              <w:rPr>
                <w:b/>
                <w:color w:val="000000" w:themeColor="text1"/>
                <w:szCs w:val="20"/>
                <w:lang w:eastAsia="en-AU"/>
              </w:rPr>
            </w:pPr>
          </w:p>
        </w:tc>
        <w:tc>
          <w:tcPr>
            <w:tcW w:w="3131" w:type="dxa"/>
            <w:tcBorders>
              <w:top w:val="single" w:sz="4" w:space="0" w:color="auto"/>
              <w:left w:val="single" w:sz="4" w:space="0" w:color="auto"/>
              <w:bottom w:val="single" w:sz="4" w:space="0" w:color="auto"/>
              <w:right w:val="single" w:sz="4" w:space="0" w:color="auto"/>
            </w:tcBorders>
            <w:shd w:val="clear" w:color="auto" w:fill="0070C0"/>
          </w:tcPr>
          <w:p w14:paraId="0622CBE9" w14:textId="77777777" w:rsidR="00083269" w:rsidRPr="007F0C4C" w:rsidRDefault="00083269" w:rsidP="00373528">
            <w:pPr>
              <w:spacing w:before="120" w:line="360" w:lineRule="auto"/>
              <w:jc w:val="center"/>
              <w:rPr>
                <w:b/>
                <w:color w:val="FFFFFF" w:themeColor="background1"/>
                <w:position w:val="6"/>
                <w:szCs w:val="20"/>
              </w:rPr>
            </w:pPr>
            <w:r w:rsidRPr="007F0C4C">
              <w:rPr>
                <w:b/>
                <w:color w:val="FFFFFF" w:themeColor="background1"/>
                <w:position w:val="6"/>
                <w:szCs w:val="20"/>
              </w:rPr>
              <w:t>For low value and low risk….</w:t>
            </w:r>
          </w:p>
        </w:tc>
        <w:tc>
          <w:tcPr>
            <w:tcW w:w="3903" w:type="dxa"/>
            <w:tcBorders>
              <w:top w:val="single" w:sz="4" w:space="0" w:color="auto"/>
              <w:left w:val="single" w:sz="4" w:space="0" w:color="auto"/>
              <w:bottom w:val="single" w:sz="4" w:space="0" w:color="auto"/>
              <w:right w:val="single" w:sz="4" w:space="0" w:color="auto"/>
            </w:tcBorders>
            <w:shd w:val="clear" w:color="auto" w:fill="0070C0"/>
          </w:tcPr>
          <w:p w14:paraId="7FF55600" w14:textId="77777777" w:rsidR="00083269" w:rsidRPr="007F0C4C" w:rsidRDefault="00083269" w:rsidP="00373528">
            <w:pPr>
              <w:spacing w:before="120" w:line="360" w:lineRule="auto"/>
              <w:jc w:val="center"/>
              <w:rPr>
                <w:b/>
                <w:color w:val="FFFFFF" w:themeColor="background1"/>
                <w:position w:val="6"/>
                <w:szCs w:val="20"/>
              </w:rPr>
            </w:pPr>
            <w:r w:rsidRPr="007F0C4C">
              <w:rPr>
                <w:b/>
                <w:color w:val="FFFFFF" w:themeColor="background1"/>
                <w:position w:val="6"/>
                <w:szCs w:val="20"/>
              </w:rPr>
              <w:t>As value and risk increase….</w:t>
            </w:r>
          </w:p>
        </w:tc>
      </w:tr>
      <w:tr w:rsidR="00083269" w:rsidRPr="007F0C4C" w14:paraId="56C3E318" w14:textId="77777777" w:rsidTr="00373528">
        <w:tc>
          <w:tcPr>
            <w:tcW w:w="23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3A41AE" w14:textId="77777777" w:rsidR="00083269" w:rsidRPr="007F0C4C" w:rsidRDefault="00083269" w:rsidP="00373528">
            <w:pPr>
              <w:spacing w:before="120"/>
              <w:rPr>
                <w:b/>
                <w:color w:val="FFFFFF" w:themeColor="background1"/>
                <w:szCs w:val="20"/>
              </w:rPr>
            </w:pPr>
            <w:r w:rsidRPr="007F0C4C">
              <w:rPr>
                <w:b/>
                <w:color w:val="FFFFFF" w:themeColor="background1"/>
                <w:szCs w:val="20"/>
              </w:rPr>
              <w:t>Probity planning</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01F661D2" w14:textId="77777777" w:rsidR="00083269" w:rsidRPr="007F0C4C" w:rsidRDefault="00083269" w:rsidP="00373528">
            <w:pPr>
              <w:spacing w:before="120"/>
              <w:rPr>
                <w:szCs w:val="20"/>
                <w:lang w:eastAsia="en-AU"/>
              </w:rPr>
            </w:pPr>
            <w:r w:rsidRPr="007F0C4C">
              <w:rPr>
                <w:szCs w:val="20"/>
                <w:lang w:eastAsia="en-AU"/>
              </w:rPr>
              <w:t>Use a probity checklist for each procurement activity.  Ensure that the checklist is revisited at the end of each key stage</w:t>
            </w:r>
          </w:p>
        </w:tc>
        <w:tc>
          <w:tcPr>
            <w:tcW w:w="3903" w:type="dxa"/>
            <w:tcBorders>
              <w:top w:val="single" w:sz="4" w:space="0" w:color="auto"/>
              <w:left w:val="single" w:sz="4" w:space="0" w:color="auto"/>
              <w:bottom w:val="single" w:sz="4" w:space="0" w:color="auto"/>
              <w:right w:val="single" w:sz="4" w:space="0" w:color="auto"/>
            </w:tcBorders>
            <w:shd w:val="clear" w:color="auto" w:fill="auto"/>
          </w:tcPr>
          <w:p w14:paraId="641362D8" w14:textId="77777777" w:rsidR="00083269" w:rsidRPr="007F0C4C" w:rsidRDefault="00083269" w:rsidP="00373528">
            <w:pPr>
              <w:spacing w:before="120"/>
              <w:rPr>
                <w:szCs w:val="20"/>
                <w:lang w:eastAsia="en-AU"/>
              </w:rPr>
            </w:pPr>
            <w:r w:rsidRPr="007F0C4C">
              <w:rPr>
                <w:szCs w:val="20"/>
                <w:lang w:eastAsia="en-AU"/>
              </w:rPr>
              <w:t>Consider use of a full probity plan for each procurement activity. Ensure that the probity plan is revisited at the end of each key stage</w:t>
            </w:r>
          </w:p>
        </w:tc>
      </w:tr>
      <w:tr w:rsidR="00083269" w:rsidRPr="007F0C4C" w14:paraId="5A716B2C" w14:textId="77777777" w:rsidTr="00373528">
        <w:tc>
          <w:tcPr>
            <w:tcW w:w="23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EBEC68" w14:textId="77777777" w:rsidR="00083269" w:rsidRPr="007F0C4C" w:rsidRDefault="00083269" w:rsidP="00373528">
            <w:pPr>
              <w:spacing w:before="120" w:after="120"/>
              <w:rPr>
                <w:b/>
                <w:color w:val="FFFFFF" w:themeColor="background1"/>
                <w:szCs w:val="20"/>
              </w:rPr>
            </w:pPr>
            <w:r w:rsidRPr="007F0C4C">
              <w:rPr>
                <w:b/>
                <w:color w:val="FFFFFF" w:themeColor="background1"/>
                <w:szCs w:val="20"/>
              </w:rPr>
              <w:t>Probity auditor/advisor</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CD91FB4" w14:textId="77777777" w:rsidR="00083269" w:rsidRPr="007F0C4C" w:rsidRDefault="00083269" w:rsidP="00373528">
            <w:pPr>
              <w:spacing w:before="120"/>
              <w:rPr>
                <w:szCs w:val="20"/>
                <w:lang w:eastAsia="en-AU"/>
              </w:rPr>
            </w:pPr>
            <w:r w:rsidRPr="007F0C4C">
              <w:rPr>
                <w:szCs w:val="20"/>
                <w:lang w:eastAsia="en-AU"/>
              </w:rPr>
              <w:t>Unlikely to be necessary</w:t>
            </w:r>
          </w:p>
        </w:tc>
        <w:tc>
          <w:tcPr>
            <w:tcW w:w="3903" w:type="dxa"/>
            <w:tcBorders>
              <w:top w:val="single" w:sz="4" w:space="0" w:color="auto"/>
              <w:left w:val="single" w:sz="4" w:space="0" w:color="auto"/>
              <w:bottom w:val="single" w:sz="4" w:space="0" w:color="auto"/>
              <w:right w:val="single" w:sz="4" w:space="0" w:color="auto"/>
            </w:tcBorders>
            <w:shd w:val="clear" w:color="auto" w:fill="auto"/>
          </w:tcPr>
          <w:p w14:paraId="30A238FF" w14:textId="77777777" w:rsidR="00083269" w:rsidRPr="007F0C4C" w:rsidRDefault="00083269" w:rsidP="00373528">
            <w:pPr>
              <w:spacing w:before="120"/>
              <w:rPr>
                <w:szCs w:val="20"/>
                <w:lang w:eastAsia="en-AU"/>
              </w:rPr>
            </w:pPr>
            <w:r w:rsidRPr="007F0C4C">
              <w:rPr>
                <w:szCs w:val="20"/>
                <w:lang w:eastAsia="en-AU"/>
              </w:rPr>
              <w:t>Consider using probity auditor and/or probity advisor</w:t>
            </w:r>
          </w:p>
        </w:tc>
      </w:tr>
      <w:tr w:rsidR="00083269" w:rsidRPr="007F0C4C" w14:paraId="42D1F995" w14:textId="77777777" w:rsidTr="00373528">
        <w:tc>
          <w:tcPr>
            <w:tcW w:w="23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295D56" w14:textId="77777777" w:rsidR="00083269" w:rsidRPr="007F0C4C" w:rsidRDefault="00083269" w:rsidP="00373528">
            <w:pPr>
              <w:spacing w:before="120" w:after="120"/>
              <w:rPr>
                <w:b/>
                <w:color w:val="FFFFFF" w:themeColor="background1"/>
                <w:szCs w:val="20"/>
              </w:rPr>
            </w:pPr>
            <w:r w:rsidRPr="007F0C4C">
              <w:rPr>
                <w:b/>
                <w:color w:val="FFFFFF" w:themeColor="background1"/>
                <w:szCs w:val="20"/>
              </w:rPr>
              <w:t>Probity briefing for evaluation committee members</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69EE8AB9" w14:textId="77777777" w:rsidR="00083269" w:rsidRPr="007F0C4C" w:rsidRDefault="00083269" w:rsidP="00373528">
            <w:pPr>
              <w:spacing w:before="120"/>
              <w:rPr>
                <w:szCs w:val="20"/>
                <w:lang w:eastAsia="en-AU"/>
              </w:rPr>
            </w:pPr>
            <w:r w:rsidRPr="007F0C4C">
              <w:rPr>
                <w:szCs w:val="20"/>
                <w:lang w:eastAsia="en-AU"/>
              </w:rPr>
              <w:t>General reminder regarding probity likely to be sufficient</w:t>
            </w:r>
          </w:p>
        </w:tc>
        <w:tc>
          <w:tcPr>
            <w:tcW w:w="3903" w:type="dxa"/>
            <w:tcBorders>
              <w:top w:val="single" w:sz="4" w:space="0" w:color="auto"/>
              <w:left w:val="single" w:sz="4" w:space="0" w:color="auto"/>
              <w:bottom w:val="single" w:sz="4" w:space="0" w:color="auto"/>
              <w:right w:val="single" w:sz="4" w:space="0" w:color="auto"/>
            </w:tcBorders>
            <w:shd w:val="clear" w:color="auto" w:fill="auto"/>
          </w:tcPr>
          <w:p w14:paraId="7F4CDD47" w14:textId="77777777" w:rsidR="00083269" w:rsidRPr="007F0C4C" w:rsidRDefault="00083269" w:rsidP="00373528">
            <w:pPr>
              <w:spacing w:before="120"/>
              <w:rPr>
                <w:szCs w:val="20"/>
                <w:lang w:eastAsia="en-AU"/>
              </w:rPr>
            </w:pPr>
            <w:r w:rsidRPr="007F0C4C">
              <w:rPr>
                <w:szCs w:val="20"/>
                <w:lang w:eastAsia="en-AU"/>
              </w:rPr>
              <w:t xml:space="preserve">Formal briefing, possibly from a probity auditor/advisor, should be conducted </w:t>
            </w:r>
          </w:p>
        </w:tc>
      </w:tr>
      <w:tr w:rsidR="00083269" w:rsidRPr="007F0C4C" w14:paraId="084B0A27" w14:textId="77777777" w:rsidTr="00373528">
        <w:tc>
          <w:tcPr>
            <w:tcW w:w="23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60AEA9" w14:textId="77777777" w:rsidR="00083269" w:rsidRPr="007F0C4C" w:rsidRDefault="00083269" w:rsidP="00373528">
            <w:pPr>
              <w:spacing w:before="120" w:after="120"/>
              <w:rPr>
                <w:b/>
                <w:color w:val="FFFFFF" w:themeColor="background1"/>
                <w:szCs w:val="20"/>
              </w:rPr>
            </w:pPr>
            <w:bookmarkStart w:id="82" w:name="_Hlk485906214"/>
            <w:r w:rsidRPr="007F0C4C">
              <w:rPr>
                <w:b/>
                <w:color w:val="FFFFFF" w:themeColor="background1"/>
                <w:szCs w:val="20"/>
              </w:rPr>
              <w:t>Conflict of interest declaration</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4194197" w14:textId="77777777" w:rsidR="00083269" w:rsidRPr="007F0C4C" w:rsidRDefault="00083269" w:rsidP="00373528">
            <w:pPr>
              <w:spacing w:before="120"/>
              <w:rPr>
                <w:szCs w:val="20"/>
                <w:lang w:eastAsia="en-AU"/>
              </w:rPr>
            </w:pPr>
            <w:r w:rsidRPr="007F0C4C">
              <w:rPr>
                <w:szCs w:val="20"/>
                <w:lang w:eastAsia="en-AU"/>
              </w:rPr>
              <w:t xml:space="preserve">General reminder of obligations </w:t>
            </w:r>
          </w:p>
        </w:tc>
        <w:tc>
          <w:tcPr>
            <w:tcW w:w="3903" w:type="dxa"/>
            <w:tcBorders>
              <w:top w:val="single" w:sz="4" w:space="0" w:color="auto"/>
              <w:left w:val="single" w:sz="4" w:space="0" w:color="auto"/>
              <w:bottom w:val="single" w:sz="4" w:space="0" w:color="auto"/>
              <w:right w:val="single" w:sz="4" w:space="0" w:color="auto"/>
            </w:tcBorders>
            <w:shd w:val="clear" w:color="auto" w:fill="auto"/>
          </w:tcPr>
          <w:p w14:paraId="07F6208A" w14:textId="77777777" w:rsidR="00083269" w:rsidRPr="007F0C4C" w:rsidRDefault="00083269" w:rsidP="00373528">
            <w:pPr>
              <w:spacing w:before="120"/>
              <w:rPr>
                <w:szCs w:val="20"/>
                <w:lang w:eastAsia="en-AU"/>
              </w:rPr>
            </w:pPr>
            <w:r w:rsidRPr="007F0C4C">
              <w:rPr>
                <w:szCs w:val="20"/>
                <w:lang w:eastAsia="en-AU"/>
              </w:rPr>
              <w:t>Obtain formal conflicts of interest declaration</w:t>
            </w:r>
          </w:p>
        </w:tc>
      </w:tr>
      <w:bookmarkEnd w:id="82"/>
      <w:tr w:rsidR="00083269" w:rsidRPr="007F0C4C" w14:paraId="28564B20" w14:textId="77777777" w:rsidTr="00373528">
        <w:trPr>
          <w:trHeight w:val="504"/>
        </w:trPr>
        <w:tc>
          <w:tcPr>
            <w:tcW w:w="23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D1409A" w14:textId="77777777" w:rsidR="00083269" w:rsidRPr="007F0C4C" w:rsidRDefault="00083269" w:rsidP="00373528">
            <w:pPr>
              <w:spacing w:before="120" w:after="120"/>
              <w:rPr>
                <w:b/>
                <w:color w:val="FFFFFF" w:themeColor="background1"/>
                <w:szCs w:val="20"/>
              </w:rPr>
            </w:pPr>
            <w:r w:rsidRPr="007F0C4C">
              <w:rPr>
                <w:b/>
                <w:color w:val="FFFFFF" w:themeColor="background1"/>
                <w:szCs w:val="20"/>
              </w:rPr>
              <w:t>Confidentiality deeds</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13A823E6" w14:textId="77777777" w:rsidR="00083269" w:rsidRPr="007F0C4C" w:rsidRDefault="00083269" w:rsidP="00373528">
            <w:pPr>
              <w:spacing w:before="120"/>
              <w:rPr>
                <w:szCs w:val="20"/>
                <w:lang w:eastAsia="en-AU"/>
              </w:rPr>
            </w:pPr>
            <w:r w:rsidRPr="007F0C4C">
              <w:rPr>
                <w:szCs w:val="20"/>
                <w:lang w:eastAsia="en-AU"/>
              </w:rPr>
              <w:t xml:space="preserve">General reminder of obligations </w:t>
            </w:r>
          </w:p>
        </w:tc>
        <w:tc>
          <w:tcPr>
            <w:tcW w:w="3903" w:type="dxa"/>
            <w:tcBorders>
              <w:top w:val="single" w:sz="4" w:space="0" w:color="auto"/>
              <w:left w:val="single" w:sz="4" w:space="0" w:color="auto"/>
              <w:bottom w:val="single" w:sz="4" w:space="0" w:color="auto"/>
              <w:right w:val="single" w:sz="4" w:space="0" w:color="auto"/>
            </w:tcBorders>
            <w:shd w:val="clear" w:color="auto" w:fill="auto"/>
          </w:tcPr>
          <w:p w14:paraId="3475DAC3" w14:textId="77777777" w:rsidR="00083269" w:rsidRPr="007F0C4C" w:rsidRDefault="00083269" w:rsidP="00373528">
            <w:pPr>
              <w:spacing w:before="120"/>
              <w:rPr>
                <w:szCs w:val="20"/>
                <w:lang w:eastAsia="en-AU"/>
              </w:rPr>
            </w:pPr>
            <w:r w:rsidRPr="007F0C4C">
              <w:rPr>
                <w:szCs w:val="20"/>
                <w:lang w:eastAsia="en-AU"/>
              </w:rPr>
              <w:t>Obtain formal confidentiality deed</w:t>
            </w:r>
          </w:p>
        </w:tc>
      </w:tr>
      <w:tr w:rsidR="00083269" w:rsidRPr="007F0C4C" w14:paraId="3B2CBC7D" w14:textId="77777777" w:rsidTr="00373528">
        <w:trPr>
          <w:trHeight w:val="646"/>
        </w:trPr>
        <w:tc>
          <w:tcPr>
            <w:tcW w:w="23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8CCDC4" w14:textId="77777777" w:rsidR="00083269" w:rsidRPr="007F0C4C" w:rsidRDefault="00083269" w:rsidP="00373528">
            <w:pPr>
              <w:spacing w:before="120" w:after="120"/>
              <w:rPr>
                <w:b/>
                <w:color w:val="FFFFFF" w:themeColor="background1"/>
                <w:szCs w:val="20"/>
              </w:rPr>
            </w:pPr>
            <w:r w:rsidRPr="007F0C4C">
              <w:rPr>
                <w:b/>
                <w:color w:val="FFFFFF" w:themeColor="background1"/>
                <w:szCs w:val="20"/>
              </w:rPr>
              <w:t>Evaluation panel composition</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61BE8216" w14:textId="77777777" w:rsidR="00083269" w:rsidRPr="007F0C4C" w:rsidRDefault="00083269" w:rsidP="00373528">
            <w:pPr>
              <w:spacing w:before="120"/>
              <w:rPr>
                <w:b/>
                <w:szCs w:val="20"/>
                <w:lang w:eastAsia="en-AU"/>
              </w:rPr>
            </w:pPr>
            <w:r w:rsidRPr="007F0C4C">
              <w:rPr>
                <w:szCs w:val="20"/>
                <w:lang w:eastAsia="en-AU"/>
              </w:rPr>
              <w:t xml:space="preserve">Small </w:t>
            </w:r>
            <w:proofErr w:type="gramStart"/>
            <w:r w:rsidRPr="007F0C4C">
              <w:rPr>
                <w:szCs w:val="20"/>
                <w:lang w:eastAsia="en-AU"/>
              </w:rPr>
              <w:t>panel</w:t>
            </w:r>
            <w:proofErr w:type="gramEnd"/>
            <w:r w:rsidRPr="007F0C4C">
              <w:rPr>
                <w:szCs w:val="20"/>
                <w:lang w:eastAsia="en-AU"/>
              </w:rPr>
              <w:t xml:space="preserve"> likely to be sufficient</w:t>
            </w:r>
          </w:p>
        </w:tc>
        <w:tc>
          <w:tcPr>
            <w:tcW w:w="3903" w:type="dxa"/>
            <w:tcBorders>
              <w:top w:val="single" w:sz="4" w:space="0" w:color="auto"/>
              <w:left w:val="single" w:sz="4" w:space="0" w:color="auto"/>
              <w:bottom w:val="single" w:sz="4" w:space="0" w:color="auto"/>
              <w:right w:val="single" w:sz="4" w:space="0" w:color="auto"/>
            </w:tcBorders>
            <w:shd w:val="clear" w:color="auto" w:fill="auto"/>
          </w:tcPr>
          <w:p w14:paraId="6491746F" w14:textId="77777777" w:rsidR="00083269" w:rsidRPr="007F0C4C" w:rsidRDefault="00083269" w:rsidP="00373528">
            <w:pPr>
              <w:spacing w:before="120"/>
              <w:rPr>
                <w:b/>
                <w:szCs w:val="20"/>
                <w:lang w:eastAsia="en-AU"/>
              </w:rPr>
            </w:pPr>
            <w:r w:rsidRPr="007F0C4C">
              <w:rPr>
                <w:szCs w:val="20"/>
                <w:lang w:eastAsia="en-AU"/>
              </w:rPr>
              <w:t>Increase the size of the panel</w:t>
            </w:r>
            <w:r w:rsidRPr="007F0C4C">
              <w:rPr>
                <w:rStyle w:val="FootnoteReference"/>
                <w:szCs w:val="20"/>
                <w:lang w:eastAsia="en-AU"/>
              </w:rPr>
              <w:footnoteReference w:id="3"/>
            </w:r>
          </w:p>
        </w:tc>
      </w:tr>
      <w:tr w:rsidR="00083269" w:rsidRPr="007F0C4C" w14:paraId="37F1F878" w14:textId="77777777" w:rsidTr="00373528">
        <w:trPr>
          <w:trHeight w:val="646"/>
        </w:trPr>
        <w:tc>
          <w:tcPr>
            <w:tcW w:w="2312" w:type="dxa"/>
            <w:tcBorders>
              <w:top w:val="single" w:sz="4" w:space="0" w:color="auto"/>
              <w:right w:val="single" w:sz="4" w:space="0" w:color="FFFFFF" w:themeColor="background1"/>
            </w:tcBorders>
            <w:shd w:val="clear" w:color="auto" w:fill="FFFFFF" w:themeFill="background1"/>
          </w:tcPr>
          <w:p w14:paraId="3E47CC0B" w14:textId="77777777" w:rsidR="00083269" w:rsidRPr="007F0C4C" w:rsidRDefault="00083269" w:rsidP="00373528">
            <w:pPr>
              <w:spacing w:before="120"/>
              <w:rPr>
                <w:b/>
                <w:color w:val="FFFFFF" w:themeColor="background1"/>
                <w:szCs w:val="20"/>
              </w:rPr>
            </w:pPr>
          </w:p>
        </w:tc>
        <w:tc>
          <w:tcPr>
            <w:tcW w:w="313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36BAA85" w14:textId="77777777" w:rsidR="00083269" w:rsidRPr="007F0C4C" w:rsidRDefault="00083269" w:rsidP="00373528">
            <w:pPr>
              <w:spacing w:before="120"/>
              <w:rPr>
                <w:szCs w:val="20"/>
                <w:lang w:eastAsia="en-AU"/>
              </w:rPr>
            </w:pPr>
          </w:p>
        </w:tc>
        <w:tc>
          <w:tcPr>
            <w:tcW w:w="390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4799911" w14:textId="77777777" w:rsidR="00083269" w:rsidRPr="007F0C4C" w:rsidRDefault="00083269" w:rsidP="00373528">
            <w:pPr>
              <w:spacing w:before="120"/>
              <w:rPr>
                <w:szCs w:val="20"/>
                <w:lang w:eastAsia="en-AU"/>
              </w:rPr>
            </w:pPr>
          </w:p>
        </w:tc>
      </w:tr>
    </w:tbl>
    <w:p w14:paraId="58D5DE85" w14:textId="77777777" w:rsidR="00083269" w:rsidRPr="007F0C4C" w:rsidRDefault="00083269" w:rsidP="00083269">
      <w:pPr>
        <w:pStyle w:val="IntenseQuote"/>
        <w:jc w:val="left"/>
        <w:rPr>
          <w:b/>
          <w:bCs/>
          <w:sz w:val="20"/>
          <w:szCs w:val="20"/>
        </w:rPr>
      </w:pPr>
      <w:r w:rsidRPr="007F0C4C">
        <w:rPr>
          <w:b/>
          <w:bCs/>
          <w:sz w:val="20"/>
          <w:szCs w:val="20"/>
        </w:rPr>
        <w:t>Probity auditors and advisors in procurement</w:t>
      </w:r>
    </w:p>
    <w:p w14:paraId="1FC686BC" w14:textId="77777777" w:rsidR="00083269" w:rsidRPr="007F0C4C" w:rsidRDefault="00083269" w:rsidP="00083269">
      <w:pPr>
        <w:pStyle w:val="IntenseQuote"/>
        <w:jc w:val="left"/>
        <w:rPr>
          <w:sz w:val="20"/>
          <w:szCs w:val="20"/>
        </w:rPr>
      </w:pPr>
      <w:r>
        <w:rPr>
          <w:sz w:val="20"/>
          <w:szCs w:val="20"/>
        </w:rPr>
        <w:t>Agencies may refer to</w:t>
      </w:r>
      <w:r w:rsidRPr="007F0C4C">
        <w:rPr>
          <w:sz w:val="20"/>
          <w:szCs w:val="20"/>
        </w:rPr>
        <w:t xml:space="preserve"> </w:t>
      </w:r>
      <w:hyperlink r:id="rId15" w:history="1">
        <w:r w:rsidRPr="007F0C4C">
          <w:rPr>
            <w:rStyle w:val="Hyperlink"/>
            <w:sz w:val="20"/>
            <w:szCs w:val="20"/>
          </w:rPr>
          <w:t xml:space="preserve">guidance on the use of </w:t>
        </w:r>
        <w:r w:rsidRPr="00384CC0">
          <w:rPr>
            <w:rStyle w:val="Hyperlink"/>
            <w:sz w:val="20"/>
            <w:szCs w:val="20"/>
          </w:rPr>
          <w:t>probity auditors and advisors</w:t>
        </w:r>
      </w:hyperlink>
      <w:r w:rsidRPr="007F0C4C">
        <w:rPr>
          <w:sz w:val="20"/>
          <w:szCs w:val="20"/>
        </w:rPr>
        <w:t>.</w:t>
      </w:r>
    </w:p>
    <w:p w14:paraId="1E2B9BC9" w14:textId="77777777" w:rsidR="00083269" w:rsidRPr="007F0C4C" w:rsidRDefault="00083269" w:rsidP="00083269">
      <w:pPr>
        <w:pStyle w:val="IntenseQuote"/>
        <w:jc w:val="left"/>
        <w:rPr>
          <w:sz w:val="20"/>
          <w:szCs w:val="20"/>
        </w:rPr>
      </w:pPr>
      <w:r>
        <w:rPr>
          <w:sz w:val="20"/>
          <w:szCs w:val="20"/>
        </w:rPr>
        <w:t>In addition, t</w:t>
      </w:r>
      <w:r w:rsidRPr="007F0C4C">
        <w:rPr>
          <w:sz w:val="20"/>
          <w:szCs w:val="20"/>
        </w:rPr>
        <w:t xml:space="preserve">he Queensland Government has a standing offer arrangement for the provision of whole of government professional services which includes probity advisors and auditors for procurement (SOA number QGP0050-18 T4). Further details are available on the </w:t>
      </w:r>
      <w:hyperlink r:id="rId16" w:history="1">
        <w:r w:rsidRPr="00384CC0">
          <w:rPr>
            <w:rStyle w:val="Hyperlink"/>
            <w:sz w:val="20"/>
            <w:szCs w:val="20"/>
          </w:rPr>
          <w:t>Queensland Government</w:t>
        </w:r>
        <w:r w:rsidRPr="007F0C4C">
          <w:rPr>
            <w:rStyle w:val="Hyperlink"/>
            <w:sz w:val="20"/>
            <w:szCs w:val="20"/>
          </w:rPr>
          <w:t xml:space="preserve"> Arrangements Directory</w:t>
        </w:r>
      </w:hyperlink>
      <w:r w:rsidRPr="007F0C4C">
        <w:rPr>
          <w:sz w:val="20"/>
          <w:szCs w:val="20"/>
        </w:rPr>
        <w:t>.</w:t>
      </w:r>
    </w:p>
    <w:p w14:paraId="0A043E6C" w14:textId="77777777" w:rsidR="00083269" w:rsidRDefault="00083269" w:rsidP="00083269">
      <w:pPr>
        <w:rPr>
          <w:b/>
          <w:color w:val="FFFFFF" w:themeColor="background1"/>
          <w:lang w:eastAsia="en-AU"/>
        </w:rPr>
      </w:pPr>
      <w:r w:rsidRPr="00595BD9">
        <w:rPr>
          <w:b/>
          <w:color w:val="FFFFFF" w:themeColor="background1"/>
          <w:lang w:eastAsia="en-AU"/>
        </w:rPr>
        <w:t>Probity and</w:t>
      </w:r>
      <w:bookmarkStart w:id="83" w:name="_Toc494373748"/>
      <w:bookmarkStart w:id="84" w:name="_Toc517676716"/>
      <w:bookmarkStart w:id="85" w:name="_Toc56171364"/>
    </w:p>
    <w:p w14:paraId="5FDB64E3" w14:textId="77777777" w:rsidR="00083269" w:rsidRDefault="00083269" w:rsidP="00083269">
      <w:pPr>
        <w:spacing w:line="259" w:lineRule="auto"/>
        <w:rPr>
          <w:rFonts w:eastAsiaTheme="majorEastAsia" w:cstheme="majorBidi"/>
          <w:b/>
          <w:color w:val="A91D37"/>
          <w:sz w:val="32"/>
          <w:szCs w:val="32"/>
        </w:rPr>
      </w:pPr>
      <w:r>
        <w:br w:type="page"/>
      </w:r>
    </w:p>
    <w:p w14:paraId="7EBA4662" w14:textId="77777777" w:rsidR="00083269" w:rsidRDefault="00083269" w:rsidP="00083269">
      <w:pPr>
        <w:pStyle w:val="Heading1"/>
      </w:pPr>
      <w:bookmarkStart w:id="86" w:name="_Toc202939771"/>
      <w:r>
        <w:lastRenderedPageBreak/>
        <w:t>Section B: How to deal with probity in certain situations</w:t>
      </w:r>
      <w:bookmarkEnd w:id="83"/>
      <w:bookmarkEnd w:id="84"/>
      <w:bookmarkEnd w:id="85"/>
      <w:bookmarkEnd w:id="86"/>
      <w:r>
        <w:t xml:space="preserve"> </w:t>
      </w:r>
    </w:p>
    <w:p w14:paraId="4B2B0959" w14:textId="77777777" w:rsidR="00083269" w:rsidRPr="007F0C4C" w:rsidRDefault="00083269" w:rsidP="00083269">
      <w:pPr>
        <w:rPr>
          <w:szCs w:val="20"/>
          <w:lang w:eastAsia="en-AU"/>
        </w:rPr>
      </w:pPr>
      <w:r w:rsidRPr="007F0C4C">
        <w:rPr>
          <w:szCs w:val="20"/>
          <w:lang w:eastAsia="en-AU"/>
        </w:rPr>
        <w:t>The section provides advice on following:</w:t>
      </w:r>
    </w:p>
    <w:p w14:paraId="4D127CF7" w14:textId="77777777" w:rsidR="00083269" w:rsidRPr="007F0C4C" w:rsidRDefault="00083269" w:rsidP="00083269">
      <w:pPr>
        <w:pStyle w:val="ListParagraph"/>
        <w:numPr>
          <w:ilvl w:val="0"/>
          <w:numId w:val="16"/>
        </w:numPr>
        <w:spacing w:before="180"/>
        <w:ind w:left="714" w:hanging="357"/>
        <w:rPr>
          <w:szCs w:val="20"/>
          <w:lang w:eastAsia="en-AU"/>
        </w:rPr>
      </w:pPr>
      <w:r w:rsidRPr="007F0C4C">
        <w:rPr>
          <w:szCs w:val="20"/>
          <w:lang w:eastAsia="en-AU"/>
        </w:rPr>
        <w:t>general advice: what to do if you confront a situation that you do not know how to handle</w:t>
      </w:r>
    </w:p>
    <w:p w14:paraId="5950DD35" w14:textId="77777777" w:rsidR="00083269" w:rsidRPr="007F0C4C" w:rsidRDefault="00083269" w:rsidP="00083269">
      <w:pPr>
        <w:pStyle w:val="ListParagraph"/>
        <w:numPr>
          <w:ilvl w:val="0"/>
          <w:numId w:val="16"/>
        </w:numPr>
        <w:spacing w:before="180"/>
        <w:ind w:left="714" w:hanging="357"/>
        <w:rPr>
          <w:szCs w:val="20"/>
          <w:lang w:eastAsia="en-AU"/>
        </w:rPr>
      </w:pPr>
      <w:r w:rsidRPr="007F0C4C">
        <w:rPr>
          <w:szCs w:val="20"/>
          <w:lang w:eastAsia="en-AU"/>
        </w:rPr>
        <w:t xml:space="preserve">gifts and benefits within procurement </w:t>
      </w:r>
    </w:p>
    <w:p w14:paraId="0E430D0E" w14:textId="77777777" w:rsidR="00083269" w:rsidRPr="007F0C4C" w:rsidRDefault="00083269" w:rsidP="00083269">
      <w:pPr>
        <w:pStyle w:val="ListParagraph"/>
        <w:numPr>
          <w:ilvl w:val="0"/>
          <w:numId w:val="16"/>
        </w:numPr>
        <w:spacing w:before="180"/>
        <w:ind w:left="714" w:hanging="357"/>
        <w:rPr>
          <w:szCs w:val="20"/>
          <w:lang w:eastAsia="en-AU"/>
        </w:rPr>
      </w:pPr>
      <w:r w:rsidRPr="007F0C4C">
        <w:rPr>
          <w:szCs w:val="20"/>
          <w:lang w:eastAsia="en-AU"/>
        </w:rPr>
        <w:t>conducting early market engagement and industry briefings</w:t>
      </w:r>
    </w:p>
    <w:p w14:paraId="3D587A8C" w14:textId="77777777" w:rsidR="00083269" w:rsidRPr="007F0C4C" w:rsidRDefault="00083269" w:rsidP="00083269">
      <w:pPr>
        <w:pStyle w:val="ListParagraph"/>
        <w:numPr>
          <w:ilvl w:val="0"/>
          <w:numId w:val="16"/>
        </w:numPr>
        <w:spacing w:before="180"/>
        <w:ind w:left="714" w:hanging="357"/>
        <w:rPr>
          <w:szCs w:val="20"/>
          <w:lang w:eastAsia="en-AU"/>
        </w:rPr>
      </w:pPr>
      <w:r w:rsidRPr="007F0C4C">
        <w:rPr>
          <w:szCs w:val="20"/>
          <w:lang w:eastAsia="en-AU"/>
        </w:rPr>
        <w:t>attending trade shows and conferences</w:t>
      </w:r>
    </w:p>
    <w:p w14:paraId="06622A00" w14:textId="77777777" w:rsidR="00083269" w:rsidRPr="007F0C4C" w:rsidRDefault="00083269" w:rsidP="00083269">
      <w:pPr>
        <w:pStyle w:val="ListParagraph"/>
        <w:numPr>
          <w:ilvl w:val="0"/>
          <w:numId w:val="16"/>
        </w:numPr>
        <w:spacing w:before="180"/>
        <w:ind w:left="714" w:hanging="357"/>
        <w:rPr>
          <w:szCs w:val="20"/>
          <w:lang w:eastAsia="en-AU"/>
        </w:rPr>
      </w:pPr>
      <w:r w:rsidRPr="007F0C4C">
        <w:rPr>
          <w:szCs w:val="20"/>
          <w:lang w:eastAsia="en-AU"/>
        </w:rPr>
        <w:t>evaluating innovative offers</w:t>
      </w:r>
    </w:p>
    <w:p w14:paraId="7EF1ED01" w14:textId="77777777" w:rsidR="00083269" w:rsidRPr="007F0C4C" w:rsidRDefault="00083269" w:rsidP="00083269">
      <w:pPr>
        <w:pStyle w:val="ListParagraph"/>
        <w:numPr>
          <w:ilvl w:val="0"/>
          <w:numId w:val="16"/>
        </w:numPr>
        <w:spacing w:before="180"/>
        <w:ind w:left="714" w:hanging="357"/>
        <w:rPr>
          <w:szCs w:val="20"/>
          <w:lang w:eastAsia="en-AU"/>
        </w:rPr>
      </w:pPr>
      <w:r w:rsidRPr="007F0C4C">
        <w:rPr>
          <w:szCs w:val="20"/>
          <w:lang w:eastAsia="en-AU"/>
        </w:rPr>
        <w:t>anti-competitive supplier behaviour.</w:t>
      </w:r>
    </w:p>
    <w:p w14:paraId="221E499C" w14:textId="77777777" w:rsidR="00083269" w:rsidRPr="00F37C49" w:rsidRDefault="00083269" w:rsidP="00083269">
      <w:pPr>
        <w:pStyle w:val="Heading2"/>
        <w:keepNext w:val="0"/>
        <w:keepLines w:val="0"/>
        <w:numPr>
          <w:ilvl w:val="0"/>
          <w:numId w:val="17"/>
        </w:numPr>
        <w:autoSpaceDE w:val="0"/>
        <w:autoSpaceDN w:val="0"/>
        <w:adjustRightInd w:val="0"/>
        <w:spacing w:before="320" w:after="180" w:line="264" w:lineRule="auto"/>
        <w:rPr>
          <w:b w:val="0"/>
          <w:bCs/>
        </w:rPr>
      </w:pPr>
      <w:bookmarkStart w:id="87" w:name="_Toc494373749"/>
      <w:bookmarkStart w:id="88" w:name="_Toc517676717"/>
      <w:bookmarkStart w:id="89" w:name="_Toc56171365"/>
      <w:bookmarkStart w:id="90" w:name="_Toc202939772"/>
      <w:r w:rsidRPr="00F37C49">
        <w:rPr>
          <w:bCs/>
        </w:rPr>
        <w:t>What to do if you confront a situation that you do not know how to handle?</w:t>
      </w:r>
      <w:bookmarkEnd w:id="87"/>
      <w:bookmarkEnd w:id="88"/>
      <w:bookmarkEnd w:id="89"/>
      <w:bookmarkEnd w:id="90"/>
    </w:p>
    <w:p w14:paraId="7EFA9E17" w14:textId="77777777" w:rsidR="00083269" w:rsidRPr="007F0C4C" w:rsidRDefault="00083269" w:rsidP="00083269">
      <w:pPr>
        <w:rPr>
          <w:szCs w:val="20"/>
          <w:lang w:eastAsia="en-AU"/>
        </w:rPr>
      </w:pPr>
      <w:r w:rsidRPr="007F0C4C">
        <w:rPr>
          <w:szCs w:val="20"/>
          <w:lang w:eastAsia="en-AU"/>
        </w:rPr>
        <w:t>Situations may arise for which there is no clear course of action. While each situation will be unique, here are some steps that may help guide you toward a resolution:</w:t>
      </w:r>
    </w:p>
    <w:p w14:paraId="6F8FCFF0" w14:textId="77777777" w:rsidR="00083269" w:rsidRPr="007F0C4C" w:rsidRDefault="00083269" w:rsidP="00083269">
      <w:pPr>
        <w:pStyle w:val="ListParagraph"/>
        <w:numPr>
          <w:ilvl w:val="0"/>
          <w:numId w:val="27"/>
        </w:numPr>
        <w:spacing w:before="120" w:after="120"/>
        <w:ind w:left="714" w:hanging="357"/>
        <w:contextualSpacing/>
        <w:rPr>
          <w:szCs w:val="20"/>
          <w:lang w:eastAsia="en-AU"/>
        </w:rPr>
      </w:pPr>
      <w:r w:rsidRPr="007F0C4C">
        <w:rPr>
          <w:szCs w:val="20"/>
          <w:lang w:eastAsia="en-AU"/>
        </w:rPr>
        <w:t>do not feel pressured to act immediately. Take the situation on notice, ask to get the request/question in writing and come back later</w:t>
      </w:r>
      <w:r w:rsidRPr="007F0C4C">
        <w:rPr>
          <w:szCs w:val="20"/>
          <w:lang w:eastAsia="en-AU"/>
        </w:rPr>
        <w:br/>
      </w:r>
    </w:p>
    <w:p w14:paraId="7B29267E" w14:textId="77777777" w:rsidR="00083269" w:rsidRPr="007F0C4C" w:rsidRDefault="00083269" w:rsidP="00083269">
      <w:pPr>
        <w:pStyle w:val="ListParagraph"/>
        <w:numPr>
          <w:ilvl w:val="0"/>
          <w:numId w:val="27"/>
        </w:numPr>
        <w:spacing w:before="120" w:after="120"/>
        <w:contextualSpacing/>
        <w:rPr>
          <w:szCs w:val="20"/>
          <w:lang w:eastAsia="en-AU"/>
        </w:rPr>
      </w:pPr>
      <w:r w:rsidRPr="007F0C4C">
        <w:rPr>
          <w:szCs w:val="20"/>
          <w:lang w:eastAsia="en-AU"/>
        </w:rPr>
        <w:t xml:space="preserve">refer to various probity materials, such as probity plans, to see if they provide guidance. You may also look to your agency’s procedures, this guide, or the QPP </w:t>
      </w:r>
      <w:r w:rsidRPr="007F0C4C">
        <w:rPr>
          <w:szCs w:val="20"/>
          <w:lang w:eastAsia="en-AU"/>
        </w:rPr>
        <w:br/>
      </w:r>
    </w:p>
    <w:p w14:paraId="74B696CC" w14:textId="77777777" w:rsidR="00083269" w:rsidRPr="007F0C4C" w:rsidRDefault="00083269" w:rsidP="00083269">
      <w:pPr>
        <w:pStyle w:val="ListParagraph"/>
        <w:numPr>
          <w:ilvl w:val="0"/>
          <w:numId w:val="27"/>
        </w:numPr>
        <w:spacing w:before="120" w:after="120"/>
        <w:contextualSpacing/>
        <w:rPr>
          <w:szCs w:val="20"/>
          <w:lang w:eastAsia="en-AU"/>
        </w:rPr>
      </w:pPr>
      <w:r w:rsidRPr="007F0C4C">
        <w:rPr>
          <w:szCs w:val="20"/>
          <w:lang w:eastAsia="en-AU"/>
        </w:rPr>
        <w:t>seek external advice. In the first instance this can be from your manager/supervisor. Alternatively, and for more complex situations, you may need to engage the services of your procurement unit, a probity auditor/advisor, or your agency’s legal services area or ethics unit.</w:t>
      </w:r>
      <w:r w:rsidRPr="007F0C4C">
        <w:rPr>
          <w:szCs w:val="20"/>
          <w:lang w:eastAsia="en-AU"/>
        </w:rPr>
        <w:br/>
      </w:r>
    </w:p>
    <w:p w14:paraId="1BC40706" w14:textId="77777777" w:rsidR="00083269" w:rsidRPr="007F0C4C" w:rsidRDefault="00083269" w:rsidP="00083269">
      <w:pPr>
        <w:pStyle w:val="ListParagraph"/>
        <w:ind w:left="0"/>
        <w:rPr>
          <w:szCs w:val="20"/>
          <w:lang w:eastAsia="en-AU"/>
        </w:rPr>
      </w:pPr>
      <w:r w:rsidRPr="007F0C4C">
        <w:rPr>
          <w:szCs w:val="20"/>
          <w:lang w:eastAsia="en-AU"/>
        </w:rPr>
        <w:t xml:space="preserve">Remember to document any action taken – this may become particularly important </w:t>
      </w:r>
      <w:proofErr w:type="gramStart"/>
      <w:r w:rsidRPr="007F0C4C">
        <w:rPr>
          <w:szCs w:val="20"/>
          <w:lang w:eastAsia="en-AU"/>
        </w:rPr>
        <w:t>at a later date</w:t>
      </w:r>
      <w:proofErr w:type="gramEnd"/>
      <w:r w:rsidRPr="007F0C4C">
        <w:rPr>
          <w:szCs w:val="20"/>
          <w:lang w:eastAsia="en-AU"/>
        </w:rPr>
        <w:t xml:space="preserve">. </w:t>
      </w:r>
    </w:p>
    <w:p w14:paraId="4A4E2ED8" w14:textId="77777777" w:rsidR="00083269" w:rsidRPr="00F37C49" w:rsidRDefault="00083269" w:rsidP="00083269">
      <w:pPr>
        <w:pStyle w:val="ListParagraph"/>
        <w:ind w:left="0"/>
        <w:rPr>
          <w:sz w:val="22"/>
          <w:lang w:eastAsia="en-AU"/>
        </w:rPr>
      </w:pPr>
    </w:p>
    <w:p w14:paraId="3468011E" w14:textId="77777777" w:rsidR="00083269" w:rsidRPr="00F37C49" w:rsidRDefault="00083269" w:rsidP="00083269">
      <w:pPr>
        <w:pStyle w:val="Heading2"/>
        <w:keepNext w:val="0"/>
        <w:keepLines w:val="0"/>
        <w:numPr>
          <w:ilvl w:val="0"/>
          <w:numId w:val="17"/>
        </w:numPr>
        <w:autoSpaceDE w:val="0"/>
        <w:autoSpaceDN w:val="0"/>
        <w:adjustRightInd w:val="0"/>
        <w:spacing w:before="320" w:after="180" w:line="264" w:lineRule="auto"/>
        <w:rPr>
          <w:b w:val="0"/>
          <w:bCs/>
        </w:rPr>
      </w:pPr>
      <w:bookmarkStart w:id="91" w:name="_Toc494373750"/>
      <w:bookmarkStart w:id="92" w:name="_Toc517676718"/>
      <w:bookmarkStart w:id="93" w:name="_Toc56171366"/>
      <w:bookmarkStart w:id="94" w:name="_Toc202939773"/>
      <w:r w:rsidRPr="00F37C49">
        <w:rPr>
          <w:bCs/>
        </w:rPr>
        <w:t>Gifts and benefits within procurement</w:t>
      </w:r>
      <w:bookmarkEnd w:id="91"/>
      <w:bookmarkEnd w:id="92"/>
      <w:bookmarkEnd w:id="93"/>
      <w:bookmarkEnd w:id="94"/>
    </w:p>
    <w:p w14:paraId="14FF9DEA" w14:textId="77777777" w:rsidR="00083269" w:rsidRPr="007F0C4C" w:rsidRDefault="00083269" w:rsidP="00083269">
      <w:pPr>
        <w:rPr>
          <w:rFonts w:cs="Arial"/>
          <w:szCs w:val="20"/>
        </w:rPr>
      </w:pPr>
      <w:r w:rsidRPr="007F0C4C">
        <w:rPr>
          <w:rFonts w:cs="Arial"/>
          <w:szCs w:val="20"/>
        </w:rPr>
        <w:t>Public service employees cannot be offered, accept, or give gifts and benefits that affect, could affect, or be perceived to affect their doing their jobs impartially (</w:t>
      </w:r>
      <w:hyperlink r:id="rId17" w:history="1">
        <w:r w:rsidRPr="00384CC0">
          <w:rPr>
            <w:rStyle w:val="Hyperlink"/>
            <w:rFonts w:cs="Arial"/>
            <w:szCs w:val="20"/>
          </w:rPr>
          <w:t>Gifts and Benefits Directive 22/09</w:t>
        </w:r>
      </w:hyperlink>
      <w:r w:rsidRPr="007F0C4C">
        <w:rPr>
          <w:rFonts w:cs="Arial"/>
          <w:szCs w:val="20"/>
        </w:rPr>
        <w:t>). This requirement is particularly important within procurement given the constant interaction officers have with suppliers. The ability to maintain integrity and confidence within the supply market, and a view that decisions are made impartiality and with objectivity, is paramount.</w:t>
      </w:r>
    </w:p>
    <w:p w14:paraId="2D59CE76" w14:textId="77777777" w:rsidR="00083269" w:rsidRPr="007F0C4C" w:rsidRDefault="00083269" w:rsidP="00083269">
      <w:pPr>
        <w:rPr>
          <w:rFonts w:cs="Arial"/>
          <w:bCs/>
          <w:szCs w:val="20"/>
        </w:rPr>
      </w:pPr>
      <w:r w:rsidRPr="007F0C4C">
        <w:rPr>
          <w:rFonts w:cs="Arial"/>
          <w:bCs/>
          <w:szCs w:val="20"/>
        </w:rPr>
        <w:t>For this reason, public officials involved in any aspect of a procurement process are strongly advised not to accept gifts or benefits, as they can or may be seen to be, a means of influence that can compromise or appear to compromise integrity and impartiality.</w:t>
      </w:r>
    </w:p>
    <w:p w14:paraId="69523E09" w14:textId="77777777" w:rsidR="00083269" w:rsidRPr="007F0C4C" w:rsidRDefault="00083269" w:rsidP="00083269">
      <w:pPr>
        <w:rPr>
          <w:rFonts w:cs="Arial"/>
          <w:szCs w:val="20"/>
        </w:rPr>
      </w:pPr>
      <w:r w:rsidRPr="007F0C4C">
        <w:rPr>
          <w:rFonts w:cs="Arial"/>
          <w:szCs w:val="20"/>
        </w:rPr>
        <w:t xml:space="preserve">Any gift of benefit offered must be handled under the </w:t>
      </w:r>
      <w:r w:rsidRPr="007F0C4C">
        <w:rPr>
          <w:rFonts w:cs="Arial"/>
          <w:iCs/>
          <w:szCs w:val="20"/>
        </w:rPr>
        <w:t>gifts and benefits directive</w:t>
      </w:r>
      <w:r w:rsidRPr="007F0C4C">
        <w:rPr>
          <w:rFonts w:cs="Arial"/>
          <w:i/>
          <w:szCs w:val="20"/>
        </w:rPr>
        <w:t xml:space="preserve"> </w:t>
      </w:r>
      <w:r w:rsidRPr="007F0C4C">
        <w:rPr>
          <w:rFonts w:cs="Arial"/>
          <w:szCs w:val="20"/>
        </w:rPr>
        <w:t>along with any relevant agency policy or procedure.</w:t>
      </w:r>
    </w:p>
    <w:p w14:paraId="1322CFD1" w14:textId="77777777" w:rsidR="00083269" w:rsidRDefault="00083269" w:rsidP="00083269">
      <w:pPr>
        <w:rPr>
          <w:rFonts w:cs="Arial"/>
          <w:sz w:val="22"/>
        </w:rPr>
      </w:pPr>
    </w:p>
    <w:tbl>
      <w:tblPr>
        <w:tblStyle w:val="TableGrid"/>
        <w:tblW w:w="5000" w:type="pct"/>
        <w:tblLook w:val="04A0" w:firstRow="1" w:lastRow="0" w:firstColumn="1" w:lastColumn="0" w:noHBand="0" w:noVBand="1"/>
      </w:tblPr>
      <w:tblGrid>
        <w:gridCol w:w="9016"/>
      </w:tblGrid>
      <w:tr w:rsidR="00083269" w:rsidRPr="007F0C4C" w14:paraId="2BFCE4BB" w14:textId="77777777" w:rsidTr="00373528">
        <w:tc>
          <w:tcPr>
            <w:tcW w:w="5000" w:type="pct"/>
            <w:shd w:val="clear" w:color="auto" w:fill="0070C0"/>
          </w:tcPr>
          <w:p w14:paraId="398B31A9" w14:textId="77777777" w:rsidR="00083269" w:rsidRPr="007F0C4C" w:rsidRDefault="00083269" w:rsidP="00373528">
            <w:pPr>
              <w:spacing w:before="120" w:after="120"/>
              <w:rPr>
                <w:rFonts w:cs="Arial"/>
                <w:szCs w:val="20"/>
              </w:rPr>
            </w:pPr>
            <w:r w:rsidRPr="007F0C4C">
              <w:rPr>
                <w:b/>
                <w:bCs/>
                <w:color w:val="FFFFFF" w:themeColor="background1"/>
                <w:szCs w:val="20"/>
              </w:rPr>
              <w:t>Case study - Gifts and benefits, and procurement</w:t>
            </w:r>
          </w:p>
        </w:tc>
      </w:tr>
      <w:tr w:rsidR="00083269" w:rsidRPr="007F0C4C" w14:paraId="338C82E4" w14:textId="77777777" w:rsidTr="00373528">
        <w:tc>
          <w:tcPr>
            <w:tcW w:w="5000" w:type="pct"/>
            <w:shd w:val="clear" w:color="auto" w:fill="auto"/>
          </w:tcPr>
          <w:p w14:paraId="1FDFA696" w14:textId="77777777" w:rsidR="00083269" w:rsidRPr="007F0C4C" w:rsidRDefault="00083269" w:rsidP="00373528">
            <w:pPr>
              <w:rPr>
                <w:szCs w:val="20"/>
                <w:lang w:eastAsia="en-AU"/>
              </w:rPr>
            </w:pPr>
            <w:r w:rsidRPr="007F0C4C">
              <w:rPr>
                <w:szCs w:val="20"/>
                <w:lang w:eastAsia="en-AU"/>
              </w:rPr>
              <w:br/>
              <w:t xml:space="preserve">In 2011, separate reports by the </w:t>
            </w:r>
            <w:hyperlink r:id="rId18" w:history="1">
              <w:r w:rsidRPr="007F0C4C">
                <w:rPr>
                  <w:rStyle w:val="Hyperlink"/>
                  <w:szCs w:val="20"/>
                  <w:lang w:eastAsia="en-AU"/>
                </w:rPr>
                <w:t>Corruption and Crime Commission of Western Australia</w:t>
              </w:r>
            </w:hyperlink>
            <w:r w:rsidRPr="007F0C4C">
              <w:rPr>
                <w:rStyle w:val="Hyperlink"/>
                <w:szCs w:val="20"/>
                <w:lang w:eastAsia="en-AU"/>
              </w:rPr>
              <w:t xml:space="preserve"> </w:t>
            </w:r>
            <w:r w:rsidRPr="007F0C4C">
              <w:rPr>
                <w:szCs w:val="20"/>
                <w:lang w:eastAsia="en-AU"/>
              </w:rPr>
              <w:t xml:space="preserve">and the </w:t>
            </w:r>
            <w:hyperlink r:id="rId19" w:history="1">
              <w:r w:rsidRPr="007F0C4C">
                <w:rPr>
                  <w:rStyle w:val="Hyperlink"/>
                  <w:szCs w:val="20"/>
                  <w:lang w:eastAsia="en-AU"/>
                </w:rPr>
                <w:t>Victorian Ombudsman</w:t>
              </w:r>
            </w:hyperlink>
            <w:r w:rsidRPr="007F0C4C">
              <w:rPr>
                <w:rStyle w:val="Hyperlink"/>
                <w:szCs w:val="20"/>
                <w:lang w:eastAsia="en-AU"/>
              </w:rPr>
              <w:t xml:space="preserve"> </w:t>
            </w:r>
            <w:r w:rsidRPr="007F0C4C">
              <w:rPr>
                <w:szCs w:val="20"/>
                <w:lang w:eastAsia="en-AU"/>
              </w:rPr>
              <w:t xml:space="preserve">identified that several government bodies in both states had purchased </w:t>
            </w:r>
            <w:r w:rsidRPr="007F0C4C">
              <w:rPr>
                <w:szCs w:val="20"/>
                <w:lang w:eastAsia="en-AU"/>
              </w:rPr>
              <w:lastRenderedPageBreak/>
              <w:t>toner cartridges outside each state’s purchase contracts. The reports identified that government officers had:</w:t>
            </w:r>
          </w:p>
          <w:p w14:paraId="62069B5C" w14:textId="77777777" w:rsidR="00083269" w:rsidRPr="007F0C4C" w:rsidRDefault="00083269" w:rsidP="00373528">
            <w:pPr>
              <w:rPr>
                <w:rFonts w:cs="Arial"/>
                <w:szCs w:val="20"/>
              </w:rPr>
            </w:pPr>
          </w:p>
          <w:p w14:paraId="32831494" w14:textId="77777777" w:rsidR="00083269" w:rsidRPr="007F0C4C" w:rsidRDefault="00083269" w:rsidP="00083269">
            <w:pPr>
              <w:pStyle w:val="ListParagraph"/>
              <w:numPr>
                <w:ilvl w:val="0"/>
                <w:numId w:val="35"/>
              </w:numPr>
              <w:spacing w:after="0" w:line="260" w:lineRule="exact"/>
              <w:rPr>
                <w:rFonts w:cs="Arial"/>
                <w:szCs w:val="20"/>
              </w:rPr>
            </w:pPr>
            <w:r w:rsidRPr="007F0C4C">
              <w:rPr>
                <w:rFonts w:cs="Arial"/>
                <w:szCs w:val="20"/>
              </w:rPr>
              <w:t>purchased goods at inflated prices, and that were not required</w:t>
            </w:r>
          </w:p>
          <w:p w14:paraId="69B94AC7" w14:textId="77777777" w:rsidR="00083269" w:rsidRPr="007F0C4C" w:rsidRDefault="00083269" w:rsidP="00083269">
            <w:pPr>
              <w:pStyle w:val="ListParagraph"/>
              <w:numPr>
                <w:ilvl w:val="0"/>
                <w:numId w:val="35"/>
              </w:numPr>
              <w:spacing w:after="0" w:line="260" w:lineRule="exact"/>
              <w:rPr>
                <w:rFonts w:cs="Arial"/>
                <w:szCs w:val="20"/>
              </w:rPr>
            </w:pPr>
            <w:r w:rsidRPr="007F0C4C">
              <w:rPr>
                <w:rFonts w:cs="Arial"/>
                <w:szCs w:val="20"/>
              </w:rPr>
              <w:t>engaged in improper expenditure of public money</w:t>
            </w:r>
          </w:p>
          <w:p w14:paraId="0476AC68" w14:textId="77777777" w:rsidR="00083269" w:rsidRPr="007F0C4C" w:rsidRDefault="00083269" w:rsidP="00083269">
            <w:pPr>
              <w:pStyle w:val="ListParagraph"/>
              <w:numPr>
                <w:ilvl w:val="0"/>
                <w:numId w:val="35"/>
              </w:numPr>
              <w:spacing w:after="0" w:line="260" w:lineRule="exact"/>
              <w:rPr>
                <w:rFonts w:cs="Arial"/>
                <w:szCs w:val="20"/>
              </w:rPr>
            </w:pPr>
            <w:r w:rsidRPr="007F0C4C">
              <w:rPr>
                <w:rFonts w:cs="Arial"/>
                <w:szCs w:val="20"/>
              </w:rPr>
              <w:t>altered invoices</w:t>
            </w:r>
          </w:p>
          <w:p w14:paraId="57C0CBC6" w14:textId="77777777" w:rsidR="00083269" w:rsidRPr="007F0C4C" w:rsidRDefault="00083269" w:rsidP="00083269">
            <w:pPr>
              <w:pStyle w:val="ListParagraph"/>
              <w:numPr>
                <w:ilvl w:val="0"/>
                <w:numId w:val="35"/>
              </w:numPr>
              <w:spacing w:after="0" w:line="260" w:lineRule="exact"/>
              <w:rPr>
                <w:rFonts w:cs="Arial"/>
                <w:szCs w:val="20"/>
              </w:rPr>
            </w:pPr>
            <w:r w:rsidRPr="007F0C4C">
              <w:rPr>
                <w:rFonts w:cs="Arial"/>
                <w:szCs w:val="20"/>
              </w:rPr>
              <w:t>destroyed public records.</w:t>
            </w:r>
          </w:p>
          <w:p w14:paraId="1A565B66" w14:textId="77777777" w:rsidR="00083269" w:rsidRPr="007F0C4C" w:rsidRDefault="00083269" w:rsidP="00373528">
            <w:pPr>
              <w:rPr>
                <w:rFonts w:cs="Arial"/>
                <w:szCs w:val="20"/>
              </w:rPr>
            </w:pPr>
          </w:p>
          <w:p w14:paraId="7DFD242E" w14:textId="77777777" w:rsidR="00083269" w:rsidRPr="007F0C4C" w:rsidRDefault="00083269" w:rsidP="00373528">
            <w:pPr>
              <w:rPr>
                <w:szCs w:val="20"/>
                <w:lang w:eastAsia="en-AU"/>
              </w:rPr>
            </w:pPr>
            <w:r w:rsidRPr="007F0C4C">
              <w:rPr>
                <w:rFonts w:cs="Arial"/>
                <w:szCs w:val="20"/>
              </w:rPr>
              <w:t xml:space="preserve">Driving </w:t>
            </w:r>
            <w:r w:rsidRPr="007F0C4C">
              <w:rPr>
                <w:szCs w:val="20"/>
                <w:lang w:eastAsia="en-AU"/>
              </w:rPr>
              <w:t>this behaviour was the acceptance of gifts offered by the supplier as an inducement or reward. These gifts included digital cameras, GPS navigators, televisions, coffee makers and gift vouchers. This created an ethical hazard, as noted by the Victorian Ombudsman:</w:t>
            </w:r>
          </w:p>
          <w:p w14:paraId="7361E787" w14:textId="77777777" w:rsidR="00083269" w:rsidRPr="007F0C4C" w:rsidRDefault="00083269" w:rsidP="00373528">
            <w:pPr>
              <w:rPr>
                <w:szCs w:val="20"/>
                <w:lang w:eastAsia="en-AU"/>
              </w:rPr>
            </w:pPr>
          </w:p>
          <w:p w14:paraId="0DFC18C3" w14:textId="77777777" w:rsidR="00083269" w:rsidRPr="007F0C4C" w:rsidRDefault="00083269" w:rsidP="00373528">
            <w:pPr>
              <w:jc w:val="center"/>
              <w:rPr>
                <w:rFonts w:cs="Arial"/>
                <w:szCs w:val="20"/>
              </w:rPr>
            </w:pPr>
            <w:r w:rsidRPr="007F0C4C">
              <w:rPr>
                <w:szCs w:val="20"/>
                <w:lang w:eastAsia="en-AU"/>
              </w:rPr>
              <w:t xml:space="preserve">‘Once a public officer accepts a gift, and fails to declare it, there is potential for that public officer to engage in a pattern of corrupt </w:t>
            </w:r>
            <w:proofErr w:type="gramStart"/>
            <w:r w:rsidRPr="007F0C4C">
              <w:rPr>
                <w:szCs w:val="20"/>
                <w:lang w:eastAsia="en-AU"/>
              </w:rPr>
              <w:t>behaviour’.</w:t>
            </w:r>
            <w:proofErr w:type="gramEnd"/>
          </w:p>
          <w:p w14:paraId="1B4EA7EA" w14:textId="77777777" w:rsidR="00083269" w:rsidRPr="007F0C4C" w:rsidRDefault="00083269" w:rsidP="00373528">
            <w:pPr>
              <w:rPr>
                <w:rFonts w:cs="Arial"/>
                <w:szCs w:val="20"/>
              </w:rPr>
            </w:pPr>
          </w:p>
        </w:tc>
      </w:tr>
    </w:tbl>
    <w:p w14:paraId="30863839" w14:textId="77777777" w:rsidR="00083269" w:rsidRPr="00F37C49" w:rsidRDefault="00083269" w:rsidP="00083269">
      <w:pPr>
        <w:pStyle w:val="Heading2"/>
        <w:keepNext w:val="0"/>
        <w:keepLines w:val="0"/>
        <w:numPr>
          <w:ilvl w:val="0"/>
          <w:numId w:val="17"/>
        </w:numPr>
        <w:autoSpaceDE w:val="0"/>
        <w:autoSpaceDN w:val="0"/>
        <w:adjustRightInd w:val="0"/>
        <w:spacing w:before="320" w:after="180" w:line="264" w:lineRule="auto"/>
        <w:rPr>
          <w:b w:val="0"/>
          <w:bCs/>
        </w:rPr>
      </w:pPr>
      <w:bookmarkStart w:id="95" w:name="_Toc202939774"/>
      <w:bookmarkStart w:id="96" w:name="_Toc77338224"/>
      <w:bookmarkStart w:id="97" w:name="_Toc77338225"/>
      <w:bookmarkStart w:id="98" w:name="_Toc77338226"/>
      <w:bookmarkStart w:id="99" w:name="_Toc77338227"/>
      <w:bookmarkStart w:id="100" w:name="_Toc77338228"/>
      <w:bookmarkStart w:id="101" w:name="_Toc77338229"/>
      <w:bookmarkStart w:id="102" w:name="_Toc77338230"/>
      <w:bookmarkStart w:id="103" w:name="_Toc77338231"/>
      <w:bookmarkStart w:id="104" w:name="_Toc77338232"/>
      <w:bookmarkStart w:id="105" w:name="_Toc47942966"/>
      <w:bookmarkStart w:id="106" w:name="_Toc47943068"/>
      <w:bookmarkStart w:id="107" w:name="_Toc47943147"/>
      <w:bookmarkStart w:id="108" w:name="_Toc55888675"/>
      <w:bookmarkStart w:id="109" w:name="_Toc56171368"/>
      <w:bookmarkStart w:id="110" w:name="_Toc47942978"/>
      <w:bookmarkStart w:id="111" w:name="_Toc47943080"/>
      <w:bookmarkStart w:id="112" w:name="_Toc47943159"/>
      <w:bookmarkStart w:id="113" w:name="_Toc55888687"/>
      <w:bookmarkStart w:id="114" w:name="_Toc56171380"/>
      <w:bookmarkStart w:id="115" w:name="_Toc494373751"/>
      <w:bookmarkStart w:id="116" w:name="_Toc517676719"/>
      <w:bookmarkStart w:id="117" w:name="_Toc56171381"/>
      <w:bookmarkStart w:id="118" w:name="_Toc20293977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F37C49">
        <w:rPr>
          <w:bCs/>
        </w:rPr>
        <w:lastRenderedPageBreak/>
        <w:t>Conducting early market engagement and industry briefings</w:t>
      </w:r>
      <w:bookmarkEnd w:id="115"/>
      <w:bookmarkEnd w:id="116"/>
      <w:bookmarkEnd w:id="117"/>
      <w:bookmarkEnd w:id="118"/>
    </w:p>
    <w:p w14:paraId="2827C2EB" w14:textId="77777777" w:rsidR="00083269" w:rsidRPr="00F37C49" w:rsidRDefault="00083269" w:rsidP="00083269">
      <w:pPr>
        <w:pStyle w:val="Heading3"/>
        <w:rPr>
          <w:b/>
          <w:bCs/>
        </w:rPr>
      </w:pPr>
      <w:bookmarkStart w:id="119" w:name="_Toc56171382"/>
      <w:bookmarkStart w:id="120" w:name="_Toc202939776"/>
      <w:r w:rsidRPr="00F37C49">
        <w:rPr>
          <w:bCs/>
        </w:rPr>
        <w:t>Early market engagement</w:t>
      </w:r>
      <w:bookmarkEnd w:id="119"/>
      <w:bookmarkEnd w:id="120"/>
    </w:p>
    <w:p w14:paraId="186D6D8B" w14:textId="77777777" w:rsidR="00083269" w:rsidRPr="007F0C4C" w:rsidRDefault="00083269" w:rsidP="00083269">
      <w:pPr>
        <w:rPr>
          <w:szCs w:val="20"/>
        </w:rPr>
      </w:pPr>
      <w:r w:rsidRPr="007F0C4C">
        <w:rPr>
          <w:szCs w:val="20"/>
        </w:rPr>
        <w:t xml:space="preserve">Early market engagement provides an opportunity to understand the capability and capacity of suppliers within the market before developing your procurement strategy and requirements. Doing this can be highly beneficial, particularly for larger procurements and projects. </w:t>
      </w:r>
    </w:p>
    <w:p w14:paraId="39101B81" w14:textId="77777777" w:rsidR="00083269" w:rsidRPr="007F0C4C" w:rsidRDefault="00083269" w:rsidP="00083269">
      <w:pPr>
        <w:rPr>
          <w:szCs w:val="20"/>
          <w:lang w:eastAsia="en-AU"/>
        </w:rPr>
      </w:pPr>
      <w:r w:rsidRPr="007F0C4C">
        <w:rPr>
          <w:szCs w:val="20"/>
          <w:lang w:eastAsia="en-AU"/>
        </w:rPr>
        <w:t>Like all procurement activities, it is important that early market engagement is properly conducted with due regard to probity. This should include ensuring that:</w:t>
      </w:r>
    </w:p>
    <w:p w14:paraId="39FBEB92" w14:textId="77777777" w:rsidR="00083269" w:rsidRPr="007F0C4C" w:rsidRDefault="00083269" w:rsidP="00083269">
      <w:pPr>
        <w:pStyle w:val="ListParagraph"/>
        <w:numPr>
          <w:ilvl w:val="0"/>
          <w:numId w:val="28"/>
        </w:numPr>
        <w:spacing w:before="180" w:line="264" w:lineRule="auto"/>
        <w:contextualSpacing/>
        <w:rPr>
          <w:szCs w:val="20"/>
          <w:lang w:eastAsia="en-AU"/>
        </w:rPr>
      </w:pPr>
      <w:r w:rsidRPr="007F0C4C">
        <w:rPr>
          <w:szCs w:val="20"/>
          <w:lang w:eastAsia="en-AU"/>
        </w:rPr>
        <w:t xml:space="preserve">the approach undertaken is logical, defensible and would withstand public scrutiny </w:t>
      </w:r>
    </w:p>
    <w:p w14:paraId="1089135D" w14:textId="77777777" w:rsidR="00083269" w:rsidRPr="007F0C4C" w:rsidRDefault="00083269" w:rsidP="00083269">
      <w:pPr>
        <w:pStyle w:val="ListParagraph"/>
        <w:numPr>
          <w:ilvl w:val="0"/>
          <w:numId w:val="28"/>
        </w:numPr>
        <w:spacing w:before="180" w:line="264" w:lineRule="auto"/>
        <w:contextualSpacing/>
        <w:rPr>
          <w:szCs w:val="20"/>
          <w:lang w:eastAsia="en-AU"/>
        </w:rPr>
      </w:pPr>
      <w:r w:rsidRPr="007F0C4C">
        <w:rPr>
          <w:szCs w:val="20"/>
          <w:lang w:eastAsia="en-AU"/>
        </w:rPr>
        <w:t>a good sample of suppliers are engaged, both incumbent and those not currently under contract, and that a consistent approach is taken with each</w:t>
      </w:r>
    </w:p>
    <w:p w14:paraId="75B889A9" w14:textId="77777777" w:rsidR="00083269" w:rsidRPr="007F0C4C" w:rsidRDefault="00083269" w:rsidP="00083269">
      <w:pPr>
        <w:pStyle w:val="ListParagraph"/>
        <w:numPr>
          <w:ilvl w:val="0"/>
          <w:numId w:val="28"/>
        </w:numPr>
        <w:spacing w:before="180" w:line="264" w:lineRule="auto"/>
        <w:contextualSpacing/>
        <w:rPr>
          <w:szCs w:val="20"/>
          <w:lang w:eastAsia="en-AU"/>
        </w:rPr>
      </w:pPr>
      <w:r w:rsidRPr="007F0C4C">
        <w:rPr>
          <w:szCs w:val="20"/>
          <w:lang w:eastAsia="en-AU"/>
        </w:rPr>
        <w:t>no undertakings or commitments are made to suppliers as part of the process</w:t>
      </w:r>
    </w:p>
    <w:p w14:paraId="4385FF0C" w14:textId="77777777" w:rsidR="00083269" w:rsidRPr="007F0C4C" w:rsidRDefault="00083269" w:rsidP="00083269">
      <w:pPr>
        <w:pStyle w:val="ListParagraph"/>
        <w:numPr>
          <w:ilvl w:val="0"/>
          <w:numId w:val="28"/>
        </w:numPr>
        <w:spacing w:before="180" w:line="264" w:lineRule="auto"/>
        <w:contextualSpacing/>
        <w:rPr>
          <w:szCs w:val="20"/>
          <w:lang w:eastAsia="en-AU"/>
        </w:rPr>
      </w:pPr>
      <w:r w:rsidRPr="007F0C4C">
        <w:rPr>
          <w:szCs w:val="20"/>
          <w:lang w:eastAsia="en-AU"/>
        </w:rPr>
        <w:t>no ‘inside information’ is provided</w:t>
      </w:r>
    </w:p>
    <w:p w14:paraId="06964382" w14:textId="77777777" w:rsidR="00083269" w:rsidRPr="007F0C4C" w:rsidRDefault="00083269" w:rsidP="00083269">
      <w:pPr>
        <w:pStyle w:val="ListParagraph"/>
        <w:numPr>
          <w:ilvl w:val="0"/>
          <w:numId w:val="28"/>
        </w:numPr>
        <w:spacing w:before="180" w:line="264" w:lineRule="auto"/>
        <w:contextualSpacing/>
        <w:rPr>
          <w:szCs w:val="20"/>
          <w:lang w:eastAsia="en-AU"/>
        </w:rPr>
      </w:pPr>
      <w:r w:rsidRPr="007F0C4C">
        <w:rPr>
          <w:szCs w:val="20"/>
          <w:lang w:eastAsia="en-AU"/>
        </w:rPr>
        <w:t>multiple government officers participate in the process and attend all meetings</w:t>
      </w:r>
    </w:p>
    <w:p w14:paraId="4DA88507" w14:textId="77777777" w:rsidR="00083269" w:rsidRPr="007F0C4C" w:rsidRDefault="00083269" w:rsidP="00083269">
      <w:pPr>
        <w:pStyle w:val="ListParagraph"/>
        <w:numPr>
          <w:ilvl w:val="0"/>
          <w:numId w:val="28"/>
        </w:numPr>
        <w:spacing w:before="180" w:line="264" w:lineRule="auto"/>
        <w:contextualSpacing/>
        <w:rPr>
          <w:szCs w:val="20"/>
          <w:lang w:eastAsia="en-AU"/>
        </w:rPr>
      </w:pPr>
      <w:r w:rsidRPr="007F0C4C">
        <w:rPr>
          <w:szCs w:val="20"/>
          <w:lang w:eastAsia="en-AU"/>
        </w:rPr>
        <w:t xml:space="preserve">any engagement is appropriately documented and recorded </w:t>
      </w:r>
    </w:p>
    <w:p w14:paraId="55043D3A" w14:textId="77777777" w:rsidR="00083269" w:rsidRPr="007F0C4C" w:rsidRDefault="00083269" w:rsidP="00083269">
      <w:pPr>
        <w:pStyle w:val="ListParagraph"/>
        <w:numPr>
          <w:ilvl w:val="0"/>
          <w:numId w:val="28"/>
        </w:numPr>
        <w:spacing w:before="180" w:after="120" w:line="264" w:lineRule="auto"/>
        <w:ind w:left="714" w:hanging="357"/>
        <w:contextualSpacing/>
        <w:rPr>
          <w:szCs w:val="20"/>
          <w:lang w:eastAsia="en-AU"/>
        </w:rPr>
      </w:pPr>
      <w:r w:rsidRPr="007F0C4C">
        <w:rPr>
          <w:szCs w:val="20"/>
          <w:lang w:eastAsia="en-AU"/>
        </w:rPr>
        <w:t>your probity advisor attends (if you have engaged one).</w:t>
      </w:r>
    </w:p>
    <w:p w14:paraId="1EADB230" w14:textId="77777777" w:rsidR="00083269" w:rsidRPr="007F0C4C" w:rsidRDefault="00083269" w:rsidP="00083269">
      <w:pPr>
        <w:rPr>
          <w:szCs w:val="20"/>
          <w:lang w:eastAsia="en-AU"/>
        </w:rPr>
      </w:pPr>
      <w:r w:rsidRPr="007F0C4C">
        <w:rPr>
          <w:szCs w:val="20"/>
          <w:lang w:eastAsia="en-AU"/>
        </w:rPr>
        <w:t>For larger procurements, agencies may wish to consider undertaking market engagement more formally as part of a ‘request for information’ process.</w:t>
      </w:r>
    </w:p>
    <w:p w14:paraId="0899A64B" w14:textId="77777777" w:rsidR="00083269" w:rsidRPr="007F0C4C" w:rsidRDefault="00083269" w:rsidP="00083269">
      <w:pPr>
        <w:rPr>
          <w:szCs w:val="20"/>
          <w:lang w:eastAsia="en-AU"/>
        </w:rPr>
      </w:pPr>
      <w:r w:rsidRPr="007F0C4C">
        <w:rPr>
          <w:bCs/>
          <w:szCs w:val="20"/>
          <w:lang w:eastAsia="en-AU"/>
        </w:rPr>
        <w:t>Where prospective suppliers approach agency senior executives to meet</w:t>
      </w:r>
      <w:r w:rsidRPr="007F0C4C">
        <w:rPr>
          <w:szCs w:val="20"/>
          <w:lang w:eastAsia="en-AU"/>
        </w:rPr>
        <w:t xml:space="preserve"> regarding a procurement, the executives concerned should not engage unless such engagement is formally required. If such engagement is necessary, probity advice should be sought prior to the meeting and, ideally, the probity advisor should attend any such meeting.</w:t>
      </w:r>
    </w:p>
    <w:p w14:paraId="098D5055" w14:textId="77777777" w:rsidR="00083269" w:rsidRPr="00F37C49" w:rsidRDefault="00083269" w:rsidP="00083269">
      <w:pPr>
        <w:pStyle w:val="Heading3"/>
        <w:rPr>
          <w:b/>
          <w:bCs/>
        </w:rPr>
      </w:pPr>
      <w:bookmarkStart w:id="121" w:name="_Toc56171383"/>
      <w:bookmarkStart w:id="122" w:name="_Toc202939777"/>
      <w:r w:rsidRPr="00F37C49">
        <w:rPr>
          <w:bCs/>
        </w:rPr>
        <w:t>Early engagement of probity advisor</w:t>
      </w:r>
      <w:bookmarkEnd w:id="121"/>
      <w:bookmarkEnd w:id="122"/>
    </w:p>
    <w:p w14:paraId="0D4F927E" w14:textId="77777777" w:rsidR="00083269" w:rsidRPr="007F0C4C" w:rsidRDefault="00083269" w:rsidP="00083269">
      <w:pPr>
        <w:rPr>
          <w:b/>
          <w:szCs w:val="20"/>
          <w:lang w:eastAsia="en-AU"/>
        </w:rPr>
      </w:pPr>
      <w:r w:rsidRPr="007F0C4C">
        <w:rPr>
          <w:szCs w:val="20"/>
          <w:lang w:eastAsia="en-AU"/>
        </w:rPr>
        <w:t xml:space="preserve">A probity advisor should be engaged at the commencement of a procurement process. On commencement, the probity advisor should be given sufficient information so they can be across all aspects of the procurement. This gives the probity advisor a chance to provide advice on strategies and helpful tools to overcome potential problems throughout the procurement process. The </w:t>
      </w:r>
      <w:proofErr w:type="gramStart"/>
      <w:r w:rsidRPr="007F0C4C">
        <w:rPr>
          <w:szCs w:val="20"/>
          <w:lang w:eastAsia="en-AU"/>
        </w:rPr>
        <w:t>probity  advisor</w:t>
      </w:r>
      <w:proofErr w:type="gramEnd"/>
      <w:r w:rsidRPr="007F0C4C">
        <w:rPr>
          <w:szCs w:val="20"/>
          <w:lang w:eastAsia="en-AU"/>
        </w:rPr>
        <w:t xml:space="preserve"> can also be used to provide advice and general briefings to other officers in an agency, including senior executives, to ensure robust probity practices are followed.</w:t>
      </w:r>
    </w:p>
    <w:p w14:paraId="40B3956F" w14:textId="77777777" w:rsidR="00083269" w:rsidRPr="00F37C49" w:rsidRDefault="00083269" w:rsidP="00083269">
      <w:pPr>
        <w:pStyle w:val="Heading3"/>
        <w:rPr>
          <w:b/>
          <w:bCs/>
        </w:rPr>
      </w:pPr>
      <w:bookmarkStart w:id="123" w:name="_Toc56171384"/>
      <w:bookmarkStart w:id="124" w:name="_Toc202939778"/>
      <w:r w:rsidRPr="00F37C49">
        <w:rPr>
          <w:bCs/>
        </w:rPr>
        <w:t>Industry briefings</w:t>
      </w:r>
      <w:bookmarkEnd w:id="123"/>
      <w:bookmarkEnd w:id="124"/>
    </w:p>
    <w:p w14:paraId="44789CDD" w14:textId="77777777" w:rsidR="00083269" w:rsidRPr="007F0C4C" w:rsidRDefault="00083269" w:rsidP="00083269">
      <w:pPr>
        <w:spacing w:after="120"/>
        <w:rPr>
          <w:szCs w:val="20"/>
          <w:lang w:eastAsia="en-AU"/>
        </w:rPr>
      </w:pPr>
      <w:r w:rsidRPr="007F0C4C">
        <w:rPr>
          <w:bCs/>
          <w:szCs w:val="20"/>
          <w:lang w:eastAsia="en-AU"/>
        </w:rPr>
        <w:t>Industry briefings</w:t>
      </w:r>
      <w:r w:rsidRPr="007F0C4C">
        <w:rPr>
          <w:szCs w:val="20"/>
          <w:lang w:eastAsia="en-AU"/>
        </w:rPr>
        <w:t xml:space="preserve"> can be beneficial for a procurement activity and should be conducted whenever necessary. They allow the government the opportunity to explain a procurement activity in detail. </w:t>
      </w:r>
      <w:r w:rsidRPr="007F0C4C">
        <w:rPr>
          <w:szCs w:val="20"/>
          <w:lang w:eastAsia="en-AU"/>
        </w:rPr>
        <w:lastRenderedPageBreak/>
        <w:t xml:space="preserve">They can also clarify any supplier misconceptions, particularly through question/answer engagement with suppliers. </w:t>
      </w:r>
    </w:p>
    <w:p w14:paraId="6226A672" w14:textId="77777777" w:rsidR="00083269" w:rsidRPr="007F0C4C" w:rsidRDefault="00083269" w:rsidP="00083269">
      <w:pPr>
        <w:rPr>
          <w:szCs w:val="20"/>
          <w:lang w:eastAsia="en-AU"/>
        </w:rPr>
      </w:pPr>
      <w:r w:rsidRPr="007F0C4C">
        <w:rPr>
          <w:szCs w:val="20"/>
          <w:lang w:eastAsia="en-AU"/>
        </w:rPr>
        <w:t>It is important that probity matters are properly handled – you should ensure that:</w:t>
      </w:r>
    </w:p>
    <w:p w14:paraId="7FCC4D49" w14:textId="77777777" w:rsidR="00083269" w:rsidRPr="007F0C4C" w:rsidRDefault="00083269" w:rsidP="00083269">
      <w:pPr>
        <w:pStyle w:val="ListParagraph"/>
        <w:numPr>
          <w:ilvl w:val="0"/>
          <w:numId w:val="12"/>
        </w:numPr>
        <w:spacing w:before="180" w:after="120"/>
        <w:ind w:left="850" w:hanging="425"/>
        <w:contextualSpacing/>
        <w:rPr>
          <w:szCs w:val="20"/>
          <w:lang w:eastAsia="en-AU"/>
        </w:rPr>
      </w:pPr>
      <w:r w:rsidRPr="007F0C4C">
        <w:rPr>
          <w:szCs w:val="20"/>
          <w:lang w:eastAsia="en-AU"/>
        </w:rPr>
        <w:t>adequate notice is given to suppliers about the session</w:t>
      </w:r>
    </w:p>
    <w:p w14:paraId="5BBDDC9C" w14:textId="77777777" w:rsidR="00083269" w:rsidRPr="007F0C4C" w:rsidRDefault="00083269" w:rsidP="00083269">
      <w:pPr>
        <w:pStyle w:val="ListParagraph"/>
        <w:numPr>
          <w:ilvl w:val="0"/>
          <w:numId w:val="12"/>
        </w:numPr>
        <w:spacing w:before="360" w:after="120"/>
        <w:ind w:left="850" w:hanging="425"/>
        <w:contextualSpacing/>
        <w:rPr>
          <w:szCs w:val="20"/>
          <w:lang w:eastAsia="en-AU"/>
        </w:rPr>
      </w:pPr>
      <w:r w:rsidRPr="007F0C4C">
        <w:rPr>
          <w:szCs w:val="20"/>
          <w:lang w:eastAsia="en-AU"/>
        </w:rPr>
        <w:t>your tender documents are clear on whether attendance at the briefing is mandatory if a supplier wishes to submit an offer</w:t>
      </w:r>
    </w:p>
    <w:p w14:paraId="1DC52683" w14:textId="77777777" w:rsidR="00083269" w:rsidRPr="007F0C4C" w:rsidRDefault="00083269" w:rsidP="00083269">
      <w:pPr>
        <w:pStyle w:val="ListParagraph"/>
        <w:numPr>
          <w:ilvl w:val="0"/>
          <w:numId w:val="12"/>
        </w:numPr>
        <w:spacing w:before="180" w:line="264" w:lineRule="auto"/>
        <w:ind w:left="850" w:hanging="425"/>
        <w:contextualSpacing/>
        <w:rPr>
          <w:szCs w:val="20"/>
          <w:lang w:eastAsia="en-AU"/>
        </w:rPr>
      </w:pPr>
      <w:r w:rsidRPr="007F0C4C">
        <w:rPr>
          <w:szCs w:val="20"/>
          <w:lang w:eastAsia="en-AU"/>
        </w:rPr>
        <w:t xml:space="preserve">your tender documents are clear on whether information provided at the briefing will be made subsequently available (e.g. by providing a copy of the presentation via QTenders). You are under no obligation to provide any information from the session – however, you should make your approach clear in your notice about the briefing (for non-mandatory briefing sessions, the information </w:t>
      </w:r>
      <w:proofErr w:type="gramStart"/>
      <w:r w:rsidRPr="007F0C4C">
        <w:rPr>
          <w:szCs w:val="20"/>
          <w:lang w:eastAsia="en-AU"/>
        </w:rPr>
        <w:t>provided</w:t>
      </w:r>
      <w:proofErr w:type="gramEnd"/>
      <w:r w:rsidRPr="007F0C4C">
        <w:rPr>
          <w:szCs w:val="20"/>
          <w:lang w:eastAsia="en-AU"/>
        </w:rPr>
        <w:t xml:space="preserve"> and subsequent questions and answers should be recorded and distributed to all potential suppliers)</w:t>
      </w:r>
    </w:p>
    <w:p w14:paraId="2F634143" w14:textId="77777777" w:rsidR="00083269" w:rsidRPr="007F0C4C" w:rsidRDefault="00083269" w:rsidP="00083269">
      <w:pPr>
        <w:pStyle w:val="ListParagraph"/>
        <w:numPr>
          <w:ilvl w:val="0"/>
          <w:numId w:val="12"/>
        </w:numPr>
        <w:spacing w:before="180" w:line="264" w:lineRule="auto"/>
        <w:ind w:left="850" w:hanging="425"/>
        <w:contextualSpacing/>
        <w:rPr>
          <w:szCs w:val="20"/>
          <w:lang w:eastAsia="en-AU"/>
        </w:rPr>
      </w:pPr>
      <w:r w:rsidRPr="007F0C4C">
        <w:rPr>
          <w:szCs w:val="20"/>
          <w:lang w:eastAsia="en-AU"/>
        </w:rPr>
        <w:t>you have a standardised presentation that is delivered to all suppliers</w:t>
      </w:r>
    </w:p>
    <w:p w14:paraId="0DCB80BC" w14:textId="77777777" w:rsidR="00083269" w:rsidRPr="007F0C4C" w:rsidRDefault="00083269" w:rsidP="00083269">
      <w:pPr>
        <w:pStyle w:val="ListParagraph"/>
        <w:numPr>
          <w:ilvl w:val="0"/>
          <w:numId w:val="12"/>
        </w:numPr>
        <w:spacing w:before="180" w:line="264" w:lineRule="auto"/>
        <w:ind w:left="850" w:hanging="425"/>
        <w:contextualSpacing/>
        <w:rPr>
          <w:szCs w:val="20"/>
          <w:lang w:eastAsia="en-AU"/>
        </w:rPr>
      </w:pPr>
      <w:r w:rsidRPr="007F0C4C">
        <w:rPr>
          <w:szCs w:val="20"/>
          <w:lang w:eastAsia="en-AU"/>
        </w:rPr>
        <w:t xml:space="preserve">any questions and answers are dealt with publicly so all attendees can hear the question and response. Alternatively, you may choose not to have a </w:t>
      </w:r>
      <w:proofErr w:type="gramStart"/>
      <w:r w:rsidRPr="007F0C4C">
        <w:rPr>
          <w:szCs w:val="20"/>
          <w:lang w:eastAsia="en-AU"/>
        </w:rPr>
        <w:t>question and answer</w:t>
      </w:r>
      <w:proofErr w:type="gramEnd"/>
      <w:r w:rsidRPr="007F0C4C">
        <w:rPr>
          <w:szCs w:val="20"/>
          <w:lang w:eastAsia="en-AU"/>
        </w:rPr>
        <w:t xml:space="preserve"> session</w:t>
      </w:r>
    </w:p>
    <w:p w14:paraId="53165428" w14:textId="77777777" w:rsidR="00083269" w:rsidRPr="007F0C4C" w:rsidRDefault="00083269" w:rsidP="00083269">
      <w:pPr>
        <w:pStyle w:val="ListParagraph"/>
        <w:numPr>
          <w:ilvl w:val="0"/>
          <w:numId w:val="12"/>
        </w:numPr>
        <w:spacing w:before="180" w:line="264" w:lineRule="auto"/>
        <w:ind w:left="850" w:hanging="425"/>
        <w:contextualSpacing/>
        <w:rPr>
          <w:szCs w:val="20"/>
          <w:lang w:eastAsia="en-AU"/>
        </w:rPr>
      </w:pPr>
      <w:r w:rsidRPr="007F0C4C">
        <w:rPr>
          <w:szCs w:val="20"/>
          <w:lang w:eastAsia="en-AU"/>
        </w:rPr>
        <w:t xml:space="preserve">you do not deal one-on-one with any </w:t>
      </w:r>
      <w:proofErr w:type="gramStart"/>
      <w:r w:rsidRPr="007F0C4C">
        <w:rPr>
          <w:szCs w:val="20"/>
          <w:lang w:eastAsia="en-AU"/>
        </w:rPr>
        <w:t>particular supplier</w:t>
      </w:r>
      <w:proofErr w:type="gramEnd"/>
    </w:p>
    <w:p w14:paraId="1AA774A6" w14:textId="77777777" w:rsidR="00083269" w:rsidRPr="007F0C4C" w:rsidRDefault="00083269" w:rsidP="00083269">
      <w:pPr>
        <w:pStyle w:val="ListParagraph"/>
        <w:numPr>
          <w:ilvl w:val="0"/>
          <w:numId w:val="12"/>
        </w:numPr>
        <w:spacing w:before="180" w:line="264" w:lineRule="auto"/>
        <w:ind w:left="850" w:hanging="425"/>
        <w:contextualSpacing/>
        <w:rPr>
          <w:szCs w:val="20"/>
          <w:lang w:eastAsia="en-AU"/>
        </w:rPr>
      </w:pPr>
      <w:r w:rsidRPr="007F0C4C">
        <w:rPr>
          <w:szCs w:val="20"/>
          <w:lang w:eastAsia="en-AU"/>
        </w:rPr>
        <w:t>records are kept including which personnel and suppliers attended</w:t>
      </w:r>
    </w:p>
    <w:p w14:paraId="2532D049" w14:textId="77777777" w:rsidR="00083269" w:rsidRPr="007F0C4C" w:rsidRDefault="00083269" w:rsidP="00083269">
      <w:pPr>
        <w:pStyle w:val="ListParagraph"/>
        <w:numPr>
          <w:ilvl w:val="0"/>
          <w:numId w:val="12"/>
        </w:numPr>
        <w:spacing w:before="180" w:line="264" w:lineRule="auto"/>
        <w:ind w:left="850" w:hanging="425"/>
        <w:contextualSpacing/>
        <w:rPr>
          <w:szCs w:val="20"/>
          <w:lang w:eastAsia="en-AU"/>
        </w:rPr>
      </w:pPr>
      <w:r w:rsidRPr="007F0C4C">
        <w:rPr>
          <w:szCs w:val="20"/>
          <w:lang w:eastAsia="en-AU"/>
        </w:rPr>
        <w:t>your probity advisor attends (if you have engaged one)</w:t>
      </w:r>
    </w:p>
    <w:p w14:paraId="296D3B0A" w14:textId="77777777" w:rsidR="00083269" w:rsidRPr="007F0C4C" w:rsidRDefault="00083269" w:rsidP="00083269">
      <w:pPr>
        <w:pStyle w:val="ListParagraph"/>
        <w:numPr>
          <w:ilvl w:val="0"/>
          <w:numId w:val="12"/>
        </w:numPr>
        <w:spacing w:before="180" w:line="264" w:lineRule="auto"/>
        <w:ind w:left="850" w:hanging="425"/>
        <w:contextualSpacing/>
        <w:rPr>
          <w:szCs w:val="20"/>
          <w:lang w:eastAsia="en-AU"/>
        </w:rPr>
      </w:pPr>
      <w:r w:rsidRPr="007F0C4C">
        <w:rPr>
          <w:szCs w:val="20"/>
          <w:lang w:eastAsia="en-AU"/>
        </w:rPr>
        <w:t xml:space="preserve">suppliers are given sufficient time to incorporate the received information within their offers. </w:t>
      </w:r>
    </w:p>
    <w:p w14:paraId="5E7EC327" w14:textId="77777777" w:rsidR="00083269" w:rsidRPr="00F37C49" w:rsidRDefault="00083269" w:rsidP="00083269">
      <w:pPr>
        <w:pStyle w:val="Heading2"/>
        <w:keepNext w:val="0"/>
        <w:keepLines w:val="0"/>
        <w:numPr>
          <w:ilvl w:val="0"/>
          <w:numId w:val="17"/>
        </w:numPr>
        <w:autoSpaceDE w:val="0"/>
        <w:autoSpaceDN w:val="0"/>
        <w:adjustRightInd w:val="0"/>
        <w:spacing w:before="320" w:after="180" w:line="264" w:lineRule="auto"/>
        <w:rPr>
          <w:b w:val="0"/>
          <w:bCs/>
        </w:rPr>
      </w:pPr>
      <w:bookmarkStart w:id="125" w:name="_Toc494373752"/>
      <w:bookmarkStart w:id="126" w:name="_Toc517676720"/>
      <w:bookmarkStart w:id="127" w:name="_Toc56171385"/>
      <w:bookmarkStart w:id="128" w:name="_Toc202939779"/>
      <w:r w:rsidRPr="00F37C49">
        <w:rPr>
          <w:bCs/>
        </w:rPr>
        <w:t>Attending trade shows, conferences</w:t>
      </w:r>
      <w:bookmarkEnd w:id="125"/>
      <w:r w:rsidRPr="00F37C49">
        <w:rPr>
          <w:bCs/>
        </w:rPr>
        <w:t>, seminars or similar events</w:t>
      </w:r>
      <w:bookmarkEnd w:id="126"/>
      <w:bookmarkEnd w:id="127"/>
      <w:bookmarkEnd w:id="128"/>
    </w:p>
    <w:p w14:paraId="401184D0" w14:textId="77777777" w:rsidR="00083269" w:rsidRPr="007F0C4C" w:rsidRDefault="00083269" w:rsidP="00083269">
      <w:pPr>
        <w:rPr>
          <w:szCs w:val="20"/>
          <w:lang w:eastAsia="en-AU"/>
        </w:rPr>
      </w:pPr>
      <w:r w:rsidRPr="007F0C4C">
        <w:rPr>
          <w:szCs w:val="20"/>
          <w:lang w:eastAsia="en-AU"/>
        </w:rPr>
        <w:t>There is no issue</w:t>
      </w:r>
      <w:proofErr w:type="gramStart"/>
      <w:r w:rsidRPr="007F0C4C">
        <w:rPr>
          <w:szCs w:val="20"/>
          <w:lang w:eastAsia="en-AU"/>
        </w:rPr>
        <w:t>, in itself, with</w:t>
      </w:r>
      <w:proofErr w:type="gramEnd"/>
      <w:r w:rsidRPr="007F0C4C">
        <w:rPr>
          <w:szCs w:val="20"/>
          <w:lang w:eastAsia="en-AU"/>
        </w:rPr>
        <w:t xml:space="preserve"> an officer attending either a trade show, conference, seminar or other similar events. Such events can often be very useful for government buyers in developing their understanding of procurement and supply markets.</w:t>
      </w:r>
    </w:p>
    <w:p w14:paraId="7B20EAA3" w14:textId="77777777" w:rsidR="00083269" w:rsidRPr="007F0C4C" w:rsidRDefault="00083269" w:rsidP="00083269">
      <w:pPr>
        <w:spacing w:after="0"/>
        <w:rPr>
          <w:szCs w:val="20"/>
          <w:lang w:eastAsia="en-AU"/>
        </w:rPr>
      </w:pPr>
      <w:r w:rsidRPr="007F0C4C">
        <w:rPr>
          <w:szCs w:val="20"/>
          <w:lang w:eastAsia="en-AU"/>
        </w:rPr>
        <w:t>However, it is important that officers are mindful of the following:</w:t>
      </w:r>
    </w:p>
    <w:p w14:paraId="38D66F91" w14:textId="77777777" w:rsidR="00083269" w:rsidRPr="007F0C4C" w:rsidRDefault="00083269" w:rsidP="00083269">
      <w:pPr>
        <w:pStyle w:val="ListParagraph"/>
        <w:numPr>
          <w:ilvl w:val="0"/>
          <w:numId w:val="13"/>
        </w:numPr>
        <w:spacing w:before="180" w:line="264" w:lineRule="auto"/>
        <w:ind w:left="850" w:hanging="425"/>
        <w:contextualSpacing/>
        <w:rPr>
          <w:szCs w:val="20"/>
          <w:lang w:eastAsia="en-AU"/>
        </w:rPr>
      </w:pPr>
      <w:r w:rsidRPr="007F0C4C">
        <w:rPr>
          <w:szCs w:val="20"/>
          <w:lang w:eastAsia="en-AU"/>
        </w:rPr>
        <w:t>not discussing any confidential or commercially sensitive information</w:t>
      </w:r>
    </w:p>
    <w:p w14:paraId="1582ED5D" w14:textId="77777777" w:rsidR="00083269" w:rsidRPr="007F0C4C" w:rsidRDefault="00083269" w:rsidP="00083269">
      <w:pPr>
        <w:pStyle w:val="ListParagraph"/>
        <w:numPr>
          <w:ilvl w:val="0"/>
          <w:numId w:val="13"/>
        </w:numPr>
        <w:spacing w:before="180" w:line="264" w:lineRule="auto"/>
        <w:ind w:left="850" w:hanging="425"/>
        <w:contextualSpacing/>
        <w:rPr>
          <w:szCs w:val="20"/>
          <w:lang w:eastAsia="en-AU"/>
        </w:rPr>
      </w:pPr>
      <w:r w:rsidRPr="007F0C4C">
        <w:rPr>
          <w:szCs w:val="20"/>
          <w:lang w:eastAsia="en-AU"/>
        </w:rPr>
        <w:t>maintaining professional conduct and presentation</w:t>
      </w:r>
    </w:p>
    <w:p w14:paraId="5AD8BA89" w14:textId="77777777" w:rsidR="00083269" w:rsidRPr="007F0C4C" w:rsidRDefault="00083269" w:rsidP="00083269">
      <w:pPr>
        <w:pStyle w:val="ListParagraph"/>
        <w:numPr>
          <w:ilvl w:val="0"/>
          <w:numId w:val="13"/>
        </w:numPr>
        <w:spacing w:before="180" w:line="264" w:lineRule="auto"/>
        <w:ind w:left="850" w:hanging="425"/>
        <w:contextualSpacing/>
        <w:rPr>
          <w:szCs w:val="20"/>
          <w:lang w:eastAsia="en-AU"/>
        </w:rPr>
      </w:pPr>
      <w:r w:rsidRPr="007F0C4C">
        <w:rPr>
          <w:szCs w:val="20"/>
          <w:lang w:eastAsia="en-AU"/>
        </w:rPr>
        <w:t>not forming any verbal agreements, making false promises, or making any other inappropriate undertaking to a supplier.</w:t>
      </w:r>
      <w:r w:rsidRPr="007F0C4C">
        <w:rPr>
          <w:szCs w:val="20"/>
          <w:lang w:eastAsia="en-AU"/>
        </w:rPr>
        <w:br/>
      </w:r>
    </w:p>
    <w:p w14:paraId="47790AFC" w14:textId="77777777" w:rsidR="00083269" w:rsidRPr="007F0C4C" w:rsidRDefault="00083269" w:rsidP="00083269">
      <w:pPr>
        <w:rPr>
          <w:szCs w:val="20"/>
          <w:lang w:eastAsia="en-AU"/>
        </w:rPr>
      </w:pPr>
      <w:r w:rsidRPr="007F0C4C">
        <w:rPr>
          <w:szCs w:val="20"/>
          <w:lang w:eastAsia="en-AU"/>
        </w:rPr>
        <w:t xml:space="preserve">In addition, officers should be mindful of how their attendance could be perceived by external parties (e.g. suppliers within the market). Officers should particularly </w:t>
      </w:r>
      <w:proofErr w:type="gramStart"/>
      <w:r w:rsidRPr="007F0C4C">
        <w:rPr>
          <w:szCs w:val="20"/>
          <w:lang w:eastAsia="en-AU"/>
        </w:rPr>
        <w:t>take into account</w:t>
      </w:r>
      <w:proofErr w:type="gramEnd"/>
      <w:r w:rsidRPr="007F0C4C">
        <w:rPr>
          <w:szCs w:val="20"/>
          <w:lang w:eastAsia="en-AU"/>
        </w:rPr>
        <w:t>:</w:t>
      </w:r>
    </w:p>
    <w:p w14:paraId="09A750FF" w14:textId="77777777" w:rsidR="00083269" w:rsidRPr="007F0C4C" w:rsidRDefault="00083269" w:rsidP="00083269">
      <w:pPr>
        <w:pStyle w:val="ListParagraph"/>
        <w:numPr>
          <w:ilvl w:val="0"/>
          <w:numId w:val="13"/>
        </w:numPr>
        <w:spacing w:before="120" w:after="120"/>
        <w:ind w:left="850" w:hanging="425"/>
        <w:contextualSpacing/>
        <w:rPr>
          <w:szCs w:val="20"/>
          <w:lang w:eastAsia="en-AU"/>
        </w:rPr>
      </w:pPr>
      <w:r w:rsidRPr="007F0C4C">
        <w:rPr>
          <w:szCs w:val="20"/>
          <w:lang w:eastAsia="en-AU"/>
        </w:rPr>
        <w:t>the nature of the event, especially where it is more social in nature (e.g. a breakfast function compared to an industry conference)</w:t>
      </w:r>
      <w:r w:rsidRPr="007F0C4C">
        <w:rPr>
          <w:szCs w:val="20"/>
          <w:lang w:eastAsia="en-AU"/>
        </w:rPr>
        <w:br/>
      </w:r>
    </w:p>
    <w:p w14:paraId="72DB0C3E" w14:textId="77777777" w:rsidR="00083269" w:rsidRPr="007F0C4C" w:rsidRDefault="00083269" w:rsidP="00083269">
      <w:pPr>
        <w:pStyle w:val="ListParagraph"/>
        <w:numPr>
          <w:ilvl w:val="0"/>
          <w:numId w:val="13"/>
        </w:numPr>
        <w:spacing w:before="120" w:after="120"/>
        <w:ind w:left="850" w:hanging="425"/>
        <w:contextualSpacing/>
        <w:rPr>
          <w:szCs w:val="20"/>
          <w:lang w:eastAsia="en-AU"/>
        </w:rPr>
      </w:pPr>
      <w:r w:rsidRPr="007F0C4C">
        <w:rPr>
          <w:szCs w:val="20"/>
          <w:lang w:eastAsia="en-AU"/>
        </w:rPr>
        <w:t>who is hosting the event, especially where these events are hosted by suppliers who may also be involved in tender opportunities, and whether attendance is open to all or by invite only.</w:t>
      </w:r>
      <w:r w:rsidRPr="007F0C4C">
        <w:rPr>
          <w:szCs w:val="20"/>
          <w:lang w:eastAsia="en-AU"/>
        </w:rPr>
        <w:br/>
      </w:r>
    </w:p>
    <w:p w14:paraId="58719CE9" w14:textId="77777777" w:rsidR="00083269" w:rsidRPr="007F0C4C" w:rsidRDefault="00083269" w:rsidP="00083269">
      <w:pPr>
        <w:rPr>
          <w:szCs w:val="20"/>
          <w:lang w:eastAsia="en-AU"/>
        </w:rPr>
      </w:pPr>
      <w:r w:rsidRPr="007F0C4C">
        <w:rPr>
          <w:szCs w:val="20"/>
          <w:lang w:eastAsia="en-AU"/>
        </w:rPr>
        <w:t>Officers should also be aware of suppliers offering to pay for their attendance. Such offers are gifts and need to be treated as such. It is highly preferable that any attendance fee is paid by the government.</w:t>
      </w:r>
    </w:p>
    <w:p w14:paraId="199D7030" w14:textId="77777777" w:rsidR="00083269" w:rsidRPr="00F37C49" w:rsidRDefault="00083269" w:rsidP="00083269">
      <w:pPr>
        <w:pStyle w:val="Heading2"/>
        <w:keepNext w:val="0"/>
        <w:keepLines w:val="0"/>
        <w:numPr>
          <w:ilvl w:val="0"/>
          <w:numId w:val="17"/>
        </w:numPr>
        <w:autoSpaceDE w:val="0"/>
        <w:autoSpaceDN w:val="0"/>
        <w:adjustRightInd w:val="0"/>
        <w:spacing w:before="320" w:after="180" w:line="264" w:lineRule="auto"/>
        <w:rPr>
          <w:b w:val="0"/>
          <w:bCs/>
        </w:rPr>
      </w:pPr>
      <w:bookmarkStart w:id="129" w:name="_Toc494373753"/>
      <w:bookmarkStart w:id="130" w:name="_Toc517676721"/>
      <w:bookmarkStart w:id="131" w:name="_Toc56171386"/>
      <w:bookmarkStart w:id="132" w:name="_Toc202939780"/>
      <w:r w:rsidRPr="00F37C49">
        <w:rPr>
          <w:bCs/>
        </w:rPr>
        <w:t>Evaluating innovative offers</w:t>
      </w:r>
      <w:bookmarkEnd w:id="129"/>
      <w:bookmarkEnd w:id="130"/>
      <w:bookmarkEnd w:id="131"/>
      <w:bookmarkEnd w:id="132"/>
    </w:p>
    <w:p w14:paraId="47E5973C" w14:textId="77777777" w:rsidR="00083269" w:rsidRPr="007F0C4C" w:rsidRDefault="00083269" w:rsidP="00083269">
      <w:pPr>
        <w:rPr>
          <w:szCs w:val="20"/>
          <w:lang w:eastAsia="en-AU"/>
        </w:rPr>
      </w:pPr>
      <w:r w:rsidRPr="007F0C4C">
        <w:rPr>
          <w:szCs w:val="20"/>
          <w:lang w:eastAsia="en-AU"/>
        </w:rPr>
        <w:t xml:space="preserve">Increasingly, procurement is being used as a mechanism to drive innovation. Such processes often require a greater degree of professional capability and supplier interaction than more traditional </w:t>
      </w:r>
      <w:r w:rsidRPr="007F0C4C">
        <w:rPr>
          <w:szCs w:val="20"/>
          <w:lang w:eastAsia="en-AU"/>
        </w:rPr>
        <w:lastRenderedPageBreak/>
        <w:t>procurement processes. Government buyers can therefore feel uncertain about how to maintain probity in such situations.</w:t>
      </w:r>
    </w:p>
    <w:p w14:paraId="4DE7C2AC" w14:textId="77777777" w:rsidR="00083269" w:rsidRPr="007F0C4C" w:rsidRDefault="00083269" w:rsidP="00083269">
      <w:pPr>
        <w:rPr>
          <w:szCs w:val="20"/>
          <w:lang w:eastAsia="en-AU"/>
        </w:rPr>
      </w:pPr>
      <w:r w:rsidRPr="007F0C4C">
        <w:rPr>
          <w:szCs w:val="20"/>
          <w:lang w:eastAsia="en-AU"/>
        </w:rPr>
        <w:t xml:space="preserve">While this may be the case, probity can still be managed through the application of the guidance provided in this document. </w:t>
      </w:r>
      <w:proofErr w:type="gramStart"/>
      <w:r w:rsidRPr="007F0C4C">
        <w:rPr>
          <w:szCs w:val="20"/>
          <w:lang w:eastAsia="en-AU"/>
        </w:rPr>
        <w:t>In particular, it</w:t>
      </w:r>
      <w:proofErr w:type="gramEnd"/>
      <w:r w:rsidRPr="007F0C4C">
        <w:rPr>
          <w:szCs w:val="20"/>
          <w:lang w:eastAsia="en-AU"/>
        </w:rPr>
        <w:t xml:space="preserve"> is important to:</w:t>
      </w:r>
    </w:p>
    <w:p w14:paraId="4F240D36" w14:textId="77777777" w:rsidR="00083269" w:rsidRPr="007F0C4C" w:rsidRDefault="00083269" w:rsidP="00083269">
      <w:pPr>
        <w:pStyle w:val="ListParagraph"/>
        <w:numPr>
          <w:ilvl w:val="0"/>
          <w:numId w:val="14"/>
        </w:numPr>
        <w:spacing w:before="120" w:after="120"/>
        <w:ind w:left="851" w:hanging="425"/>
        <w:contextualSpacing/>
        <w:rPr>
          <w:szCs w:val="20"/>
          <w:lang w:eastAsia="en-AU"/>
        </w:rPr>
      </w:pPr>
      <w:r w:rsidRPr="007F0C4C">
        <w:rPr>
          <w:szCs w:val="20"/>
          <w:lang w:eastAsia="en-AU"/>
        </w:rPr>
        <w:t>develop a probity plan including guidelines to manage any interactive phase of the process to ensure fairness (i.e. equal time available, not sharing confidential information between competing suppliers, ensuring requirements remain consistent for all suppliers and are not changed for some suppliers during an interactive process)</w:t>
      </w:r>
      <w:r w:rsidRPr="007F0C4C">
        <w:rPr>
          <w:szCs w:val="20"/>
          <w:lang w:eastAsia="en-AU"/>
        </w:rPr>
        <w:br/>
      </w:r>
    </w:p>
    <w:p w14:paraId="351BAA75" w14:textId="77777777" w:rsidR="00083269" w:rsidRPr="007F0C4C" w:rsidRDefault="00083269" w:rsidP="00083269">
      <w:pPr>
        <w:pStyle w:val="ListParagraph"/>
        <w:numPr>
          <w:ilvl w:val="0"/>
          <w:numId w:val="14"/>
        </w:numPr>
        <w:spacing w:before="120" w:after="120"/>
        <w:ind w:left="851" w:hanging="425"/>
        <w:contextualSpacing/>
        <w:rPr>
          <w:szCs w:val="20"/>
          <w:lang w:eastAsia="en-AU"/>
        </w:rPr>
      </w:pPr>
      <w:r w:rsidRPr="007F0C4C">
        <w:rPr>
          <w:szCs w:val="20"/>
          <w:lang w:eastAsia="en-AU"/>
        </w:rPr>
        <w:t xml:space="preserve">clearly document the evaluation method to be used. As part of this it can be useful to include more detailed guidance to evaluation panel members on what to look for during the process </w:t>
      </w:r>
      <w:r w:rsidRPr="007F0C4C">
        <w:rPr>
          <w:szCs w:val="20"/>
          <w:lang w:eastAsia="en-AU"/>
        </w:rPr>
        <w:br/>
      </w:r>
    </w:p>
    <w:p w14:paraId="01671C2E" w14:textId="77777777" w:rsidR="00083269" w:rsidRPr="007F0C4C" w:rsidRDefault="00083269" w:rsidP="00083269">
      <w:pPr>
        <w:pStyle w:val="ListParagraph"/>
        <w:numPr>
          <w:ilvl w:val="0"/>
          <w:numId w:val="14"/>
        </w:numPr>
        <w:spacing w:before="120" w:after="120"/>
        <w:ind w:left="851" w:hanging="425"/>
        <w:contextualSpacing/>
        <w:rPr>
          <w:szCs w:val="20"/>
          <w:lang w:eastAsia="en-AU"/>
        </w:rPr>
      </w:pPr>
      <w:r w:rsidRPr="007F0C4C">
        <w:rPr>
          <w:szCs w:val="20"/>
          <w:lang w:eastAsia="en-AU"/>
        </w:rPr>
        <w:t xml:space="preserve">involve </w:t>
      </w:r>
      <w:proofErr w:type="gramStart"/>
      <w:r w:rsidRPr="007F0C4C">
        <w:rPr>
          <w:szCs w:val="20"/>
          <w:lang w:eastAsia="en-AU"/>
        </w:rPr>
        <w:t>a number of</w:t>
      </w:r>
      <w:proofErr w:type="gramEnd"/>
      <w:r w:rsidRPr="007F0C4C">
        <w:rPr>
          <w:szCs w:val="20"/>
          <w:lang w:eastAsia="en-AU"/>
        </w:rPr>
        <w:t xml:space="preserve"> officers in the evaluation process, so that a justifiable and defensible consensus view is reached</w:t>
      </w:r>
      <w:r w:rsidRPr="007F0C4C">
        <w:rPr>
          <w:szCs w:val="20"/>
          <w:lang w:eastAsia="en-AU"/>
        </w:rPr>
        <w:br/>
      </w:r>
    </w:p>
    <w:p w14:paraId="6BB0C3BC" w14:textId="77777777" w:rsidR="00083269" w:rsidRPr="007F0C4C" w:rsidRDefault="00083269" w:rsidP="00083269">
      <w:pPr>
        <w:pStyle w:val="ListParagraph"/>
        <w:numPr>
          <w:ilvl w:val="0"/>
          <w:numId w:val="14"/>
        </w:numPr>
        <w:spacing w:before="120" w:after="120"/>
        <w:ind w:left="851" w:hanging="425"/>
        <w:contextualSpacing/>
        <w:rPr>
          <w:szCs w:val="20"/>
          <w:lang w:eastAsia="en-AU"/>
        </w:rPr>
      </w:pPr>
      <w:r w:rsidRPr="007F0C4C">
        <w:rPr>
          <w:szCs w:val="20"/>
          <w:lang w:eastAsia="en-AU"/>
        </w:rPr>
        <w:t>ensure that the evaluation process, and rationale to reach a conclusion, is appropriately documented</w:t>
      </w:r>
      <w:r w:rsidRPr="007F0C4C">
        <w:rPr>
          <w:szCs w:val="20"/>
          <w:lang w:eastAsia="en-AU"/>
        </w:rPr>
        <w:br/>
      </w:r>
    </w:p>
    <w:p w14:paraId="7751F7E2" w14:textId="77777777" w:rsidR="00083269" w:rsidRPr="00F37C49" w:rsidRDefault="00083269" w:rsidP="00083269">
      <w:pPr>
        <w:pStyle w:val="ListParagraph"/>
        <w:numPr>
          <w:ilvl w:val="0"/>
          <w:numId w:val="14"/>
        </w:numPr>
        <w:spacing w:before="120" w:after="120"/>
        <w:ind w:left="850" w:hanging="425"/>
        <w:contextualSpacing/>
        <w:rPr>
          <w:sz w:val="22"/>
          <w:lang w:eastAsia="en-AU"/>
        </w:rPr>
      </w:pPr>
      <w:r w:rsidRPr="007F0C4C">
        <w:rPr>
          <w:szCs w:val="20"/>
          <w:lang w:eastAsia="en-AU"/>
        </w:rPr>
        <w:t>consider engaging a probity advisor. The advisor can then be used to observe any supplier interactions and provide assurance that things were properly conducted.</w:t>
      </w:r>
      <w:r>
        <w:rPr>
          <w:sz w:val="22"/>
          <w:lang w:eastAsia="en-AU"/>
        </w:rPr>
        <w:br/>
      </w:r>
    </w:p>
    <w:p w14:paraId="1E9F96C2" w14:textId="77777777" w:rsidR="00083269" w:rsidRPr="00F37C49" w:rsidRDefault="00083269" w:rsidP="00083269">
      <w:pPr>
        <w:pStyle w:val="Heading3"/>
        <w:rPr>
          <w:b/>
          <w:bCs/>
        </w:rPr>
      </w:pPr>
      <w:bookmarkStart w:id="133" w:name="_Toc56171387"/>
      <w:bookmarkStart w:id="134" w:name="_Toc202939781"/>
      <w:r w:rsidRPr="00F37C49">
        <w:rPr>
          <w:bCs/>
        </w:rPr>
        <w:t>Difference between a probity advisor and a probity auditor</w:t>
      </w:r>
      <w:bookmarkEnd w:id="133"/>
      <w:bookmarkEnd w:id="134"/>
    </w:p>
    <w:p w14:paraId="6B675B7A" w14:textId="77777777" w:rsidR="00083269" w:rsidRPr="007F0C4C" w:rsidRDefault="00083269" w:rsidP="00083269">
      <w:pPr>
        <w:rPr>
          <w:color w:val="000000" w:themeColor="text1"/>
          <w:szCs w:val="20"/>
          <w:lang w:eastAsia="en-AU"/>
        </w:rPr>
      </w:pPr>
      <w:r w:rsidRPr="007F0C4C">
        <w:rPr>
          <w:color w:val="000000" w:themeColor="text1"/>
          <w:szCs w:val="20"/>
          <w:lang w:eastAsia="en-AU"/>
        </w:rPr>
        <w:t>A probity auditor provides independent examination of a procurement process and expresses an objective opinion as to whether the prescribed probity requirements have been adhered to. The examination is usually conducted after the procurement activity has been finalised. Independence is essential when appointing a probity auditor.</w:t>
      </w:r>
    </w:p>
    <w:p w14:paraId="772D50B3" w14:textId="77777777" w:rsidR="00083269" w:rsidRDefault="00083269" w:rsidP="00083269">
      <w:pPr>
        <w:rPr>
          <w:szCs w:val="20"/>
          <w:lang w:eastAsia="en-AU"/>
        </w:rPr>
      </w:pPr>
      <w:r w:rsidRPr="007F0C4C">
        <w:rPr>
          <w:szCs w:val="20"/>
          <w:lang w:eastAsia="en-AU"/>
        </w:rPr>
        <w:t xml:space="preserve">The role of probity advisor involves the provision of advice and assistance before and </w:t>
      </w:r>
      <w:proofErr w:type="gramStart"/>
      <w:r w:rsidRPr="007F0C4C">
        <w:rPr>
          <w:szCs w:val="20"/>
          <w:lang w:eastAsia="en-AU"/>
        </w:rPr>
        <w:t>during the course of</w:t>
      </w:r>
      <w:proofErr w:type="gramEnd"/>
      <w:r w:rsidRPr="007F0C4C">
        <w:rPr>
          <w:szCs w:val="20"/>
          <w:lang w:eastAsia="en-AU"/>
        </w:rPr>
        <w:t xml:space="preserve"> the procurement process, as a basis for improving the procurement outcome and addressing unexpected probity issues that arise.</w:t>
      </w:r>
    </w:p>
    <w:p w14:paraId="207DED1F" w14:textId="77777777" w:rsidR="00083269" w:rsidRPr="007F0C4C" w:rsidRDefault="00083269" w:rsidP="00083269">
      <w:pPr>
        <w:rPr>
          <w:szCs w:val="20"/>
          <w:lang w:eastAsia="en-AU"/>
        </w:rPr>
      </w:pPr>
      <w:r>
        <w:rPr>
          <w:szCs w:val="20"/>
          <w:lang w:eastAsia="en-AU"/>
        </w:rPr>
        <w:t xml:space="preserve">Further information on engaging probity auditors and advisors can be found in the </w:t>
      </w:r>
      <w:hyperlink r:id="rId20" w:history="1">
        <w:r w:rsidRPr="00CC0E45">
          <w:rPr>
            <w:rStyle w:val="Hyperlink"/>
            <w:szCs w:val="20"/>
            <w:lang w:eastAsia="en-AU"/>
          </w:rPr>
          <w:t>Use of probity auditors and advisors guide</w:t>
        </w:r>
      </w:hyperlink>
      <w:r>
        <w:rPr>
          <w:szCs w:val="20"/>
          <w:lang w:eastAsia="en-AU"/>
        </w:rPr>
        <w:t>.</w:t>
      </w:r>
    </w:p>
    <w:p w14:paraId="19FE8F1D" w14:textId="77777777" w:rsidR="00083269" w:rsidRPr="00F37C49" w:rsidRDefault="00083269" w:rsidP="00083269">
      <w:pPr>
        <w:pStyle w:val="Heading2"/>
        <w:keepNext w:val="0"/>
        <w:keepLines w:val="0"/>
        <w:numPr>
          <w:ilvl w:val="0"/>
          <w:numId w:val="17"/>
        </w:numPr>
        <w:autoSpaceDE w:val="0"/>
        <w:autoSpaceDN w:val="0"/>
        <w:adjustRightInd w:val="0"/>
        <w:spacing w:before="320" w:after="180" w:line="264" w:lineRule="auto"/>
        <w:rPr>
          <w:b w:val="0"/>
          <w:bCs/>
        </w:rPr>
      </w:pPr>
      <w:bookmarkStart w:id="135" w:name="_Toc77338240"/>
      <w:bookmarkStart w:id="136" w:name="_Toc517181578"/>
      <w:bookmarkStart w:id="137" w:name="_Toc494373754"/>
      <w:bookmarkStart w:id="138" w:name="_Toc517676722"/>
      <w:bookmarkStart w:id="139" w:name="_Toc56171393"/>
      <w:bookmarkStart w:id="140" w:name="_Toc202939782"/>
      <w:bookmarkEnd w:id="135"/>
      <w:bookmarkEnd w:id="136"/>
      <w:r w:rsidRPr="00F37C49">
        <w:rPr>
          <w:bCs/>
        </w:rPr>
        <w:t>Anti-competitive supplier behaviour</w:t>
      </w:r>
      <w:bookmarkEnd w:id="137"/>
      <w:bookmarkEnd w:id="138"/>
      <w:bookmarkEnd w:id="139"/>
      <w:bookmarkEnd w:id="140"/>
    </w:p>
    <w:p w14:paraId="55C4FEA3" w14:textId="77777777" w:rsidR="00083269" w:rsidRPr="007F0C4C" w:rsidRDefault="00083269" w:rsidP="00083269">
      <w:pPr>
        <w:rPr>
          <w:szCs w:val="20"/>
          <w:lang w:eastAsia="en-AU"/>
        </w:rPr>
      </w:pPr>
      <w:r w:rsidRPr="007F0C4C">
        <w:rPr>
          <w:szCs w:val="20"/>
          <w:lang w:eastAsia="en-AU"/>
        </w:rPr>
        <w:t>Often, we focus on managing probity within government. However, officers should be aware that the integrity of their procurement process can be impacted via anti-competitive behaviour within the supply market. Such activity can include a range of things such as bid rigging, price fixing, market sharing and output restrictions.</w:t>
      </w:r>
    </w:p>
    <w:p w14:paraId="0169886A" w14:textId="77777777" w:rsidR="00083269" w:rsidRPr="007F0C4C" w:rsidRDefault="00083269" w:rsidP="00083269">
      <w:pPr>
        <w:rPr>
          <w:szCs w:val="20"/>
          <w:lang w:eastAsia="en-AU"/>
        </w:rPr>
      </w:pPr>
      <w:r w:rsidRPr="007F0C4C">
        <w:rPr>
          <w:szCs w:val="20"/>
          <w:lang w:eastAsia="en-AU"/>
        </w:rPr>
        <w:t xml:space="preserve">Detecting these things can often be difficult. To assist government buyers the </w:t>
      </w:r>
      <w:hyperlink r:id="rId21" w:history="1">
        <w:r w:rsidRPr="007F0C4C">
          <w:rPr>
            <w:rStyle w:val="Hyperlink"/>
            <w:szCs w:val="20"/>
            <w:lang w:eastAsia="en-AU"/>
          </w:rPr>
          <w:t>Australian Competition and Consumer Commission</w:t>
        </w:r>
      </w:hyperlink>
      <w:r w:rsidRPr="007F0C4C">
        <w:rPr>
          <w:szCs w:val="20"/>
          <w:lang w:eastAsia="en-AU"/>
        </w:rPr>
        <w:t xml:space="preserve"> has made available a guide on deterring and detecting cartels. Officers involved in procurement are strongly encouraged to read and implement strategies contained within this guide and if uncertain, seek further legal advice.</w:t>
      </w:r>
    </w:p>
    <w:p w14:paraId="1BAC09F9" w14:textId="703E3178" w:rsidR="007E6504" w:rsidRPr="007E6504" w:rsidRDefault="007E6504" w:rsidP="00083269">
      <w:pPr>
        <w:pStyle w:val="Heading1"/>
      </w:pPr>
    </w:p>
    <w:sectPr w:rsidR="007E6504" w:rsidRPr="007E6504" w:rsidSect="00AF090D">
      <w:headerReference w:type="default" r:id="rId22"/>
      <w:footerReference w:type="default" r:id="rId23"/>
      <w:headerReference w:type="first" r:id="rId24"/>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D2E7" w14:textId="77777777" w:rsidR="00A13C0C" w:rsidRDefault="00A13C0C" w:rsidP="00F752DB">
      <w:pPr>
        <w:spacing w:after="0"/>
      </w:pPr>
      <w:r>
        <w:separator/>
      </w:r>
    </w:p>
  </w:endnote>
  <w:endnote w:type="continuationSeparator" w:id="0">
    <w:p w14:paraId="10DC3B42" w14:textId="77777777" w:rsidR="00A13C0C" w:rsidRDefault="00A13C0C"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06349DB7"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DAC0" w14:textId="77777777" w:rsidR="00A13C0C" w:rsidRDefault="00A13C0C" w:rsidP="00F752DB">
      <w:pPr>
        <w:spacing w:after="0"/>
      </w:pPr>
      <w:r>
        <w:separator/>
      </w:r>
    </w:p>
  </w:footnote>
  <w:footnote w:type="continuationSeparator" w:id="0">
    <w:p w14:paraId="406A1C39" w14:textId="77777777" w:rsidR="00A13C0C" w:rsidRDefault="00A13C0C" w:rsidP="00F752DB">
      <w:pPr>
        <w:spacing w:after="0"/>
      </w:pPr>
      <w:r>
        <w:continuationSeparator/>
      </w:r>
    </w:p>
  </w:footnote>
  <w:footnote w:id="1">
    <w:p w14:paraId="717E8BC3" w14:textId="77777777" w:rsidR="00083269" w:rsidRPr="00D008FB" w:rsidRDefault="00083269" w:rsidP="00083269">
      <w:pPr>
        <w:pStyle w:val="FootnoteText"/>
        <w:rPr>
          <w:sz w:val="18"/>
          <w:szCs w:val="18"/>
        </w:rPr>
      </w:pPr>
      <w:r w:rsidRPr="00D008FB">
        <w:rPr>
          <w:rStyle w:val="FootnoteReference"/>
          <w:sz w:val="18"/>
          <w:szCs w:val="18"/>
        </w:rPr>
        <w:footnoteRef/>
      </w:r>
      <w:r w:rsidRPr="00D008FB">
        <w:rPr>
          <w:sz w:val="18"/>
          <w:szCs w:val="18"/>
        </w:rPr>
        <w:t xml:space="preserve"> Senior executives should also be aware that under the </w:t>
      </w:r>
      <w:hyperlink r:id="rId1" w:history="1">
        <w:r w:rsidRPr="00D008FB">
          <w:rPr>
            <w:rStyle w:val="Hyperlink"/>
            <w:i/>
            <w:iCs/>
            <w:sz w:val="18"/>
            <w:szCs w:val="18"/>
          </w:rPr>
          <w:t>Integrity Act 2009</w:t>
        </w:r>
      </w:hyperlink>
      <w:r w:rsidRPr="00D008FB">
        <w:rPr>
          <w:color w:val="81CFEB" w:themeColor="accent1"/>
          <w:sz w:val="18"/>
          <w:szCs w:val="18"/>
        </w:rPr>
        <w:t xml:space="preserve"> </w:t>
      </w:r>
      <w:r w:rsidRPr="00D008FB">
        <w:rPr>
          <w:sz w:val="18"/>
          <w:szCs w:val="18"/>
        </w:rPr>
        <w:t xml:space="preserve">designated persons can request confidential advice regarding ethics or integrity issues. Further information, including who is considered a designated person, is available from the Queensland Integrity Commissioner website - </w:t>
      </w:r>
      <w:hyperlink r:id="rId2" w:history="1">
        <w:r w:rsidRPr="00D008FB">
          <w:rPr>
            <w:rStyle w:val="Hyperlink"/>
            <w:sz w:val="18"/>
            <w:szCs w:val="18"/>
          </w:rPr>
          <w:t>www.integrity.qld.gov.au</w:t>
        </w:r>
      </w:hyperlink>
    </w:p>
  </w:footnote>
  <w:footnote w:id="2">
    <w:p w14:paraId="1EC4BC77" w14:textId="77777777" w:rsidR="00083269" w:rsidRPr="006707BC" w:rsidRDefault="00083269" w:rsidP="00083269">
      <w:pPr>
        <w:pStyle w:val="FootnoteText"/>
        <w:rPr>
          <w:sz w:val="18"/>
          <w:szCs w:val="18"/>
        </w:rPr>
      </w:pPr>
      <w:r w:rsidRPr="006707BC">
        <w:rPr>
          <w:rStyle w:val="FootnoteReference"/>
          <w:sz w:val="18"/>
          <w:szCs w:val="18"/>
        </w:rPr>
        <w:footnoteRef/>
      </w:r>
      <w:r w:rsidRPr="006707BC">
        <w:rPr>
          <w:sz w:val="18"/>
          <w:szCs w:val="18"/>
        </w:rPr>
        <w:t xml:space="preserve"> Information in this case study was sourced from the Victorian Independent Broad-based Anti-Corruption Commission (2017). </w:t>
      </w:r>
      <w:hyperlink r:id="rId3" w:history="1">
        <w:r w:rsidRPr="006707BC">
          <w:rPr>
            <w:rStyle w:val="Hyperlink"/>
            <w:sz w:val="18"/>
            <w:szCs w:val="18"/>
          </w:rPr>
          <w:t>Operation Dunham</w:t>
        </w:r>
      </w:hyperlink>
      <w:r w:rsidRPr="006707BC">
        <w:rPr>
          <w:rStyle w:val="Hyperlink"/>
          <w:sz w:val="18"/>
          <w:szCs w:val="18"/>
        </w:rPr>
        <w:t>.</w:t>
      </w:r>
    </w:p>
  </w:footnote>
  <w:footnote w:id="3">
    <w:p w14:paraId="7C7EE82F" w14:textId="77777777" w:rsidR="00083269" w:rsidRPr="00582B02" w:rsidRDefault="00083269" w:rsidP="00083269">
      <w:pPr>
        <w:pStyle w:val="FootnoteText"/>
        <w:rPr>
          <w:sz w:val="18"/>
          <w:szCs w:val="18"/>
        </w:rPr>
      </w:pPr>
      <w:r w:rsidRPr="00582B02">
        <w:rPr>
          <w:rStyle w:val="FootnoteReference"/>
          <w:sz w:val="18"/>
          <w:szCs w:val="18"/>
        </w:rPr>
        <w:footnoteRef/>
      </w:r>
      <w:r w:rsidRPr="00582B02">
        <w:rPr>
          <w:sz w:val="18"/>
          <w:szCs w:val="18"/>
        </w:rPr>
        <w:t xml:space="preserve"> This can also include ‘splitting’ aspects of the evaluation. For example, by using technical or financial specialists. If you do this the role and function of each officer must be clearly defined in the evaluation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70872C1C" w:rsidR="00F752DB" w:rsidRPr="00AB0F2F" w:rsidRDefault="00083269"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Probity and integrity in procurement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8D0"/>
    <w:multiLevelType w:val="hybridMultilevel"/>
    <w:tmpl w:val="26CCB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167E2"/>
    <w:multiLevelType w:val="hybridMultilevel"/>
    <w:tmpl w:val="1EEC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863B2F"/>
    <w:multiLevelType w:val="hybridMultilevel"/>
    <w:tmpl w:val="95D8FA3A"/>
    <w:lvl w:ilvl="0" w:tplc="B81E02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F83728"/>
    <w:multiLevelType w:val="hybridMultilevel"/>
    <w:tmpl w:val="4AE0E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C074FD"/>
    <w:multiLevelType w:val="hybridMultilevel"/>
    <w:tmpl w:val="76181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230DB1"/>
    <w:multiLevelType w:val="hybridMultilevel"/>
    <w:tmpl w:val="43F8E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C25BB9"/>
    <w:multiLevelType w:val="hybridMultilevel"/>
    <w:tmpl w:val="06F086BA"/>
    <w:lvl w:ilvl="0" w:tplc="0B422040">
      <w:start w:val="1"/>
      <w:numFmt w:val="decimal"/>
      <w:lvlText w:val="%1."/>
      <w:lvlJc w:val="left"/>
      <w:pPr>
        <w:ind w:left="720" w:hanging="360"/>
      </w:pPr>
      <w:rPr>
        <w:rFonts w:ascii="Arial" w:eastAsia="Times New Roman"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EA1653"/>
    <w:multiLevelType w:val="hybridMultilevel"/>
    <w:tmpl w:val="B7AA92BC"/>
    <w:lvl w:ilvl="0" w:tplc="DEA2AFAC">
      <w:start w:val="1"/>
      <w:numFmt w:val="decimal"/>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7285C60"/>
    <w:multiLevelType w:val="hybridMultilevel"/>
    <w:tmpl w:val="0A4C7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DE1167"/>
    <w:multiLevelType w:val="hybridMultilevel"/>
    <w:tmpl w:val="06D8C9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6493D55"/>
    <w:multiLevelType w:val="hybridMultilevel"/>
    <w:tmpl w:val="334A2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0A20D2"/>
    <w:multiLevelType w:val="hybridMultilevel"/>
    <w:tmpl w:val="B58AF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DF1466"/>
    <w:multiLevelType w:val="hybridMultilevel"/>
    <w:tmpl w:val="9F1C9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812D39"/>
    <w:multiLevelType w:val="hybridMultilevel"/>
    <w:tmpl w:val="65447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917C0B"/>
    <w:multiLevelType w:val="hybridMultilevel"/>
    <w:tmpl w:val="1FAA1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4074BF6"/>
    <w:multiLevelType w:val="hybridMultilevel"/>
    <w:tmpl w:val="C07CE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0F61A4"/>
    <w:multiLevelType w:val="hybridMultilevel"/>
    <w:tmpl w:val="48A07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2E356E"/>
    <w:multiLevelType w:val="hybridMultilevel"/>
    <w:tmpl w:val="F94C7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0465EC"/>
    <w:multiLevelType w:val="hybridMultilevel"/>
    <w:tmpl w:val="2AA0BA7E"/>
    <w:lvl w:ilvl="0" w:tplc="77BA8D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DF3A53"/>
    <w:multiLevelType w:val="hybridMultilevel"/>
    <w:tmpl w:val="84505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A230D1"/>
    <w:multiLevelType w:val="hybridMultilevel"/>
    <w:tmpl w:val="B0D0BB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BEC02AA"/>
    <w:multiLevelType w:val="hybridMultilevel"/>
    <w:tmpl w:val="E0EC7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7B31DD"/>
    <w:multiLevelType w:val="hybridMultilevel"/>
    <w:tmpl w:val="5958F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7D2F1E"/>
    <w:multiLevelType w:val="hybridMultilevel"/>
    <w:tmpl w:val="9AFE8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785E00"/>
    <w:multiLevelType w:val="hybridMultilevel"/>
    <w:tmpl w:val="F2AA2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331855"/>
    <w:multiLevelType w:val="hybridMultilevel"/>
    <w:tmpl w:val="628E6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FF05F78"/>
    <w:multiLevelType w:val="hybridMultilevel"/>
    <w:tmpl w:val="113CA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2394720">
    <w:abstractNumId w:val="9"/>
  </w:num>
  <w:num w:numId="2" w16cid:durableId="2098823096">
    <w:abstractNumId w:val="17"/>
  </w:num>
  <w:num w:numId="3" w16cid:durableId="213465528">
    <w:abstractNumId w:val="23"/>
  </w:num>
  <w:num w:numId="4" w16cid:durableId="1380545305">
    <w:abstractNumId w:val="34"/>
  </w:num>
  <w:num w:numId="5" w16cid:durableId="1241986595">
    <w:abstractNumId w:val="10"/>
  </w:num>
  <w:num w:numId="6" w16cid:durableId="1657955551">
    <w:abstractNumId w:val="11"/>
  </w:num>
  <w:num w:numId="7" w16cid:durableId="1390375665">
    <w:abstractNumId w:val="18"/>
  </w:num>
  <w:num w:numId="8" w16cid:durableId="512770342">
    <w:abstractNumId w:val="21"/>
  </w:num>
  <w:num w:numId="9" w16cid:durableId="1436487210">
    <w:abstractNumId w:val="5"/>
  </w:num>
  <w:num w:numId="10" w16cid:durableId="878981469">
    <w:abstractNumId w:val="8"/>
  </w:num>
  <w:num w:numId="11" w16cid:durableId="1231042227">
    <w:abstractNumId w:val="1"/>
  </w:num>
  <w:num w:numId="12" w16cid:durableId="1525703022">
    <w:abstractNumId w:val="24"/>
  </w:num>
  <w:num w:numId="13" w16cid:durableId="679892467">
    <w:abstractNumId w:val="3"/>
  </w:num>
  <w:num w:numId="14" w16cid:durableId="1554536982">
    <w:abstractNumId w:val="33"/>
  </w:num>
  <w:num w:numId="15" w16cid:durableId="1449396265">
    <w:abstractNumId w:val="6"/>
  </w:num>
  <w:num w:numId="16" w16cid:durableId="480267110">
    <w:abstractNumId w:val="35"/>
  </w:num>
  <w:num w:numId="17" w16cid:durableId="814488642">
    <w:abstractNumId w:val="7"/>
  </w:num>
  <w:num w:numId="18" w16cid:durableId="437456685">
    <w:abstractNumId w:val="4"/>
  </w:num>
  <w:num w:numId="19" w16cid:durableId="1530987298">
    <w:abstractNumId w:val="12"/>
  </w:num>
  <w:num w:numId="20" w16cid:durableId="942807003">
    <w:abstractNumId w:val="20"/>
  </w:num>
  <w:num w:numId="21" w16cid:durableId="1570077109">
    <w:abstractNumId w:val="16"/>
  </w:num>
  <w:num w:numId="22" w16cid:durableId="944340619">
    <w:abstractNumId w:val="2"/>
  </w:num>
  <w:num w:numId="23" w16cid:durableId="1928423454">
    <w:abstractNumId w:val="25"/>
  </w:num>
  <w:num w:numId="24" w16cid:durableId="1014965538">
    <w:abstractNumId w:val="27"/>
  </w:num>
  <w:num w:numId="25" w16cid:durableId="952589395">
    <w:abstractNumId w:val="30"/>
  </w:num>
  <w:num w:numId="26" w16cid:durableId="1186209358">
    <w:abstractNumId w:val="26"/>
  </w:num>
  <w:num w:numId="27" w16cid:durableId="1034384202">
    <w:abstractNumId w:val="15"/>
  </w:num>
  <w:num w:numId="28" w16cid:durableId="1385368183">
    <w:abstractNumId w:val="32"/>
  </w:num>
  <w:num w:numId="29" w16cid:durableId="1549218301">
    <w:abstractNumId w:val="13"/>
  </w:num>
  <w:num w:numId="30" w16cid:durableId="757292105">
    <w:abstractNumId w:val="31"/>
  </w:num>
  <w:num w:numId="31" w16cid:durableId="168256451">
    <w:abstractNumId w:val="22"/>
  </w:num>
  <w:num w:numId="32" w16cid:durableId="1405226269">
    <w:abstractNumId w:val="28"/>
  </w:num>
  <w:num w:numId="33" w16cid:durableId="1378430784">
    <w:abstractNumId w:val="29"/>
  </w:num>
  <w:num w:numId="34" w16cid:durableId="611595544">
    <w:abstractNumId w:val="0"/>
  </w:num>
  <w:num w:numId="35" w16cid:durableId="515922923">
    <w:abstractNumId w:val="19"/>
  </w:num>
  <w:num w:numId="36" w16cid:durableId="155540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83269"/>
    <w:rsid w:val="00094D48"/>
    <w:rsid w:val="000F4BE1"/>
    <w:rsid w:val="000F6454"/>
    <w:rsid w:val="00105D9D"/>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77D7A"/>
    <w:rsid w:val="002D7A1A"/>
    <w:rsid w:val="00381F07"/>
    <w:rsid w:val="003A1CD0"/>
    <w:rsid w:val="003D2C69"/>
    <w:rsid w:val="003D6913"/>
    <w:rsid w:val="00430856"/>
    <w:rsid w:val="00447E5E"/>
    <w:rsid w:val="004A0CF6"/>
    <w:rsid w:val="004B2130"/>
    <w:rsid w:val="00514250"/>
    <w:rsid w:val="00563939"/>
    <w:rsid w:val="00577783"/>
    <w:rsid w:val="005A7EB2"/>
    <w:rsid w:val="005C5E21"/>
    <w:rsid w:val="005F3566"/>
    <w:rsid w:val="00625AEE"/>
    <w:rsid w:val="0064046E"/>
    <w:rsid w:val="0065795D"/>
    <w:rsid w:val="00673C5E"/>
    <w:rsid w:val="006C336D"/>
    <w:rsid w:val="006D3B53"/>
    <w:rsid w:val="006F77F5"/>
    <w:rsid w:val="00701011"/>
    <w:rsid w:val="00704279"/>
    <w:rsid w:val="00711EF9"/>
    <w:rsid w:val="0078333F"/>
    <w:rsid w:val="007A6A8E"/>
    <w:rsid w:val="007A7AD0"/>
    <w:rsid w:val="007B0BF6"/>
    <w:rsid w:val="007E6504"/>
    <w:rsid w:val="00847102"/>
    <w:rsid w:val="00862803"/>
    <w:rsid w:val="00880CAD"/>
    <w:rsid w:val="00937196"/>
    <w:rsid w:val="009908A1"/>
    <w:rsid w:val="009C4A6F"/>
    <w:rsid w:val="00A03BA7"/>
    <w:rsid w:val="00A13C0C"/>
    <w:rsid w:val="00A40C60"/>
    <w:rsid w:val="00AA724F"/>
    <w:rsid w:val="00AB0F2F"/>
    <w:rsid w:val="00AB1166"/>
    <w:rsid w:val="00AB27C1"/>
    <w:rsid w:val="00AF090D"/>
    <w:rsid w:val="00AF33CA"/>
    <w:rsid w:val="00AF4B5F"/>
    <w:rsid w:val="00B204FF"/>
    <w:rsid w:val="00B20DA0"/>
    <w:rsid w:val="00B321BF"/>
    <w:rsid w:val="00B33273"/>
    <w:rsid w:val="00B57215"/>
    <w:rsid w:val="00BB69C2"/>
    <w:rsid w:val="00C54CF3"/>
    <w:rsid w:val="00CA7EF9"/>
    <w:rsid w:val="00CB06D5"/>
    <w:rsid w:val="00CF143F"/>
    <w:rsid w:val="00D51FFC"/>
    <w:rsid w:val="00D56E2A"/>
    <w:rsid w:val="00D57D2B"/>
    <w:rsid w:val="00D73AB8"/>
    <w:rsid w:val="00DB5E09"/>
    <w:rsid w:val="00E52ACC"/>
    <w:rsid w:val="00E70C6F"/>
    <w:rsid w:val="00EA168D"/>
    <w:rsid w:val="00EC0897"/>
    <w:rsid w:val="00EC540A"/>
    <w:rsid w:val="00EF4BC9"/>
    <w:rsid w:val="00F25AA8"/>
    <w:rsid w:val="00F30A2C"/>
    <w:rsid w:val="00F33272"/>
    <w:rsid w:val="00F752DB"/>
    <w:rsid w:val="00F81DE9"/>
    <w:rsid w:val="00F85F64"/>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uiPriority w:val="9"/>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083269"/>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083269"/>
    <w:pPr>
      <w:tabs>
        <w:tab w:val="right" w:leader="dot" w:pos="9346"/>
      </w:tabs>
      <w:spacing w:after="100" w:line="260" w:lineRule="exact"/>
    </w:pPr>
  </w:style>
  <w:style w:type="paragraph" w:styleId="TOC2">
    <w:name w:val="toc 2"/>
    <w:basedOn w:val="Normal"/>
    <w:next w:val="Normal"/>
    <w:autoRedefine/>
    <w:uiPriority w:val="39"/>
    <w:unhideWhenUsed/>
    <w:qFormat/>
    <w:rsid w:val="00083269"/>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083269"/>
    <w:pPr>
      <w:tabs>
        <w:tab w:val="left" w:pos="1100"/>
        <w:tab w:val="right" w:leader="dot" w:pos="9346"/>
      </w:tabs>
      <w:spacing w:after="100" w:line="260" w:lineRule="exact"/>
      <w:ind w:left="400"/>
    </w:pPr>
  </w:style>
  <w:style w:type="paragraph" w:styleId="FootnoteText">
    <w:name w:val="footnote text"/>
    <w:basedOn w:val="Normal"/>
    <w:link w:val="FootnoteTextChar"/>
    <w:unhideWhenUsed/>
    <w:rsid w:val="00083269"/>
    <w:pPr>
      <w:spacing w:after="0"/>
    </w:pPr>
    <w:rPr>
      <w:szCs w:val="20"/>
    </w:rPr>
  </w:style>
  <w:style w:type="character" w:customStyle="1" w:styleId="FootnoteTextChar">
    <w:name w:val="Footnote Text Char"/>
    <w:basedOn w:val="DefaultParagraphFont"/>
    <w:link w:val="FootnoteText"/>
    <w:rsid w:val="00083269"/>
    <w:rPr>
      <w:rFonts w:ascii="Arial" w:hAnsi="Arial"/>
      <w:sz w:val="20"/>
      <w:szCs w:val="20"/>
    </w:rPr>
  </w:style>
  <w:style w:type="character" w:styleId="FootnoteReference">
    <w:name w:val="footnote reference"/>
    <w:basedOn w:val="DefaultParagraphFont"/>
    <w:semiHidden/>
    <w:unhideWhenUsed/>
    <w:rsid w:val="00083269"/>
    <w:rPr>
      <w:vertAlign w:val="superscript"/>
    </w:rPr>
  </w:style>
  <w:style w:type="paragraph" w:customStyle="1" w:styleId="Introparagraph">
    <w:name w:val="Intro paragraph"/>
    <w:basedOn w:val="Normal"/>
    <w:link w:val="IntroparagraphChar"/>
    <w:qFormat/>
    <w:rsid w:val="00083269"/>
    <w:pPr>
      <w:suppressAutoHyphens/>
      <w:autoSpaceDE w:val="0"/>
      <w:autoSpaceDN w:val="0"/>
      <w:adjustRightInd w:val="0"/>
      <w:spacing w:before="200" w:after="0" w:line="288" w:lineRule="auto"/>
      <w:textAlignment w:val="center"/>
    </w:pPr>
    <w:rPr>
      <w:rFonts w:eastAsia="Times New Roman" w:cs="Arial"/>
      <w:color w:val="0083C8"/>
      <w:sz w:val="32"/>
      <w:szCs w:val="32"/>
      <w:lang w:val="en-US" w:eastAsia="en-AU"/>
    </w:rPr>
  </w:style>
  <w:style w:type="character" w:customStyle="1" w:styleId="IntroparagraphChar">
    <w:name w:val="Intro paragraph Char"/>
    <w:link w:val="Introparagraph"/>
    <w:rsid w:val="00083269"/>
    <w:rPr>
      <w:rFonts w:ascii="Arial" w:eastAsia="Times New Roman" w:hAnsi="Arial" w:cs="Arial"/>
      <w:color w:val="0083C8"/>
      <w:sz w:val="32"/>
      <w:szCs w:val="32"/>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miers.qld.gov.au/publications/categories/policies-and-codes/code-of-conduct.aspx" TargetMode="External"/><Relationship Id="rId18" Type="http://schemas.openxmlformats.org/officeDocument/2006/relationships/hyperlink" Target="https://www.ccc.wa.gov.au/sites/default/files/Misconduct%20Allegation%20in%20Relation%20to%20the%20Purchase%20of%20Toner%20Cartridges%20in%20Exchange%20for%20Gift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ccc.gov.au/system/files/1646_Cartels%20deterrence%20and%20detection-a%20guide%20for%20government%20procurement%20professionals_FA.pdf" TargetMode="External"/><Relationship Id="rId7" Type="http://schemas.openxmlformats.org/officeDocument/2006/relationships/webSettings" Target="webSettings.xml"/><Relationship Id="rId12" Type="http://schemas.openxmlformats.org/officeDocument/2006/relationships/hyperlink" Target="https://www.legislation.qld.gov.au/view/html/inforce/current/act-1994-067" TargetMode="External"/><Relationship Id="rId17" Type="http://schemas.openxmlformats.org/officeDocument/2006/relationships/hyperlink" Target="https://www.forgov.qld.gov.au/pay-benefits-and-policy/directives-policies-circulars-and-guidelines/gifts-and-benefits-directive-220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qgad.epw.qld.gov.au/arrangement/66a9d1ca-6be7-415c-a9a1-4d6ad53584a7?returnToSearchResults=true" TargetMode="External"/><Relationship Id="rId20" Type="http://schemas.openxmlformats.org/officeDocument/2006/relationships/hyperlink" Target="https://www.forgov.qld.gov.au/finance-procurement-and-travel/procurement/procurement-resources/search-for-procurement-policies-resources-tools-and-templates/use-of-probity-auditors-and-adviso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forgov.qld.gov.au/finance-procurement-and-travel/procurement/procurement-resources/search-for-procurement-policies-resources-tools-and-templates/use-of-probity-auditors-and-advisors"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http://www.austlii.edu.au/au/other/VicOmbPRp/2011/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cc.qld.gov.au/publications/corruption-prevention-advisories"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bac.vic.gov.au/publications-and-resources/article/op-dunham-sr-jan-17" TargetMode="External"/><Relationship Id="rId2" Type="http://schemas.openxmlformats.org/officeDocument/2006/relationships/hyperlink" Target="https://www.integrity.qld.gov.au/" TargetMode="External"/><Relationship Id="rId1" Type="http://schemas.openxmlformats.org/officeDocument/2006/relationships/hyperlink" Target="https://www.legislation.qld.gov.au/view/pdf/inforce/current/act-2009-05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2.xml><?xml version="1.0" encoding="utf-8"?>
<ds:datastoreItem xmlns:ds="http://schemas.openxmlformats.org/officeDocument/2006/customXml" ds:itemID="{3A60046A-0FE2-4C0C-A813-9F975CD3C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35E35-A229-49C6-B75E-B27C2ED723D1}">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5ec4e1a3-9465-43a5-9858-85b06e73710c"/>
    <ds:schemaRef ds:uri="http://www.w3.org/XML/1998/namespace"/>
    <ds:schemaRef ds:uri="2f64b93e-5338-4201-ad42-2a14a08fead3"/>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5552</Words>
  <Characters>36034</Characters>
  <Application>Microsoft Office Word</Application>
  <DocSecurity>0</DocSecurity>
  <Lines>529</Lines>
  <Paragraphs>335</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41251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Probity and integrity in procurement guide</dc:title>
  <dc:subject/>
  <dc:creator>Queensland Government</dc:creator>
  <cp:keywords>A4, portrait, template, cover, document</cp:keywords>
  <dc:description/>
  <cp:lastModifiedBy>Diana Chalmers</cp:lastModifiedBy>
  <cp:revision>8</cp:revision>
  <cp:lastPrinted>2023-06-07T00:24:00Z</cp:lastPrinted>
  <dcterms:created xsi:type="dcterms:W3CDTF">2025-06-05T04:50:00Z</dcterms:created>
  <dcterms:modified xsi:type="dcterms:W3CDTF">2025-09-02T22:33:00Z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