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DE6D" w14:textId="77777777" w:rsidR="00886971" w:rsidRPr="004D349C" w:rsidRDefault="00886971" w:rsidP="00574EFB">
      <w:pPr>
        <w:pStyle w:val="Heading1"/>
      </w:pPr>
      <w:r w:rsidRPr="004D349C">
        <w:t>A guide to human-centred design procurement in the Queensland Government</w:t>
      </w:r>
    </w:p>
    <w:p w14:paraId="2B91E455" w14:textId="77777777" w:rsidR="00886971" w:rsidRDefault="00886971" w:rsidP="00574EFB"/>
    <w:p w14:paraId="3CA6E3FD" w14:textId="70487FD2" w:rsidR="00886971" w:rsidRPr="00886971" w:rsidRDefault="00886971" w:rsidP="00574EFB">
      <w:r w:rsidRPr="00886971">
        <w:t xml:space="preserve">A companion guide for the Queensland HCD Toolkit to help </w:t>
      </w:r>
      <w:r w:rsidR="008654DB">
        <w:t>with</w:t>
      </w:r>
      <w:r w:rsidRPr="00886971">
        <w:t xml:space="preserve"> the procurement of design resources for projects.</w:t>
      </w:r>
    </w:p>
    <w:p w14:paraId="44562083" w14:textId="42FD257F" w:rsidR="00886971" w:rsidRDefault="00886971" w:rsidP="008654DB">
      <w:pPr>
        <w:pStyle w:val="Heading2"/>
      </w:pPr>
      <w:r w:rsidRPr="00CC0C1F">
        <w:t>Why this guide?</w:t>
      </w:r>
    </w:p>
    <w:p w14:paraId="3D640093" w14:textId="16F15BA9" w:rsidR="00886971" w:rsidRDefault="00886971" w:rsidP="00574EFB">
      <w:r w:rsidRPr="00C9372F">
        <w:t>This guide aims to assist public servants who are looking to engage HCD (human-centred design) vendor resources and services.</w:t>
      </w:r>
    </w:p>
    <w:p w14:paraId="4076EDC2" w14:textId="77777777" w:rsidR="00886971" w:rsidRPr="00C9372F" w:rsidRDefault="00886971" w:rsidP="00574EFB"/>
    <w:p w14:paraId="5A8EBEAF" w14:textId="24F14E66" w:rsidR="00886971" w:rsidRDefault="00886971" w:rsidP="00574EFB">
      <w:r w:rsidRPr="00C9372F">
        <w:t>Our focus is to help support better engagement between public sector agencies and external vendors and deliver great customer services.</w:t>
      </w:r>
    </w:p>
    <w:p w14:paraId="24B9581A" w14:textId="77777777" w:rsidR="00886971" w:rsidRDefault="00886971" w:rsidP="00574EFB"/>
    <w:p w14:paraId="3138C0FF" w14:textId="6AA7084E" w:rsidR="00886971" w:rsidRDefault="00886971" w:rsidP="008654DB">
      <w:pPr>
        <w:pStyle w:val="Heading2"/>
      </w:pPr>
      <w:r w:rsidRPr="00CC0C1F">
        <w:t>A refresher - HCD in Queensland Government</w:t>
      </w:r>
    </w:p>
    <w:p w14:paraId="6BCB601B" w14:textId="790ADFCD" w:rsidR="00886971" w:rsidRDefault="00886971" w:rsidP="00574EFB">
      <w:r w:rsidRPr="00F837F7">
        <w:t>HCD, as we apply it in government, is a three-phased approach to problem-solving that places the needs of people at the centre of the process.</w:t>
      </w:r>
    </w:p>
    <w:p w14:paraId="7432D155" w14:textId="77777777" w:rsidR="00886971" w:rsidRPr="00F837F7" w:rsidRDefault="00886971" w:rsidP="00574EFB"/>
    <w:p w14:paraId="047C7D8B" w14:textId="77777777" w:rsidR="00886971" w:rsidRDefault="00886971" w:rsidP="00574EFB">
      <w:r w:rsidRPr="00F837F7">
        <w:t>HCD involves people in all stages of the process – gathering insights, customer research, exploring many ideas through testing and refining possible solutions and the evaluation of the effectiveness of the outcome.</w:t>
      </w:r>
    </w:p>
    <w:p w14:paraId="4304F9E5" w14:textId="77777777" w:rsidR="00886971" w:rsidRDefault="00886971" w:rsidP="00574EFB"/>
    <w:p w14:paraId="2348BCEC" w14:textId="77777777" w:rsidR="00886971" w:rsidRDefault="00886971" w:rsidP="00574EFB"/>
    <w:p w14:paraId="5C95AEE0" w14:textId="601F317F" w:rsidR="00886971" w:rsidRPr="000D5871" w:rsidRDefault="00886971" w:rsidP="002123DA">
      <w:pPr>
        <w:jc w:val="center"/>
      </w:pPr>
      <w:r w:rsidRPr="000D5871">
        <w:rPr>
          <w:noProof/>
        </w:rPr>
        <w:drawing>
          <wp:inline distT="0" distB="0" distL="0" distR="0" wp14:anchorId="7562B119" wp14:editId="6630F13C">
            <wp:extent cx="5003321" cy="2019300"/>
            <wp:effectExtent l="0" t="0" r="6985" b="0"/>
            <wp:docPr id="1073741835" name="Picture 1073741835" descr="Diagram shows the key stages of the human-centred design process that occur after planning, includes step 1. understand and define (problem is defined), step 2. explore and refine (solution is defined), step 3. implement and evaluate. Outcomes of all stages should be shared."/>
            <wp:cNvGraphicFramePr/>
            <a:graphic xmlns:a="http://schemas.openxmlformats.org/drawingml/2006/main">
              <a:graphicData uri="http://schemas.openxmlformats.org/drawingml/2006/picture">
                <pic:pic xmlns:pic="http://schemas.openxmlformats.org/drawingml/2006/picture">
                  <pic:nvPicPr>
                    <pic:cNvPr id="1073741835" name="officeArt object" descr="Diagram shows the key stages of the human-centred design process that occur after planning, includes step 1. understand and define (problem is defined), step 2. explore and refine (solution is defined), step 3. implement and evaluate. Outcomes of all stages should be shared."/>
                    <pic:cNvPicPr>
                      <a:picLocks noChangeAspect="1"/>
                    </pic:cNvPicPr>
                  </pic:nvPicPr>
                  <pic:blipFill>
                    <a:blip r:embed="rId11" cstate="print">
                      <a:extLst>
                        <a:ext uri="{28A0092B-C50C-407E-A947-70E740481C1C}">
                          <a14:useLocalDpi xmlns:a14="http://schemas.microsoft.com/office/drawing/2010/main" val="0"/>
                        </a:ext>
                      </a:extLst>
                    </a:blip>
                    <a:srcRect t="6666" b="6665"/>
                    <a:stretch>
                      <a:fillRect/>
                    </a:stretch>
                  </pic:blipFill>
                  <pic:spPr>
                    <a:xfrm>
                      <a:off x="0" y="0"/>
                      <a:ext cx="5007551" cy="2021007"/>
                    </a:xfrm>
                    <a:prstGeom prst="rect">
                      <a:avLst/>
                    </a:prstGeom>
                    <a:ln w="12700" cap="flat">
                      <a:noFill/>
                      <a:miter lim="400000"/>
                    </a:ln>
                    <a:effectLst/>
                  </pic:spPr>
                </pic:pic>
              </a:graphicData>
            </a:graphic>
          </wp:inline>
        </w:drawing>
      </w:r>
    </w:p>
    <w:p w14:paraId="74FDC5F4" w14:textId="77777777" w:rsidR="00B55032" w:rsidRDefault="00B55032" w:rsidP="00574EFB"/>
    <w:p w14:paraId="4B1AD9B7" w14:textId="77777777" w:rsidR="00886971" w:rsidRDefault="00886971" w:rsidP="00574EFB"/>
    <w:p w14:paraId="3AC62C28" w14:textId="77777777" w:rsidR="00886971" w:rsidRDefault="00886971" w:rsidP="00574EFB">
      <w:r w:rsidRPr="00886971">
        <w:t>Planning is critical to getting the team set up for success and making sure you have an idea of the goals and purpose of your HCD process:</w:t>
      </w:r>
    </w:p>
    <w:p w14:paraId="7A2A168D" w14:textId="77777777" w:rsidR="00886971" w:rsidRPr="00886971" w:rsidRDefault="00886971" w:rsidP="00574EFB"/>
    <w:p w14:paraId="5F98C04A" w14:textId="77777777" w:rsidR="00886971" w:rsidRPr="00886971" w:rsidRDefault="00886971" w:rsidP="00574EFB">
      <w:pPr>
        <w:pStyle w:val="ListParagraph"/>
        <w:numPr>
          <w:ilvl w:val="0"/>
          <w:numId w:val="7"/>
        </w:numPr>
      </w:pPr>
      <w:r w:rsidRPr="00886971">
        <w:t>What is the problem you are trying to solve?</w:t>
      </w:r>
    </w:p>
    <w:p w14:paraId="0215B4D9" w14:textId="77777777" w:rsidR="00886971" w:rsidRPr="00886971" w:rsidRDefault="00886971" w:rsidP="00574EFB">
      <w:pPr>
        <w:pStyle w:val="ListParagraph"/>
        <w:numPr>
          <w:ilvl w:val="0"/>
          <w:numId w:val="7"/>
        </w:numPr>
      </w:pPr>
      <w:r w:rsidRPr="00886971">
        <w:t>Who will be involved in the project and when?</w:t>
      </w:r>
    </w:p>
    <w:p w14:paraId="15C793C5" w14:textId="77777777" w:rsidR="00886971" w:rsidRPr="00886971" w:rsidRDefault="00886971" w:rsidP="00574EFB">
      <w:pPr>
        <w:pStyle w:val="ListParagraph"/>
        <w:numPr>
          <w:ilvl w:val="0"/>
          <w:numId w:val="7"/>
        </w:numPr>
      </w:pPr>
      <w:r w:rsidRPr="00886971">
        <w:t>Timelines, key milestones and activities.</w:t>
      </w:r>
    </w:p>
    <w:p w14:paraId="247CA31E" w14:textId="77777777" w:rsidR="00886971" w:rsidRPr="00886971" w:rsidRDefault="00886971" w:rsidP="00574EFB">
      <w:pPr>
        <w:pStyle w:val="ListParagraph"/>
        <w:numPr>
          <w:ilvl w:val="0"/>
          <w:numId w:val="7"/>
        </w:numPr>
      </w:pPr>
      <w:r w:rsidRPr="00886971">
        <w:t xml:space="preserve">Plan </w:t>
      </w:r>
      <w:proofErr w:type="gramStart"/>
      <w:r w:rsidRPr="00886971">
        <w:t>share</w:t>
      </w:r>
      <w:proofErr w:type="gramEnd"/>
      <w:r w:rsidRPr="00886971">
        <w:t xml:space="preserve"> back sessions with sponsors.</w:t>
      </w:r>
    </w:p>
    <w:p w14:paraId="5C8A895E" w14:textId="14CB24FB" w:rsidR="00886971" w:rsidRDefault="00886971" w:rsidP="00574EFB">
      <w:r w:rsidRPr="00886971">
        <w:br/>
        <w:t>Having executive sponsorship, governance and procurement approaches in mind will make the overall process much smoother.</w:t>
      </w:r>
    </w:p>
    <w:p w14:paraId="50566F73" w14:textId="77777777" w:rsidR="00886971" w:rsidRDefault="00886971" w:rsidP="00574EFB">
      <w:r>
        <w:br w:type="page"/>
      </w:r>
    </w:p>
    <w:p w14:paraId="673B536F" w14:textId="6D97CB2F" w:rsidR="00886971" w:rsidRPr="00886971" w:rsidRDefault="00886971" w:rsidP="008654DB">
      <w:pPr>
        <w:pStyle w:val="Heading2"/>
      </w:pPr>
      <w:r w:rsidRPr="00CC0C1F">
        <w:lastRenderedPageBreak/>
        <w:t>Three diamonds and procurement</w:t>
      </w:r>
    </w:p>
    <w:p w14:paraId="5C101A13" w14:textId="0EE8595C" w:rsidR="00886971" w:rsidRPr="00574EFB" w:rsidRDefault="00886971" w:rsidP="00574EFB">
      <w:r w:rsidRPr="00574EFB">
        <w:t xml:space="preserve">Traditional procurement is often focused on a pre-determined deliverable or defined solution, for example, a new website, a building, an order of stationery. Using </w:t>
      </w:r>
      <w:proofErr w:type="gramStart"/>
      <w:r w:rsidRPr="00574EFB">
        <w:t>a HCD</w:t>
      </w:r>
      <w:proofErr w:type="gramEnd"/>
      <w:r w:rsidRPr="00574EFB">
        <w:t xml:space="preserve"> approach the aim is to explore what the problem is with customers, which supports developing the right solution.</w:t>
      </w:r>
    </w:p>
    <w:p w14:paraId="2351996F" w14:textId="77777777" w:rsidR="00886971" w:rsidRPr="00574EFB" w:rsidRDefault="00886971" w:rsidP="00574EFB"/>
    <w:p w14:paraId="70C54302" w14:textId="77777777" w:rsidR="00886971" w:rsidRPr="00574EFB" w:rsidRDefault="00886971" w:rsidP="00574EFB">
      <w:r w:rsidRPr="00574EFB">
        <w:t>To support the shift in culture away from defining the solution prior to the procurement, a two-part procurement process can be used:</w:t>
      </w:r>
    </w:p>
    <w:p w14:paraId="1DB5C0CB" w14:textId="77777777" w:rsidR="00886971" w:rsidRPr="00574EFB" w:rsidRDefault="00886971" w:rsidP="00574EFB"/>
    <w:p w14:paraId="5AA8AA72" w14:textId="77777777" w:rsidR="00886971" w:rsidRPr="00574EFB" w:rsidRDefault="00886971" w:rsidP="00574EFB">
      <w:r w:rsidRPr="00574EFB">
        <w:t xml:space="preserve">Procure </w:t>
      </w:r>
      <w:proofErr w:type="gramStart"/>
      <w:r w:rsidRPr="00574EFB">
        <w:t>the for</w:t>
      </w:r>
      <w:proofErr w:type="gramEnd"/>
      <w:r w:rsidRPr="00574EFB">
        <w:t xml:space="preserve"> first two phases of design and prototyping which can be tested with customers.</w:t>
      </w:r>
    </w:p>
    <w:p w14:paraId="139FC809" w14:textId="77777777" w:rsidR="00886971" w:rsidRPr="00574EFB" w:rsidRDefault="00886971" w:rsidP="00574EFB">
      <w:proofErr w:type="gramStart"/>
      <w:r w:rsidRPr="00574EFB">
        <w:t>Procure for</w:t>
      </w:r>
      <w:proofErr w:type="gramEnd"/>
      <w:r w:rsidRPr="00574EFB">
        <w:t xml:space="preserve"> the </w:t>
      </w:r>
      <w:proofErr w:type="gramStart"/>
      <w:r w:rsidRPr="00574EFB">
        <w:t>implement</w:t>
      </w:r>
      <w:proofErr w:type="gramEnd"/>
      <w:r w:rsidRPr="00574EFB">
        <w:t xml:space="preserve"> and evaluate phase afterward, once you know you have a potential solution.</w:t>
      </w:r>
    </w:p>
    <w:p w14:paraId="5B1FE8DD" w14:textId="77777777" w:rsidR="00886971" w:rsidRDefault="00886971" w:rsidP="008654DB">
      <w:pPr>
        <w:jc w:val="center"/>
      </w:pPr>
      <w:r w:rsidRPr="000D5871">
        <w:rPr>
          <w:noProof/>
        </w:rPr>
        <w:drawing>
          <wp:inline distT="0" distB="0" distL="0" distR="0" wp14:anchorId="1C3074AC" wp14:editId="09F8B797">
            <wp:extent cx="5765165" cy="1752600"/>
            <wp:effectExtent l="0" t="0" r="6985" b="0"/>
            <wp:docPr id="15" name="Picture 15" descr="Diagram shows the two-part procurement process within the human-centred design stages, includes step 1. procure, understand and explore, step 2. understand and define, step 3. explore and refine, step 4. procure implement, and step 5. implement and evalu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shows the two-part procurement process within the human-centred design stages, includes step 1. procure, understand and explore, step 2. understand and define, step 3. explore and refine, step 4. procure implement, and step 5. implement and evaluate."/>
                    <pic:cNvPicPr/>
                  </pic:nvPicPr>
                  <pic:blipFill rotWithShape="1">
                    <a:blip r:embed="rId12">
                      <a:extLst>
                        <a:ext uri="{28A0092B-C50C-407E-A947-70E740481C1C}">
                          <a14:useLocalDpi xmlns:a14="http://schemas.microsoft.com/office/drawing/2010/main" val="0"/>
                        </a:ext>
                      </a:extLst>
                    </a:blip>
                    <a:srcRect t="11111"/>
                    <a:stretch/>
                  </pic:blipFill>
                  <pic:spPr bwMode="auto">
                    <a:xfrm>
                      <a:off x="0" y="0"/>
                      <a:ext cx="5765165" cy="1752600"/>
                    </a:xfrm>
                    <a:prstGeom prst="rect">
                      <a:avLst/>
                    </a:prstGeom>
                    <a:ln>
                      <a:noFill/>
                    </a:ln>
                    <a:extLst>
                      <a:ext uri="{53640926-AAD7-44D8-BBD7-CCE9431645EC}">
                        <a14:shadowObscured xmlns:a14="http://schemas.microsoft.com/office/drawing/2010/main"/>
                      </a:ext>
                    </a:extLst>
                  </pic:spPr>
                </pic:pic>
              </a:graphicData>
            </a:graphic>
          </wp:inline>
        </w:drawing>
      </w:r>
    </w:p>
    <w:p w14:paraId="01F505C3" w14:textId="77777777" w:rsidR="00886971" w:rsidRDefault="00886971" w:rsidP="00574EFB"/>
    <w:p w14:paraId="73C9B4F8" w14:textId="06C781AE" w:rsidR="00886971" w:rsidRDefault="00886971" w:rsidP="00574EFB">
      <w:r>
        <w:t xml:space="preserve">You do not necessarily need to separate your procurement into two phases, but this may be helpful if you are not sure about the budgetary implications of potential solutions and/or </w:t>
      </w:r>
      <w:proofErr w:type="gramStart"/>
      <w:r>
        <w:t>you need</w:t>
      </w:r>
      <w:proofErr w:type="gramEnd"/>
      <w:r>
        <w:t xml:space="preserve"> to satisfy internal governance stage gates.</w:t>
      </w:r>
      <w:r>
        <w:br/>
      </w:r>
    </w:p>
    <w:p w14:paraId="72EA472F" w14:textId="2DDE119B" w:rsidR="00886971" w:rsidRPr="00886971" w:rsidRDefault="00886971" w:rsidP="008654DB">
      <w:pPr>
        <w:pStyle w:val="Heading2"/>
      </w:pPr>
      <w:r w:rsidRPr="00CC0C1F">
        <w:t>Let</w:t>
      </w:r>
      <w:r>
        <w:t>’</w:t>
      </w:r>
      <w:r w:rsidRPr="00CC0C1F">
        <w:t>s get started</w:t>
      </w:r>
    </w:p>
    <w:p w14:paraId="066CE1F7" w14:textId="77777777" w:rsidR="00886971" w:rsidRDefault="00886971" w:rsidP="00574EFB">
      <w:r w:rsidRPr="005D4F30">
        <w:t xml:space="preserve">To help set your team up for success and get the best match of HCD services for the problem you want to solve, some of the things you may consider in your preparation may be: </w:t>
      </w:r>
    </w:p>
    <w:p w14:paraId="016DC533" w14:textId="77777777" w:rsidR="00886971" w:rsidRPr="005D4F30" w:rsidRDefault="00886971" w:rsidP="00574EFB"/>
    <w:p w14:paraId="1A257FF9" w14:textId="77777777" w:rsidR="00886971" w:rsidRPr="00886971" w:rsidRDefault="00886971" w:rsidP="00574EFB">
      <w:pPr>
        <w:pStyle w:val="ListParagraph"/>
      </w:pPr>
      <w:r w:rsidRPr="00886971">
        <w:t>gather a general overview of your business and services delivered to your customers</w:t>
      </w:r>
    </w:p>
    <w:p w14:paraId="2BAB32A0" w14:textId="77777777" w:rsidR="00886971" w:rsidRPr="00886971" w:rsidRDefault="00886971" w:rsidP="00574EFB">
      <w:pPr>
        <w:pStyle w:val="ListParagraph"/>
      </w:pPr>
      <w:proofErr w:type="gramStart"/>
      <w:r w:rsidRPr="00886971">
        <w:t>try</w:t>
      </w:r>
      <w:proofErr w:type="gramEnd"/>
      <w:r w:rsidRPr="00886971">
        <w:t xml:space="preserve"> to understand the </w:t>
      </w:r>
      <w:proofErr w:type="gramStart"/>
      <w:r w:rsidRPr="00886971">
        <w:t>problem/s</w:t>
      </w:r>
      <w:proofErr w:type="gramEnd"/>
      <w:r w:rsidRPr="00886971">
        <w:t xml:space="preserve"> and customer pain points</w:t>
      </w:r>
    </w:p>
    <w:p w14:paraId="61C1DC52" w14:textId="77777777" w:rsidR="00886971" w:rsidRPr="00886971" w:rsidRDefault="00886971" w:rsidP="00574EFB">
      <w:pPr>
        <w:pStyle w:val="ListParagraph"/>
      </w:pPr>
      <w:r w:rsidRPr="00886971">
        <w:t>resources that you can commit to the process</w:t>
      </w:r>
    </w:p>
    <w:p w14:paraId="652E1878" w14:textId="77777777" w:rsidR="00886971" w:rsidRPr="00886971" w:rsidRDefault="00886971" w:rsidP="00574EFB">
      <w:pPr>
        <w:pStyle w:val="ListParagraph"/>
      </w:pPr>
      <w:r w:rsidRPr="00886971">
        <w:t>potential budget for the work</w:t>
      </w:r>
    </w:p>
    <w:p w14:paraId="346D95E7" w14:textId="77777777" w:rsidR="00886971" w:rsidRPr="00886971" w:rsidRDefault="00886971" w:rsidP="00574EFB">
      <w:pPr>
        <w:pStyle w:val="ListParagraph"/>
      </w:pPr>
      <w:r w:rsidRPr="00886971">
        <w:t>governance approach and sponsorship.</w:t>
      </w:r>
    </w:p>
    <w:p w14:paraId="6B1C7E61" w14:textId="77777777" w:rsidR="00886971" w:rsidRDefault="00886971" w:rsidP="00574EFB"/>
    <w:p w14:paraId="3F2949AC" w14:textId="77777777" w:rsidR="00886971" w:rsidRDefault="00886971" w:rsidP="008654DB">
      <w:pPr>
        <w:pStyle w:val="Heading2"/>
      </w:pPr>
      <w:r w:rsidRPr="00CC0C1F">
        <w:t>What skills do you need?</w:t>
      </w:r>
    </w:p>
    <w:p w14:paraId="2DFC1DD5" w14:textId="77777777" w:rsidR="00886971" w:rsidRDefault="00886971" w:rsidP="00574EFB">
      <w:r>
        <w:t>The following roles are commonly a part of the mix for HCD:</w:t>
      </w:r>
    </w:p>
    <w:p w14:paraId="7B0F7F22" w14:textId="77777777" w:rsidR="00886971" w:rsidRDefault="00886971" w:rsidP="00574EFB"/>
    <w:p w14:paraId="3C113FC2" w14:textId="77777777" w:rsidR="00886971" w:rsidRPr="00035A00" w:rsidRDefault="00886971" w:rsidP="00574EFB">
      <w:pPr>
        <w:pStyle w:val="ListParagraph"/>
        <w:numPr>
          <w:ilvl w:val="0"/>
          <w:numId w:val="9"/>
        </w:numPr>
      </w:pPr>
      <w:r w:rsidRPr="00035A00">
        <w:t>Executive sponsor (internal to government)</w:t>
      </w:r>
    </w:p>
    <w:p w14:paraId="7CC7C4F9" w14:textId="2EC69261" w:rsidR="00886971" w:rsidRPr="00035A00" w:rsidRDefault="00886971" w:rsidP="00574EFB">
      <w:pPr>
        <w:pStyle w:val="ListParagraph"/>
        <w:numPr>
          <w:ilvl w:val="0"/>
          <w:numId w:val="9"/>
        </w:numPr>
      </w:pPr>
      <w:r w:rsidRPr="00035A00">
        <w:t>Project lead (internal to government)</w:t>
      </w:r>
      <w:r w:rsidR="009B5F9E">
        <w:t>.</w:t>
      </w:r>
    </w:p>
    <w:p w14:paraId="7174A56E" w14:textId="77777777" w:rsidR="00886971" w:rsidRDefault="00886971" w:rsidP="00574EFB">
      <w:r>
        <w:br/>
      </w:r>
    </w:p>
    <w:p w14:paraId="21E85DF8" w14:textId="77777777" w:rsidR="00886971" w:rsidRDefault="00886971" w:rsidP="00574EFB">
      <w:r>
        <w:br w:type="page"/>
      </w:r>
    </w:p>
    <w:p w14:paraId="16DC79F3" w14:textId="00DD83F2" w:rsidR="00886971" w:rsidRDefault="00886971" w:rsidP="00574EFB">
      <w:r>
        <w:lastRenderedPageBreak/>
        <w:t xml:space="preserve">When you procure HCD services you may need the following (or you might have all or some of these skills </w:t>
      </w:r>
      <w:r w:rsidR="008654DB">
        <w:t>in-house</w:t>
      </w:r>
      <w:r>
        <w:t>):</w:t>
      </w:r>
    </w:p>
    <w:p w14:paraId="775AE4D4" w14:textId="77777777" w:rsidR="00886971" w:rsidRDefault="00886971" w:rsidP="00574EFB"/>
    <w:p w14:paraId="233F0B90" w14:textId="77777777" w:rsidR="00886971" w:rsidRPr="00035A00" w:rsidRDefault="00886971" w:rsidP="00574EFB">
      <w:pPr>
        <w:pStyle w:val="ListParagraph"/>
        <w:numPr>
          <w:ilvl w:val="0"/>
          <w:numId w:val="10"/>
        </w:numPr>
      </w:pPr>
      <w:r w:rsidRPr="00035A00">
        <w:t>Customer experience (CX) lead</w:t>
      </w:r>
    </w:p>
    <w:p w14:paraId="44AB5433" w14:textId="77777777" w:rsidR="00886971" w:rsidRPr="00E26AE2" w:rsidRDefault="00886971" w:rsidP="00574EFB">
      <w:pPr>
        <w:pStyle w:val="ListParagraph"/>
        <w:numPr>
          <w:ilvl w:val="0"/>
          <w:numId w:val="10"/>
        </w:numPr>
      </w:pPr>
      <w:r w:rsidRPr="00E26AE2">
        <w:t>User experience (UX) designer</w:t>
      </w:r>
    </w:p>
    <w:p w14:paraId="7BCA0DE7" w14:textId="77777777" w:rsidR="00886971" w:rsidRPr="00E26AE2" w:rsidRDefault="00886971" w:rsidP="00574EFB">
      <w:pPr>
        <w:pStyle w:val="ListParagraph"/>
        <w:numPr>
          <w:ilvl w:val="0"/>
          <w:numId w:val="10"/>
        </w:numPr>
      </w:pPr>
      <w:r w:rsidRPr="00E26AE2">
        <w:t>Insights analyst</w:t>
      </w:r>
    </w:p>
    <w:p w14:paraId="11844DE8" w14:textId="77777777" w:rsidR="00886971" w:rsidRPr="00E26AE2" w:rsidRDefault="00886971" w:rsidP="00574EFB">
      <w:pPr>
        <w:pStyle w:val="ListParagraph"/>
        <w:numPr>
          <w:ilvl w:val="0"/>
          <w:numId w:val="10"/>
        </w:numPr>
      </w:pPr>
      <w:r w:rsidRPr="00E26AE2">
        <w:t>Business/technical analyst</w:t>
      </w:r>
    </w:p>
    <w:p w14:paraId="1BAD81D8" w14:textId="77777777" w:rsidR="00886971" w:rsidRPr="00E26AE2" w:rsidRDefault="00886971" w:rsidP="00574EFB">
      <w:pPr>
        <w:pStyle w:val="ListParagraph"/>
        <w:numPr>
          <w:ilvl w:val="0"/>
          <w:numId w:val="10"/>
        </w:numPr>
      </w:pPr>
      <w:r w:rsidRPr="00E26AE2">
        <w:t>User interface designer</w:t>
      </w:r>
    </w:p>
    <w:p w14:paraId="6A5AF6A9" w14:textId="77777777" w:rsidR="00886971" w:rsidRPr="00E26AE2" w:rsidRDefault="00886971" w:rsidP="00574EFB">
      <w:pPr>
        <w:pStyle w:val="ListParagraph"/>
        <w:numPr>
          <w:ilvl w:val="0"/>
          <w:numId w:val="10"/>
        </w:numPr>
      </w:pPr>
      <w:r w:rsidRPr="00E26AE2">
        <w:t>Solution architect</w:t>
      </w:r>
    </w:p>
    <w:p w14:paraId="3EB59E44" w14:textId="77777777" w:rsidR="00886971" w:rsidRPr="00E26AE2" w:rsidRDefault="00886971" w:rsidP="00574EFB">
      <w:pPr>
        <w:pStyle w:val="ListParagraph"/>
        <w:numPr>
          <w:ilvl w:val="0"/>
          <w:numId w:val="10"/>
        </w:numPr>
      </w:pPr>
      <w:r w:rsidRPr="00E26AE2">
        <w:t>Content designer/writer</w:t>
      </w:r>
    </w:p>
    <w:p w14:paraId="58856D9E" w14:textId="77777777" w:rsidR="00886971" w:rsidRPr="00E26AE2" w:rsidRDefault="00886971" w:rsidP="00574EFB">
      <w:pPr>
        <w:pStyle w:val="ListParagraph"/>
        <w:numPr>
          <w:ilvl w:val="0"/>
          <w:numId w:val="10"/>
        </w:numPr>
      </w:pPr>
      <w:r w:rsidRPr="00E26AE2">
        <w:t>Developer</w:t>
      </w:r>
    </w:p>
    <w:p w14:paraId="11CB3B37" w14:textId="77777777" w:rsidR="00886971" w:rsidRPr="00E26AE2" w:rsidRDefault="00886971" w:rsidP="00574EFB">
      <w:pPr>
        <w:pStyle w:val="ListParagraph"/>
        <w:numPr>
          <w:ilvl w:val="0"/>
          <w:numId w:val="10"/>
        </w:numPr>
      </w:pPr>
      <w:r w:rsidRPr="00E26AE2">
        <w:t>Tester</w:t>
      </w:r>
    </w:p>
    <w:p w14:paraId="3CAB6746" w14:textId="12EA667D" w:rsidR="00886971" w:rsidRPr="00E26AE2" w:rsidRDefault="00886971" w:rsidP="00574EFB">
      <w:pPr>
        <w:pStyle w:val="ListParagraph"/>
        <w:numPr>
          <w:ilvl w:val="0"/>
          <w:numId w:val="10"/>
        </w:numPr>
      </w:pPr>
      <w:r w:rsidRPr="00E26AE2">
        <w:t>Change manager</w:t>
      </w:r>
      <w:r w:rsidR="009B5F9E">
        <w:t>.</w:t>
      </w:r>
    </w:p>
    <w:p w14:paraId="245CF8B9" w14:textId="77777777" w:rsidR="0018153E" w:rsidRPr="000D5871" w:rsidRDefault="0018153E" w:rsidP="00574EFB"/>
    <w:p w14:paraId="007D55F9" w14:textId="77777777" w:rsidR="00A04981" w:rsidRPr="00CC0C1F" w:rsidRDefault="00A04981" w:rsidP="008654DB">
      <w:pPr>
        <w:pStyle w:val="Heading2"/>
      </w:pPr>
      <w:r w:rsidRPr="00CC0C1F">
        <w:t>Procuring through panels for vendors</w:t>
      </w:r>
    </w:p>
    <w:p w14:paraId="6357EDB3" w14:textId="1BDA61B5" w:rsidR="00A04981" w:rsidRDefault="00A04981" w:rsidP="00574EFB">
      <w:r>
        <w:t>If you have identified your team</w:t>
      </w:r>
      <w:r w:rsidR="00E21857">
        <w:t>’</w:t>
      </w:r>
      <w:r>
        <w:t>s current HCD capability and the type of service you think will meet your requirements, it’s time to engage with vendors.</w:t>
      </w:r>
    </w:p>
    <w:p w14:paraId="397A1373" w14:textId="77777777" w:rsidR="00A04981" w:rsidRDefault="00A04981" w:rsidP="00574EFB"/>
    <w:p w14:paraId="223952AC" w14:textId="35589E97" w:rsidR="00015E0F" w:rsidRDefault="00A04981" w:rsidP="00574EFB">
      <w:r>
        <w:t xml:space="preserve">There are multiple whole-of-government panels that can be used depending on your project needs. </w:t>
      </w:r>
    </w:p>
    <w:p w14:paraId="0D597E48" w14:textId="77777777" w:rsidR="00015E0F" w:rsidRDefault="00015E0F" w:rsidP="00574EFB"/>
    <w:p w14:paraId="195B3033" w14:textId="5DD5774C" w:rsidR="00A04981" w:rsidRDefault="00015E0F" w:rsidP="00574EFB">
      <w:r w:rsidRPr="00501E43">
        <w:t xml:space="preserve">These panels can all be found on The </w:t>
      </w:r>
      <w:hyperlink r:id="rId13" w:history="1">
        <w:r w:rsidRPr="00015E0F">
          <w:rPr>
            <w:rStyle w:val="Hyperlink"/>
            <w:color w:val="auto"/>
          </w:rPr>
          <w:t>Queensland Contracts Directory (QCD)</w:t>
        </w:r>
      </w:hyperlink>
      <w:r>
        <w:t>,</w:t>
      </w:r>
      <w:r w:rsidRPr="00501E43">
        <w:t xml:space="preserve"> an online service that provides information on procurement arrangements available across the Queensland Government and is hosted by the Queensland Government Procurement.</w:t>
      </w:r>
    </w:p>
    <w:p w14:paraId="1D834204" w14:textId="77777777" w:rsidR="00015E0F" w:rsidRDefault="00015E0F" w:rsidP="00574EFB"/>
    <w:p w14:paraId="21258637" w14:textId="36C4B911" w:rsidR="000035C0" w:rsidRDefault="00A04981" w:rsidP="00E21857">
      <w:pPr>
        <w:pStyle w:val="Heading3"/>
      </w:pPr>
      <w:r w:rsidRPr="00E21857">
        <w:t>Digital Capability development partnership agreement</w:t>
      </w:r>
      <w:r w:rsidRPr="00A04981">
        <w:t xml:space="preserve"> </w:t>
      </w:r>
    </w:p>
    <w:p w14:paraId="5A54E034" w14:textId="4FB44EFD" w:rsidR="00A04981" w:rsidRDefault="00517D31" w:rsidP="00574EFB">
      <w:r>
        <w:t>O</w:t>
      </w:r>
      <w:r w:rsidR="00A04981" w:rsidRPr="00FB38FD">
        <w:t>ffers vendors that can assist in the capability uplift throughout the end-to-end HCD services</w:t>
      </w:r>
      <w:r w:rsidR="00A04981" w:rsidRPr="00FE6791">
        <w:t>.</w:t>
      </w:r>
    </w:p>
    <w:p w14:paraId="16427631" w14:textId="77777777" w:rsidR="000035C0" w:rsidRPr="00FE6791" w:rsidRDefault="000035C0" w:rsidP="00574EFB"/>
    <w:tbl>
      <w:tblPr>
        <w:tblStyle w:val="TableGridLight"/>
        <w:tblW w:w="10201" w:type="dxa"/>
        <w:tblLook w:val="04A0" w:firstRow="1" w:lastRow="0" w:firstColumn="1" w:lastColumn="0" w:noHBand="0" w:noVBand="1"/>
      </w:tblPr>
      <w:tblGrid>
        <w:gridCol w:w="1701"/>
        <w:gridCol w:w="8500"/>
      </w:tblGrid>
      <w:tr w:rsidR="00A04981" w:rsidRPr="00585724" w14:paraId="64321D1D" w14:textId="77777777" w:rsidTr="0018153E">
        <w:trPr>
          <w:trHeight w:val="17"/>
        </w:trPr>
        <w:tc>
          <w:tcPr>
            <w:tcW w:w="1701" w:type="dxa"/>
          </w:tcPr>
          <w:p w14:paraId="052A1644" w14:textId="77777777" w:rsidR="00A04981" w:rsidRPr="00A04981" w:rsidRDefault="00A04981" w:rsidP="00574EFB">
            <w:r w:rsidRPr="00A04981">
              <w:t>SOA name</w:t>
            </w:r>
          </w:p>
        </w:tc>
        <w:tc>
          <w:tcPr>
            <w:tcW w:w="8500" w:type="dxa"/>
          </w:tcPr>
          <w:p w14:paraId="3AA4ED58" w14:textId="77777777" w:rsidR="00A04981" w:rsidRPr="00E84E51" w:rsidRDefault="00A04981" w:rsidP="00574EFB">
            <w:pPr>
              <w:rPr>
                <w:highlight w:val="yellow"/>
              </w:rPr>
            </w:pPr>
            <w:r w:rsidRPr="00E84E51">
              <w:rPr>
                <w:highlight w:val="yellow"/>
              </w:rPr>
              <w:t>Digital capability development partnership agreement</w:t>
            </w:r>
          </w:p>
        </w:tc>
      </w:tr>
      <w:tr w:rsidR="00A04981" w:rsidRPr="00585724" w14:paraId="604ED24E" w14:textId="77777777" w:rsidTr="0018153E">
        <w:trPr>
          <w:trHeight w:val="17"/>
        </w:trPr>
        <w:tc>
          <w:tcPr>
            <w:tcW w:w="1701" w:type="dxa"/>
          </w:tcPr>
          <w:p w14:paraId="7193BAB2" w14:textId="77777777" w:rsidR="00A04981" w:rsidRPr="00A04981" w:rsidRDefault="00A04981" w:rsidP="00574EFB">
            <w:r w:rsidRPr="00A04981">
              <w:t>SOA number</w:t>
            </w:r>
          </w:p>
        </w:tc>
        <w:tc>
          <w:tcPr>
            <w:tcW w:w="8500" w:type="dxa"/>
          </w:tcPr>
          <w:p w14:paraId="4B6E44B6" w14:textId="77777777" w:rsidR="00A04981" w:rsidRPr="00A04981" w:rsidRDefault="00A04981" w:rsidP="00574EFB">
            <w:r w:rsidRPr="00A04981">
              <w:t>TMRICT18070</w:t>
            </w:r>
          </w:p>
        </w:tc>
      </w:tr>
      <w:tr w:rsidR="00A04981" w:rsidRPr="00585724" w14:paraId="57446A99" w14:textId="77777777" w:rsidTr="0018153E">
        <w:trPr>
          <w:trHeight w:val="17"/>
        </w:trPr>
        <w:tc>
          <w:tcPr>
            <w:tcW w:w="1701" w:type="dxa"/>
          </w:tcPr>
          <w:p w14:paraId="4AE6F285" w14:textId="77777777" w:rsidR="00A04981" w:rsidRPr="00A04981" w:rsidRDefault="00A04981" w:rsidP="00574EFB">
            <w:r w:rsidRPr="00A04981">
              <w:t>Keywords</w:t>
            </w:r>
          </w:p>
        </w:tc>
        <w:tc>
          <w:tcPr>
            <w:tcW w:w="8500" w:type="dxa"/>
          </w:tcPr>
          <w:p w14:paraId="18F2BFA5" w14:textId="77777777" w:rsidR="00A04981" w:rsidRPr="00A04981" w:rsidRDefault="00A04981" w:rsidP="00574EFB">
            <w:pPr>
              <w:rPr>
                <w:lang w:val="en-GB"/>
              </w:rPr>
            </w:pPr>
            <w:r w:rsidRPr="00A04981">
              <w:rPr>
                <w:lang w:val="en-GB"/>
              </w:rPr>
              <w:t>Services include, but not limited to:</w:t>
            </w:r>
          </w:p>
          <w:p w14:paraId="33AEE2ED" w14:textId="77777777" w:rsidR="00A04981" w:rsidRPr="00A04981" w:rsidRDefault="00A04981" w:rsidP="00574EFB">
            <w:r w:rsidRPr="00A04981">
              <w:t>Agile, customer journey mapping, human-centred design (HCD), design thinking, user experience (UX)</w:t>
            </w:r>
          </w:p>
        </w:tc>
      </w:tr>
      <w:tr w:rsidR="00A04981" w:rsidRPr="00585724" w14:paraId="57F74F45" w14:textId="77777777" w:rsidTr="0018153E">
        <w:trPr>
          <w:trHeight w:val="17"/>
        </w:trPr>
        <w:tc>
          <w:tcPr>
            <w:tcW w:w="1701" w:type="dxa"/>
          </w:tcPr>
          <w:p w14:paraId="76BA5AE0" w14:textId="77777777" w:rsidR="00A04981" w:rsidRPr="00A04981" w:rsidRDefault="00A04981" w:rsidP="00574EFB">
            <w:r w:rsidRPr="00A04981">
              <w:t>SOA type</w:t>
            </w:r>
          </w:p>
        </w:tc>
        <w:tc>
          <w:tcPr>
            <w:tcW w:w="8500" w:type="dxa"/>
          </w:tcPr>
          <w:p w14:paraId="663D47C5" w14:textId="77777777" w:rsidR="00A04981" w:rsidRPr="00A04981" w:rsidRDefault="00A04981" w:rsidP="00574EFB">
            <w:r w:rsidRPr="00A04981">
              <w:t>Common use supply arrangements</w:t>
            </w:r>
          </w:p>
        </w:tc>
      </w:tr>
      <w:tr w:rsidR="00A04981" w:rsidRPr="00585724" w14:paraId="51847364" w14:textId="77777777" w:rsidTr="0018153E">
        <w:trPr>
          <w:trHeight w:val="17"/>
        </w:trPr>
        <w:tc>
          <w:tcPr>
            <w:tcW w:w="1701" w:type="dxa"/>
          </w:tcPr>
          <w:p w14:paraId="45A8E9D3" w14:textId="77777777" w:rsidR="00A04981" w:rsidRPr="00A04981" w:rsidRDefault="00A04981" w:rsidP="00574EFB">
            <w:r w:rsidRPr="00A04981">
              <w:t>Department</w:t>
            </w:r>
          </w:p>
        </w:tc>
        <w:tc>
          <w:tcPr>
            <w:tcW w:w="8500" w:type="dxa"/>
          </w:tcPr>
          <w:p w14:paraId="7C1F22BC" w14:textId="77777777" w:rsidR="00A04981" w:rsidRPr="00A04981" w:rsidRDefault="00A04981" w:rsidP="00574EFB">
            <w:r w:rsidRPr="00A04981">
              <w:t>Department of Transport and Main Roads</w:t>
            </w:r>
          </w:p>
        </w:tc>
      </w:tr>
      <w:tr w:rsidR="00A04981" w:rsidRPr="00585724" w14:paraId="0953F866" w14:textId="77777777" w:rsidTr="0018153E">
        <w:trPr>
          <w:trHeight w:val="17"/>
        </w:trPr>
        <w:tc>
          <w:tcPr>
            <w:tcW w:w="1701" w:type="dxa"/>
          </w:tcPr>
          <w:p w14:paraId="614BAF26" w14:textId="77777777" w:rsidR="00A04981" w:rsidRPr="00A04981" w:rsidRDefault="00A04981" w:rsidP="00574EFB">
            <w:r w:rsidRPr="00A04981">
              <w:t>Expiry date</w:t>
            </w:r>
          </w:p>
        </w:tc>
        <w:tc>
          <w:tcPr>
            <w:tcW w:w="8500" w:type="dxa"/>
          </w:tcPr>
          <w:p w14:paraId="2F8B2D42" w14:textId="77777777" w:rsidR="00A04981" w:rsidRPr="00A04981" w:rsidRDefault="00A04981" w:rsidP="00574EFB">
            <w:r w:rsidRPr="0018153E">
              <w:rPr>
                <w:highlight w:val="yellow"/>
              </w:rPr>
              <w:t>18 February 2024</w:t>
            </w:r>
          </w:p>
        </w:tc>
      </w:tr>
    </w:tbl>
    <w:p w14:paraId="1575E522" w14:textId="77777777" w:rsidR="0018153E" w:rsidRDefault="0018153E" w:rsidP="00574EFB"/>
    <w:p w14:paraId="245E455D" w14:textId="77777777" w:rsidR="0013771C" w:rsidRDefault="0013771C" w:rsidP="00574EFB"/>
    <w:p w14:paraId="3D464568" w14:textId="77777777" w:rsidR="00015E0F" w:rsidRDefault="00015E0F">
      <w:pPr>
        <w:spacing w:line="240" w:lineRule="auto"/>
        <w:rPr>
          <w:bCs/>
          <w:sz w:val="28"/>
          <w:szCs w:val="28"/>
        </w:rPr>
      </w:pPr>
      <w:r>
        <w:br w:type="page"/>
      </w:r>
    </w:p>
    <w:p w14:paraId="0DB6D44E" w14:textId="4F885C35" w:rsidR="0013771C" w:rsidRDefault="00A04981" w:rsidP="004879CE">
      <w:pPr>
        <w:pStyle w:val="Heading3"/>
      </w:pPr>
      <w:r w:rsidRPr="004879CE">
        <w:lastRenderedPageBreak/>
        <w:t>Market and Social Research Services SOA</w:t>
      </w:r>
      <w:r w:rsidRPr="006B59BF">
        <w:t xml:space="preserve"> </w:t>
      </w:r>
    </w:p>
    <w:p w14:paraId="74F5D45C" w14:textId="15C184C2" w:rsidR="00A04981" w:rsidRDefault="0013771C" w:rsidP="00574EFB">
      <w:proofErr w:type="gramStart"/>
      <w:r>
        <w:t>F</w:t>
      </w:r>
      <w:r w:rsidR="00A04981" w:rsidRPr="006B59BF">
        <w:t>ocuses</w:t>
      </w:r>
      <w:proofErr w:type="gramEnd"/>
      <w:r w:rsidR="00A04981" w:rsidRPr="006B59BF">
        <w:t xml:space="preserve"> on a range of research and related support services.</w:t>
      </w:r>
    </w:p>
    <w:p w14:paraId="341B908C" w14:textId="77777777" w:rsidR="008654DB" w:rsidRPr="006B59BF" w:rsidRDefault="008654DB" w:rsidP="00574EFB"/>
    <w:tbl>
      <w:tblPr>
        <w:tblStyle w:val="TableGridLight"/>
        <w:tblW w:w="10201" w:type="dxa"/>
        <w:tblLook w:val="04A0" w:firstRow="1" w:lastRow="0" w:firstColumn="1" w:lastColumn="0" w:noHBand="0" w:noVBand="1"/>
      </w:tblPr>
      <w:tblGrid>
        <w:gridCol w:w="1701"/>
        <w:gridCol w:w="8500"/>
      </w:tblGrid>
      <w:tr w:rsidR="00A04981" w:rsidRPr="006B59BF" w14:paraId="701FBE3D" w14:textId="77777777" w:rsidTr="0018153E">
        <w:trPr>
          <w:trHeight w:val="248"/>
        </w:trPr>
        <w:tc>
          <w:tcPr>
            <w:tcW w:w="1701" w:type="dxa"/>
          </w:tcPr>
          <w:p w14:paraId="15E0C370" w14:textId="77777777" w:rsidR="00A04981" w:rsidRPr="0018153E" w:rsidRDefault="00A04981" w:rsidP="00574EFB">
            <w:pPr>
              <w:rPr>
                <w:lang w:val="en-GB"/>
              </w:rPr>
            </w:pPr>
            <w:r w:rsidRPr="0018153E">
              <w:rPr>
                <w:lang w:val="en-GB"/>
              </w:rPr>
              <w:t>SOA name</w:t>
            </w:r>
          </w:p>
        </w:tc>
        <w:tc>
          <w:tcPr>
            <w:tcW w:w="8500" w:type="dxa"/>
          </w:tcPr>
          <w:p w14:paraId="6AB65675" w14:textId="77777777" w:rsidR="00A04981" w:rsidRPr="0018153E" w:rsidRDefault="00A04981" w:rsidP="00574EFB">
            <w:pPr>
              <w:rPr>
                <w:highlight w:val="yellow"/>
                <w:lang w:val="en-GB"/>
              </w:rPr>
            </w:pPr>
            <w:r w:rsidRPr="0018153E">
              <w:rPr>
                <w:lang w:val="en-GB"/>
              </w:rPr>
              <w:t>Market and social research services</w:t>
            </w:r>
          </w:p>
        </w:tc>
      </w:tr>
      <w:tr w:rsidR="00A04981" w:rsidRPr="006B59BF" w14:paraId="288BFE18" w14:textId="77777777" w:rsidTr="0018153E">
        <w:trPr>
          <w:trHeight w:val="248"/>
        </w:trPr>
        <w:tc>
          <w:tcPr>
            <w:tcW w:w="1701" w:type="dxa"/>
          </w:tcPr>
          <w:p w14:paraId="0CD20E0B" w14:textId="77777777" w:rsidR="00A04981" w:rsidRPr="0018153E" w:rsidRDefault="00A04981" w:rsidP="00574EFB">
            <w:pPr>
              <w:rPr>
                <w:lang w:val="en-GB"/>
              </w:rPr>
            </w:pPr>
            <w:r w:rsidRPr="0018153E">
              <w:rPr>
                <w:lang w:val="en-GB"/>
              </w:rPr>
              <w:t>SOA number</w:t>
            </w:r>
          </w:p>
        </w:tc>
        <w:tc>
          <w:tcPr>
            <w:tcW w:w="8500" w:type="dxa"/>
          </w:tcPr>
          <w:p w14:paraId="7171746A" w14:textId="77777777" w:rsidR="00A04981" w:rsidRPr="0018153E" w:rsidRDefault="00A04981" w:rsidP="00574EFB">
            <w:pPr>
              <w:rPr>
                <w:highlight w:val="yellow"/>
                <w:lang w:val="en-GB"/>
              </w:rPr>
            </w:pPr>
            <w:r w:rsidRPr="0018153E">
              <w:rPr>
                <w:lang w:val="en-GB"/>
              </w:rPr>
              <w:t>QGP0075-21</w:t>
            </w:r>
          </w:p>
        </w:tc>
      </w:tr>
      <w:tr w:rsidR="00A04981" w:rsidRPr="006B59BF" w14:paraId="0969FC7C" w14:textId="77777777" w:rsidTr="0018153E">
        <w:trPr>
          <w:trHeight w:val="1695"/>
        </w:trPr>
        <w:tc>
          <w:tcPr>
            <w:tcW w:w="1701" w:type="dxa"/>
          </w:tcPr>
          <w:p w14:paraId="1D9FB4AA" w14:textId="77777777" w:rsidR="00A04981" w:rsidRPr="0018153E" w:rsidRDefault="00A04981" w:rsidP="00574EFB">
            <w:pPr>
              <w:rPr>
                <w:lang w:val="en-GB"/>
              </w:rPr>
            </w:pPr>
            <w:r w:rsidRPr="0018153E">
              <w:rPr>
                <w:lang w:val="en-GB"/>
              </w:rPr>
              <w:t>Description</w:t>
            </w:r>
          </w:p>
        </w:tc>
        <w:tc>
          <w:tcPr>
            <w:tcW w:w="8500" w:type="dxa"/>
          </w:tcPr>
          <w:p w14:paraId="12E29E59" w14:textId="77777777" w:rsidR="00A04981" w:rsidRPr="0018153E" w:rsidRDefault="00A04981" w:rsidP="00574EFB">
            <w:pPr>
              <w:rPr>
                <w:lang w:val="en-GB"/>
              </w:rPr>
            </w:pPr>
            <w:r w:rsidRPr="0018153E">
              <w:rPr>
                <w:lang w:val="en-GB"/>
              </w:rPr>
              <w:t>Services include, but not limited to:</w:t>
            </w:r>
          </w:p>
          <w:p w14:paraId="1AE185D7" w14:textId="77777777" w:rsidR="00A04981" w:rsidRPr="0018153E" w:rsidRDefault="00A04981" w:rsidP="00574EFB">
            <w:pPr>
              <w:pStyle w:val="ListParagraph"/>
              <w:numPr>
                <w:ilvl w:val="0"/>
                <w:numId w:val="12"/>
              </w:numPr>
              <w:rPr>
                <w:lang w:val="en-GB"/>
              </w:rPr>
            </w:pPr>
            <w:r w:rsidRPr="0018153E">
              <w:rPr>
                <w:lang w:val="en-GB"/>
              </w:rPr>
              <w:t>advertising, audience evaluation,</w:t>
            </w:r>
          </w:p>
          <w:p w14:paraId="58D843D9" w14:textId="77777777" w:rsidR="00A04981" w:rsidRPr="0018153E" w:rsidRDefault="00A04981" w:rsidP="00574EFB">
            <w:pPr>
              <w:pStyle w:val="ListParagraph"/>
              <w:numPr>
                <w:ilvl w:val="0"/>
                <w:numId w:val="12"/>
              </w:numPr>
              <w:rPr>
                <w:lang w:val="en-GB"/>
              </w:rPr>
            </w:pPr>
            <w:r w:rsidRPr="0018153E">
              <w:rPr>
                <w:lang w:val="en-GB"/>
              </w:rPr>
              <w:t>business to consumer, business to business, business to government,</w:t>
            </w:r>
          </w:p>
          <w:p w14:paraId="7BAFC541" w14:textId="77777777" w:rsidR="00A04981" w:rsidRPr="0018153E" w:rsidRDefault="00A04981" w:rsidP="00574EFB">
            <w:pPr>
              <w:pStyle w:val="ListParagraph"/>
              <w:numPr>
                <w:ilvl w:val="0"/>
                <w:numId w:val="12"/>
              </w:numPr>
              <w:rPr>
                <w:lang w:val="en-GB"/>
              </w:rPr>
            </w:pPr>
            <w:r w:rsidRPr="0018153E">
              <w:rPr>
                <w:lang w:val="en-GB"/>
              </w:rPr>
              <w:t>behaviour change,</w:t>
            </w:r>
          </w:p>
          <w:p w14:paraId="212F3E42" w14:textId="77777777" w:rsidR="00A04981" w:rsidRPr="0018153E" w:rsidRDefault="00A04981" w:rsidP="00574EFB">
            <w:pPr>
              <w:pStyle w:val="ListParagraph"/>
              <w:numPr>
                <w:ilvl w:val="0"/>
                <w:numId w:val="12"/>
              </w:numPr>
              <w:rPr>
                <w:lang w:val="en-GB"/>
              </w:rPr>
            </w:pPr>
            <w:r w:rsidRPr="0018153E">
              <w:rPr>
                <w:lang w:val="en-GB"/>
              </w:rPr>
              <w:t>brand and communication, brand strategy,</w:t>
            </w:r>
          </w:p>
          <w:p w14:paraId="2C743654" w14:textId="77777777" w:rsidR="00A04981" w:rsidRPr="0018153E" w:rsidRDefault="00A04981" w:rsidP="00574EFB">
            <w:pPr>
              <w:pStyle w:val="ListParagraph"/>
              <w:numPr>
                <w:ilvl w:val="0"/>
                <w:numId w:val="12"/>
              </w:numPr>
              <w:rPr>
                <w:lang w:val="en-GB"/>
              </w:rPr>
            </w:pPr>
            <w:r w:rsidRPr="0018153E">
              <w:rPr>
                <w:lang w:val="en-GB"/>
              </w:rPr>
              <w:t>community attitudes,</w:t>
            </w:r>
          </w:p>
          <w:p w14:paraId="015511E1" w14:textId="77777777" w:rsidR="00A04981" w:rsidRPr="0018153E" w:rsidRDefault="00A04981" w:rsidP="00574EFB">
            <w:pPr>
              <w:pStyle w:val="ListParagraph"/>
              <w:numPr>
                <w:ilvl w:val="0"/>
                <w:numId w:val="12"/>
              </w:numPr>
              <w:rPr>
                <w:lang w:val="en-GB"/>
              </w:rPr>
            </w:pPr>
            <w:r w:rsidRPr="0018153E">
              <w:rPr>
                <w:lang w:val="en-GB"/>
              </w:rPr>
              <w:t>customer experience, customer personas, customer insights, customer satisfaction,</w:t>
            </w:r>
          </w:p>
          <w:p w14:paraId="379BA4A7" w14:textId="77777777" w:rsidR="00A04981" w:rsidRPr="0018153E" w:rsidRDefault="00A04981" w:rsidP="00574EFB">
            <w:pPr>
              <w:pStyle w:val="ListParagraph"/>
              <w:numPr>
                <w:ilvl w:val="0"/>
                <w:numId w:val="12"/>
              </w:numPr>
              <w:rPr>
                <w:lang w:val="en-GB"/>
              </w:rPr>
            </w:pPr>
            <w:r w:rsidRPr="0018153E">
              <w:rPr>
                <w:lang w:val="en-GB"/>
              </w:rPr>
              <w:t>employee and stakeholder,</w:t>
            </w:r>
          </w:p>
          <w:p w14:paraId="6908722F" w14:textId="77777777" w:rsidR="00A04981" w:rsidRPr="0018153E" w:rsidRDefault="00A04981" w:rsidP="00574EFB">
            <w:pPr>
              <w:pStyle w:val="ListParagraph"/>
              <w:numPr>
                <w:ilvl w:val="0"/>
                <w:numId w:val="12"/>
              </w:numPr>
              <w:rPr>
                <w:lang w:val="en-GB"/>
              </w:rPr>
            </w:pPr>
            <w:r w:rsidRPr="0018153E">
              <w:rPr>
                <w:lang w:val="en-GB"/>
              </w:rPr>
              <w:t>innovation,</w:t>
            </w:r>
          </w:p>
          <w:p w14:paraId="04116060" w14:textId="77777777" w:rsidR="00A04981" w:rsidRPr="0018153E" w:rsidRDefault="00A04981" w:rsidP="00574EFB">
            <w:pPr>
              <w:pStyle w:val="ListParagraph"/>
              <w:numPr>
                <w:ilvl w:val="0"/>
                <w:numId w:val="12"/>
              </w:numPr>
              <w:rPr>
                <w:lang w:val="en-GB"/>
              </w:rPr>
            </w:pPr>
            <w:r w:rsidRPr="0018153E">
              <w:rPr>
                <w:lang w:val="en-GB"/>
              </w:rPr>
              <w:t>market segmentation, market trends, marketing science, - member satisfaction,</w:t>
            </w:r>
          </w:p>
          <w:p w14:paraId="29AAFA8C" w14:textId="77777777" w:rsidR="00A04981" w:rsidRPr="0018153E" w:rsidRDefault="00A04981" w:rsidP="00574EFB">
            <w:pPr>
              <w:pStyle w:val="ListParagraph"/>
              <w:numPr>
                <w:ilvl w:val="0"/>
                <w:numId w:val="12"/>
              </w:numPr>
              <w:rPr>
                <w:lang w:val="en-GB"/>
              </w:rPr>
            </w:pPr>
            <w:r w:rsidRPr="0018153E">
              <w:rPr>
                <w:lang w:val="en-GB"/>
              </w:rPr>
              <w:t>mystery shopping,</w:t>
            </w:r>
          </w:p>
          <w:p w14:paraId="1F5AA521" w14:textId="77777777" w:rsidR="00A04981" w:rsidRPr="0018153E" w:rsidRDefault="00A04981" w:rsidP="00574EFB">
            <w:pPr>
              <w:pStyle w:val="ListParagraph"/>
              <w:numPr>
                <w:ilvl w:val="0"/>
                <w:numId w:val="12"/>
              </w:numPr>
              <w:rPr>
                <w:lang w:val="en-GB"/>
              </w:rPr>
            </w:pPr>
            <w:r w:rsidRPr="0018153E">
              <w:rPr>
                <w:lang w:val="en-GB"/>
              </w:rPr>
              <w:t>packaging research,</w:t>
            </w:r>
          </w:p>
          <w:p w14:paraId="737D956A" w14:textId="77777777" w:rsidR="00A04981" w:rsidRPr="0018153E" w:rsidRDefault="00A04981" w:rsidP="00574EFB">
            <w:pPr>
              <w:pStyle w:val="ListParagraph"/>
              <w:numPr>
                <w:ilvl w:val="0"/>
                <w:numId w:val="12"/>
              </w:numPr>
              <w:rPr>
                <w:lang w:val="en-GB"/>
              </w:rPr>
            </w:pPr>
            <w:r w:rsidRPr="0018153E">
              <w:rPr>
                <w:lang w:val="en-GB"/>
              </w:rPr>
              <w:t>profiling research,</w:t>
            </w:r>
          </w:p>
          <w:p w14:paraId="33D9E6B7" w14:textId="77777777" w:rsidR="00A04981" w:rsidRPr="0018153E" w:rsidRDefault="00A04981" w:rsidP="00574EFB">
            <w:pPr>
              <w:pStyle w:val="ListParagraph"/>
              <w:numPr>
                <w:ilvl w:val="0"/>
                <w:numId w:val="12"/>
              </w:numPr>
              <w:rPr>
                <w:lang w:val="en-GB"/>
              </w:rPr>
            </w:pPr>
            <w:r w:rsidRPr="0018153E">
              <w:rPr>
                <w:lang w:val="en-GB"/>
              </w:rPr>
              <w:t>statistical consulting,</w:t>
            </w:r>
          </w:p>
          <w:p w14:paraId="4974C0D6" w14:textId="77777777" w:rsidR="00A04981" w:rsidRPr="0018153E" w:rsidRDefault="00A04981" w:rsidP="00574EFB">
            <w:pPr>
              <w:pStyle w:val="ListParagraph"/>
              <w:numPr>
                <w:ilvl w:val="0"/>
                <w:numId w:val="12"/>
              </w:numPr>
              <w:rPr>
                <w:lang w:val="en-GB"/>
              </w:rPr>
            </w:pPr>
            <w:r w:rsidRPr="0018153E">
              <w:rPr>
                <w:lang w:val="en-GB"/>
              </w:rPr>
              <w:t>thematic mapping,</w:t>
            </w:r>
          </w:p>
          <w:p w14:paraId="1F16C117" w14:textId="77777777" w:rsidR="00A04981" w:rsidRPr="0018153E" w:rsidRDefault="00A04981" w:rsidP="00574EFB">
            <w:pPr>
              <w:pStyle w:val="ListParagraph"/>
              <w:numPr>
                <w:ilvl w:val="0"/>
                <w:numId w:val="12"/>
              </w:numPr>
              <w:rPr>
                <w:lang w:val="en-GB"/>
              </w:rPr>
            </w:pPr>
            <w:r w:rsidRPr="0018153E">
              <w:rPr>
                <w:lang w:val="en-GB"/>
              </w:rPr>
              <w:t>usage and attitude,</w:t>
            </w:r>
          </w:p>
          <w:p w14:paraId="46FA3FAF" w14:textId="77777777" w:rsidR="00A04981" w:rsidRPr="0018153E" w:rsidRDefault="00A04981" w:rsidP="00574EFB">
            <w:pPr>
              <w:pStyle w:val="ListParagraph"/>
              <w:numPr>
                <w:ilvl w:val="0"/>
                <w:numId w:val="12"/>
              </w:numPr>
              <w:rPr>
                <w:lang w:val="en-GB"/>
              </w:rPr>
            </w:pPr>
            <w:r w:rsidRPr="0018153E">
              <w:rPr>
                <w:lang w:val="en-GB"/>
              </w:rPr>
              <w:t>web usability.</w:t>
            </w:r>
          </w:p>
        </w:tc>
      </w:tr>
      <w:tr w:rsidR="00A04981" w:rsidRPr="006B59BF" w14:paraId="6A453C18" w14:textId="77777777" w:rsidTr="0018153E">
        <w:trPr>
          <w:trHeight w:val="273"/>
        </w:trPr>
        <w:tc>
          <w:tcPr>
            <w:tcW w:w="1701" w:type="dxa"/>
          </w:tcPr>
          <w:p w14:paraId="4207E7B4" w14:textId="77777777" w:rsidR="00A04981" w:rsidRPr="0018153E" w:rsidRDefault="00A04981" w:rsidP="00574EFB">
            <w:r w:rsidRPr="0018153E">
              <w:t>Department</w:t>
            </w:r>
          </w:p>
        </w:tc>
        <w:tc>
          <w:tcPr>
            <w:tcW w:w="8500" w:type="dxa"/>
          </w:tcPr>
          <w:p w14:paraId="4450C93F" w14:textId="77777777" w:rsidR="00A04981" w:rsidRPr="0018153E" w:rsidRDefault="00A04981" w:rsidP="00574EFB">
            <w:pPr>
              <w:rPr>
                <w:lang w:val="en-GB"/>
              </w:rPr>
            </w:pPr>
            <w:r w:rsidRPr="0018153E">
              <w:rPr>
                <w:lang w:val="en-GB"/>
              </w:rPr>
              <w:t>Department of Energy and Public Works</w:t>
            </w:r>
          </w:p>
        </w:tc>
      </w:tr>
      <w:tr w:rsidR="00A04981" w:rsidRPr="006B59BF" w14:paraId="1E05052F" w14:textId="77777777" w:rsidTr="0018153E">
        <w:trPr>
          <w:trHeight w:val="273"/>
        </w:trPr>
        <w:tc>
          <w:tcPr>
            <w:tcW w:w="1701" w:type="dxa"/>
          </w:tcPr>
          <w:p w14:paraId="7D1F461F" w14:textId="77777777" w:rsidR="00A04981" w:rsidRPr="0018153E" w:rsidRDefault="00A04981" w:rsidP="00574EFB">
            <w:r w:rsidRPr="0018153E">
              <w:t>Expiry date</w:t>
            </w:r>
          </w:p>
        </w:tc>
        <w:tc>
          <w:tcPr>
            <w:tcW w:w="8500" w:type="dxa"/>
          </w:tcPr>
          <w:p w14:paraId="33D2188F" w14:textId="77777777" w:rsidR="00A04981" w:rsidRPr="0018153E" w:rsidRDefault="00A04981" w:rsidP="00574EFB">
            <w:pPr>
              <w:rPr>
                <w:lang w:val="en-GB"/>
              </w:rPr>
            </w:pPr>
            <w:r w:rsidRPr="0018153E">
              <w:rPr>
                <w:lang w:val="en-GB"/>
              </w:rPr>
              <w:t>30 June 2029</w:t>
            </w:r>
          </w:p>
        </w:tc>
      </w:tr>
    </w:tbl>
    <w:p w14:paraId="41A4B0BE" w14:textId="77777777" w:rsidR="00A04981" w:rsidRDefault="00A04981" w:rsidP="00574EFB"/>
    <w:p w14:paraId="661D4C9A" w14:textId="77777777" w:rsidR="00A04981" w:rsidRPr="006B59BF" w:rsidRDefault="00A04981" w:rsidP="00574EFB"/>
    <w:p w14:paraId="0EC84175" w14:textId="7BCB4926" w:rsidR="00724065" w:rsidRDefault="00A04981" w:rsidP="00015E0F">
      <w:pPr>
        <w:pStyle w:val="Heading3"/>
      </w:pPr>
      <w:r w:rsidRPr="00015E0F">
        <w:t>ICT Services panel</w:t>
      </w:r>
      <w:r w:rsidRPr="000035C0">
        <w:rPr>
          <w:color w:val="C00143"/>
        </w:rPr>
        <w:t xml:space="preserve"> </w:t>
      </w:r>
    </w:p>
    <w:p w14:paraId="0D109926" w14:textId="6450250B" w:rsidR="00A04981" w:rsidRDefault="00724065" w:rsidP="000035C0">
      <w:r>
        <w:t>U</w:t>
      </w:r>
      <w:r w:rsidR="00A04981" w:rsidRPr="004E38F7">
        <w:t>sed for CX, HCD and UX consultants</w:t>
      </w:r>
      <w:r w:rsidR="00A04981" w:rsidRPr="006B59BF">
        <w:t xml:space="preserve">. </w:t>
      </w:r>
    </w:p>
    <w:p w14:paraId="12692D03" w14:textId="77777777" w:rsidR="00724065" w:rsidRPr="006B59BF" w:rsidRDefault="00724065" w:rsidP="000035C0"/>
    <w:tbl>
      <w:tblPr>
        <w:tblStyle w:val="TableGridLight"/>
        <w:tblW w:w="10201" w:type="dxa"/>
        <w:tblLook w:val="04A0" w:firstRow="1" w:lastRow="0" w:firstColumn="1" w:lastColumn="0" w:noHBand="0" w:noVBand="1"/>
      </w:tblPr>
      <w:tblGrid>
        <w:gridCol w:w="1843"/>
        <w:gridCol w:w="8358"/>
      </w:tblGrid>
      <w:tr w:rsidR="00A04981" w:rsidRPr="006B59BF" w14:paraId="23EC2E18" w14:textId="77777777" w:rsidTr="00E84E51">
        <w:trPr>
          <w:trHeight w:val="254"/>
        </w:trPr>
        <w:tc>
          <w:tcPr>
            <w:tcW w:w="1843" w:type="dxa"/>
          </w:tcPr>
          <w:p w14:paraId="50CFFB2E" w14:textId="77777777" w:rsidR="00A04981" w:rsidRPr="005D4F30" w:rsidRDefault="00A04981" w:rsidP="00574EFB">
            <w:r w:rsidRPr="005D4F30">
              <w:t>SOA name</w:t>
            </w:r>
          </w:p>
        </w:tc>
        <w:tc>
          <w:tcPr>
            <w:tcW w:w="8358" w:type="dxa"/>
          </w:tcPr>
          <w:p w14:paraId="55E3EC46" w14:textId="77777777" w:rsidR="00A04981" w:rsidRPr="005D4F30" w:rsidRDefault="00A04981" w:rsidP="00574EFB">
            <w:r w:rsidRPr="005D4F30">
              <w:t>ICT Services (Pre-Qualified Suppliers Panel)</w:t>
            </w:r>
          </w:p>
        </w:tc>
      </w:tr>
      <w:tr w:rsidR="00A04981" w:rsidRPr="006B59BF" w14:paraId="336EAC8A" w14:textId="77777777" w:rsidTr="00E84E51">
        <w:trPr>
          <w:trHeight w:val="254"/>
        </w:trPr>
        <w:tc>
          <w:tcPr>
            <w:tcW w:w="1843" w:type="dxa"/>
          </w:tcPr>
          <w:p w14:paraId="36B12171" w14:textId="77777777" w:rsidR="00A04981" w:rsidRPr="005D4F30" w:rsidRDefault="00A04981" w:rsidP="00574EFB">
            <w:r w:rsidRPr="005D4F30">
              <w:t>SOA number</w:t>
            </w:r>
          </w:p>
        </w:tc>
        <w:tc>
          <w:tcPr>
            <w:tcW w:w="8358" w:type="dxa"/>
          </w:tcPr>
          <w:p w14:paraId="445CB3E8" w14:textId="77777777" w:rsidR="00A04981" w:rsidRPr="005D4F30" w:rsidRDefault="00A04981" w:rsidP="00574EFB">
            <w:r w:rsidRPr="005D4F30">
              <w:t>ICTSS.1303B previously ICTSS.13.03B</w:t>
            </w:r>
          </w:p>
        </w:tc>
      </w:tr>
      <w:tr w:rsidR="00A04981" w:rsidRPr="006B59BF" w14:paraId="4DABDF89" w14:textId="77777777" w:rsidTr="00E84E51">
        <w:trPr>
          <w:trHeight w:val="1011"/>
        </w:trPr>
        <w:tc>
          <w:tcPr>
            <w:tcW w:w="1843" w:type="dxa"/>
          </w:tcPr>
          <w:p w14:paraId="37DDFB22" w14:textId="77777777" w:rsidR="00A04981" w:rsidRPr="005D4F30" w:rsidRDefault="00A04981" w:rsidP="00574EFB">
            <w:r w:rsidRPr="005D4F30">
              <w:t>Description</w:t>
            </w:r>
          </w:p>
          <w:p w14:paraId="59F80863" w14:textId="77777777" w:rsidR="00A04981" w:rsidRPr="005D4F30" w:rsidRDefault="00A04981" w:rsidP="00574EFB"/>
        </w:tc>
        <w:tc>
          <w:tcPr>
            <w:tcW w:w="8358" w:type="dxa"/>
          </w:tcPr>
          <w:p w14:paraId="1B66B148" w14:textId="77777777" w:rsidR="00A04981" w:rsidRPr="005D4F30" w:rsidRDefault="00A04981" w:rsidP="00574EFB">
            <w:r w:rsidRPr="005D4F30">
              <w:t>The ICT services offered by pre-qualified suppliers are based on the Skills Framework for the Information Age (SFIA v5). Agencies are advised to check the listed documents regularly as it is probable their composition will change over time. For Program and Project Gated Assurance refer to ICTSS.1303A.</w:t>
            </w:r>
          </w:p>
        </w:tc>
      </w:tr>
      <w:tr w:rsidR="00A04981" w:rsidRPr="006B59BF" w14:paraId="44882956" w14:textId="77777777" w:rsidTr="00E84E51">
        <w:trPr>
          <w:trHeight w:val="80"/>
        </w:trPr>
        <w:tc>
          <w:tcPr>
            <w:tcW w:w="1843" w:type="dxa"/>
          </w:tcPr>
          <w:p w14:paraId="55AB7671" w14:textId="77777777" w:rsidR="00A04981" w:rsidRPr="005D4F30" w:rsidRDefault="00A04981" w:rsidP="00574EFB">
            <w:r w:rsidRPr="005D4F30">
              <w:t>Department</w:t>
            </w:r>
          </w:p>
        </w:tc>
        <w:tc>
          <w:tcPr>
            <w:tcW w:w="8358" w:type="dxa"/>
          </w:tcPr>
          <w:p w14:paraId="2DEBA791" w14:textId="77777777" w:rsidR="00A04981" w:rsidRPr="005D4F30" w:rsidRDefault="00A04981" w:rsidP="00574EFB">
            <w:r w:rsidRPr="005D4F30">
              <w:t>Department of Communities, Housing and Digital Economy</w:t>
            </w:r>
          </w:p>
        </w:tc>
      </w:tr>
      <w:tr w:rsidR="00A04981" w:rsidRPr="006B59BF" w14:paraId="5804DD29" w14:textId="77777777" w:rsidTr="00E84E51">
        <w:trPr>
          <w:trHeight w:val="254"/>
        </w:trPr>
        <w:tc>
          <w:tcPr>
            <w:tcW w:w="1843" w:type="dxa"/>
          </w:tcPr>
          <w:p w14:paraId="36A6A2E8" w14:textId="77777777" w:rsidR="00A04981" w:rsidRPr="005D4F30" w:rsidRDefault="00A04981" w:rsidP="00574EFB">
            <w:r w:rsidRPr="005D4F30">
              <w:t>Expiry date</w:t>
            </w:r>
          </w:p>
        </w:tc>
        <w:tc>
          <w:tcPr>
            <w:tcW w:w="8358" w:type="dxa"/>
          </w:tcPr>
          <w:p w14:paraId="31C46FE1" w14:textId="77777777" w:rsidR="00A04981" w:rsidRPr="005D4F30" w:rsidRDefault="00A04981" w:rsidP="00574EFB">
            <w:r w:rsidRPr="005D4F30">
              <w:t>31 December 2023</w:t>
            </w:r>
          </w:p>
        </w:tc>
      </w:tr>
    </w:tbl>
    <w:p w14:paraId="4DA5403D" w14:textId="77777777" w:rsidR="00A04981" w:rsidRPr="006B59BF" w:rsidRDefault="00A04981" w:rsidP="00574EFB">
      <w:pPr>
        <w:rPr>
          <w:lang w:val="en-GB"/>
        </w:rPr>
      </w:pPr>
    </w:p>
    <w:p w14:paraId="70524E6A" w14:textId="77777777" w:rsidR="00A04981" w:rsidRDefault="00A04981" w:rsidP="00574EFB"/>
    <w:p w14:paraId="6F8B79EA" w14:textId="77777777" w:rsidR="00015E0F" w:rsidRDefault="00015E0F">
      <w:pPr>
        <w:spacing w:line="240" w:lineRule="auto"/>
        <w:rPr>
          <w:b/>
          <w:bCs/>
          <w:sz w:val="32"/>
          <w:szCs w:val="40"/>
        </w:rPr>
      </w:pPr>
      <w:r>
        <w:br w:type="page"/>
      </w:r>
    </w:p>
    <w:p w14:paraId="20972DFF" w14:textId="0B0C3CF7" w:rsidR="00A04981" w:rsidRPr="00CC0C1F" w:rsidRDefault="00A04981" w:rsidP="008654DB">
      <w:pPr>
        <w:pStyle w:val="Heading2"/>
      </w:pPr>
      <w:r w:rsidRPr="00CC0C1F">
        <w:lastRenderedPageBreak/>
        <w:t xml:space="preserve">How do I </w:t>
      </w:r>
      <w:r w:rsidRPr="00820D17">
        <w:t>access a panel?</w:t>
      </w:r>
    </w:p>
    <w:p w14:paraId="545897D3" w14:textId="77777777" w:rsidR="0018153E" w:rsidRDefault="0018153E" w:rsidP="00574EFB"/>
    <w:p w14:paraId="62CC6248" w14:textId="66E4031F" w:rsidR="00A04981" w:rsidRDefault="00A04981" w:rsidP="00574EFB">
      <w:r>
        <w:t xml:space="preserve">You will need to liaise with your agency procurement team and highlight your intention to </w:t>
      </w:r>
      <w:proofErr w:type="spellStart"/>
      <w:r>
        <w:t>utilise</w:t>
      </w:r>
      <w:proofErr w:type="spellEnd"/>
      <w:r>
        <w:t xml:space="preserve"> a standing offer arrangement. You will need to identify a funding source before you approach the market by completing a </w:t>
      </w:r>
      <w:r w:rsidRPr="00F07C38">
        <w:rPr>
          <w:b/>
          <w:bCs/>
        </w:rPr>
        <w:t>request for quote (RFQ)</w:t>
      </w:r>
      <w:r>
        <w:t xml:space="preserve"> form.</w:t>
      </w:r>
    </w:p>
    <w:p w14:paraId="5DED1CC6" w14:textId="77777777" w:rsidR="0018153E" w:rsidRDefault="0018153E" w:rsidP="00574EFB"/>
    <w:p w14:paraId="55E34B68" w14:textId="77777777" w:rsidR="00A04981" w:rsidRDefault="00A04981" w:rsidP="00574EFB">
      <w:r>
        <w:t xml:space="preserve">In your agency you will have an RFQ template, which will typically have a section called “requirements” that asks you to </w:t>
      </w:r>
      <w:r w:rsidRPr="00282CF3">
        <w:rPr>
          <w:b/>
          <w:bCs/>
        </w:rPr>
        <w:t>describe the goods or services</w:t>
      </w:r>
      <w:r>
        <w:t xml:space="preserve"> you are seeking from a vendor. The description or “mandatory and desirable requirements” is critical to getting a good response and service. </w:t>
      </w:r>
    </w:p>
    <w:p w14:paraId="0BD0BA2A" w14:textId="77777777" w:rsidR="00A04981" w:rsidRDefault="00A04981" w:rsidP="00574EFB">
      <w:r>
        <w:t>We have provided some examples of what you might ask for in Appendix A.</w:t>
      </w:r>
    </w:p>
    <w:p w14:paraId="79BEA968" w14:textId="77777777" w:rsidR="0018153E" w:rsidRDefault="0018153E" w:rsidP="00574EFB"/>
    <w:p w14:paraId="61828784" w14:textId="77777777" w:rsidR="00A04981" w:rsidRDefault="00A04981" w:rsidP="00574EFB"/>
    <w:p w14:paraId="0AF09FDF" w14:textId="23C8E1E5" w:rsidR="00863DD6" w:rsidRDefault="00863DD6">
      <w:pPr>
        <w:spacing w:line="240" w:lineRule="auto"/>
      </w:pPr>
      <w:r>
        <w:br w:type="page"/>
      </w:r>
    </w:p>
    <w:p w14:paraId="41C4BD50" w14:textId="77777777" w:rsidR="002E1AEF" w:rsidRPr="00CC0C1F" w:rsidRDefault="002E1AEF" w:rsidP="002E1AEF">
      <w:pPr>
        <w:pStyle w:val="Heading1"/>
      </w:pPr>
      <w:r w:rsidRPr="00CC0C1F">
        <w:lastRenderedPageBreak/>
        <w:t>Appendix A – Example requirements for a Concession Service RFQ</w:t>
      </w:r>
    </w:p>
    <w:p w14:paraId="0773A42F" w14:textId="64C0E14D" w:rsidR="002E1AEF" w:rsidRDefault="002E1AEF" w:rsidP="001703D2">
      <w:pPr>
        <w:pStyle w:val="Heading2"/>
      </w:pPr>
      <w:r w:rsidRPr="00CC0C1F">
        <w:t>Goods and/or services requirement</w:t>
      </w:r>
    </w:p>
    <w:tbl>
      <w:tblPr>
        <w:tblStyle w:val="TableGrid"/>
        <w:tblW w:w="10485" w:type="dxa"/>
        <w:tblLook w:val="04A0" w:firstRow="1" w:lastRow="0" w:firstColumn="1" w:lastColumn="0" w:noHBand="0" w:noVBand="1"/>
      </w:tblPr>
      <w:tblGrid>
        <w:gridCol w:w="1684"/>
        <w:gridCol w:w="8801"/>
      </w:tblGrid>
      <w:tr w:rsidR="002E1AEF" w:rsidRPr="00701F65" w14:paraId="725200AA" w14:textId="77777777" w:rsidTr="002E1AEF">
        <w:tc>
          <w:tcPr>
            <w:tcW w:w="1684" w:type="dxa"/>
          </w:tcPr>
          <w:p w14:paraId="73119788" w14:textId="08E5D1B6" w:rsidR="002E1AEF" w:rsidRPr="000A2EEC" w:rsidRDefault="002E1AEF" w:rsidP="00154EB3">
            <w:pPr>
              <w:spacing w:line="22" w:lineRule="atLeast"/>
              <w:rPr>
                <w:b/>
                <w:bCs/>
              </w:rPr>
            </w:pPr>
            <w:r w:rsidRPr="000A2EEC">
              <w:rPr>
                <w:b/>
                <w:bCs/>
              </w:rPr>
              <w:t>Background</w:t>
            </w:r>
          </w:p>
        </w:tc>
        <w:tc>
          <w:tcPr>
            <w:tcW w:w="8801" w:type="dxa"/>
          </w:tcPr>
          <w:p w14:paraId="04EF411C" w14:textId="77777777" w:rsidR="002E1AEF" w:rsidRPr="00154EB3" w:rsidRDefault="002E1AEF" w:rsidP="00154EB3">
            <w:pPr>
              <w:spacing w:line="22" w:lineRule="atLeast"/>
            </w:pPr>
            <w:r w:rsidRPr="00154EB3">
              <w:t>(State the reason your agency wants to undertake this work)</w:t>
            </w:r>
            <w:r w:rsidRPr="00154EB3">
              <w:br/>
            </w:r>
          </w:p>
          <w:p w14:paraId="5D4AD8AC" w14:textId="77777777" w:rsidR="002E1AEF" w:rsidRPr="00154EB3" w:rsidRDefault="002E1AEF" w:rsidP="00154EB3">
            <w:pPr>
              <w:spacing w:line="22" w:lineRule="atLeast"/>
            </w:pPr>
            <w:r w:rsidRPr="00154EB3">
              <w:t>We want to make it easy for our customers to understand if they are eligible for this concession. Currently we have a lot of information online with multiple steps. Our customers tell us they don’t really understand what it means, so they either don’t apply or call the contact centre for help.</w:t>
            </w:r>
          </w:p>
          <w:p w14:paraId="69A176A8" w14:textId="0C3861F7" w:rsidR="00A82E8E" w:rsidRPr="00154EB3" w:rsidRDefault="00A82E8E" w:rsidP="00154EB3">
            <w:pPr>
              <w:spacing w:line="22" w:lineRule="atLeast"/>
            </w:pPr>
          </w:p>
        </w:tc>
      </w:tr>
      <w:tr w:rsidR="002E1AEF" w:rsidRPr="00701F65" w14:paraId="7551E205" w14:textId="77777777" w:rsidTr="002E1AEF">
        <w:tc>
          <w:tcPr>
            <w:tcW w:w="1684" w:type="dxa"/>
          </w:tcPr>
          <w:p w14:paraId="7B865879" w14:textId="452E7666" w:rsidR="002E1AEF" w:rsidRPr="000A2EEC" w:rsidRDefault="002E1AEF" w:rsidP="00154EB3">
            <w:pPr>
              <w:spacing w:line="22" w:lineRule="atLeast"/>
              <w:rPr>
                <w:b/>
                <w:bCs/>
              </w:rPr>
            </w:pPr>
            <w:r w:rsidRPr="000A2EEC">
              <w:rPr>
                <w:b/>
                <w:bCs/>
              </w:rPr>
              <w:t>Vision</w:t>
            </w:r>
          </w:p>
        </w:tc>
        <w:tc>
          <w:tcPr>
            <w:tcW w:w="8801" w:type="dxa"/>
          </w:tcPr>
          <w:p w14:paraId="6BFD070D" w14:textId="77777777" w:rsidR="002E1AEF" w:rsidRPr="00154EB3" w:rsidRDefault="002E1AEF" w:rsidP="00154EB3">
            <w:pPr>
              <w:spacing w:line="22" w:lineRule="atLeast"/>
            </w:pPr>
            <w:r w:rsidRPr="00154EB3">
              <w:t xml:space="preserve">(Provide context </w:t>
            </w:r>
            <w:proofErr w:type="gramStart"/>
            <w:r w:rsidRPr="00154EB3">
              <w:t>about</w:t>
            </w:r>
            <w:proofErr w:type="gramEnd"/>
            <w:r w:rsidRPr="00154EB3">
              <w:t xml:space="preserve"> the problem you want to solve)</w:t>
            </w:r>
            <w:r w:rsidRPr="00154EB3">
              <w:br/>
            </w:r>
          </w:p>
          <w:p w14:paraId="60C60FAA" w14:textId="77777777" w:rsidR="002E1AEF" w:rsidRPr="00154EB3" w:rsidRDefault="002E1AEF" w:rsidP="00154EB3">
            <w:pPr>
              <w:spacing w:line="22" w:lineRule="atLeast"/>
            </w:pPr>
            <w:r w:rsidRPr="00154EB3">
              <w:t>We want to make it easier for citizens to identify their eligibility for our concession, so they don’t miss out on the financial assistance for which they are entitled.</w:t>
            </w:r>
          </w:p>
          <w:p w14:paraId="6504698B" w14:textId="6A12FF71" w:rsidR="00A82E8E" w:rsidRPr="00154EB3" w:rsidRDefault="00A82E8E" w:rsidP="00154EB3">
            <w:pPr>
              <w:spacing w:line="22" w:lineRule="atLeast"/>
            </w:pPr>
          </w:p>
        </w:tc>
      </w:tr>
      <w:tr w:rsidR="002E1AEF" w:rsidRPr="00701F65" w14:paraId="699B2A03" w14:textId="77777777" w:rsidTr="002E1AEF">
        <w:tc>
          <w:tcPr>
            <w:tcW w:w="1684" w:type="dxa"/>
          </w:tcPr>
          <w:p w14:paraId="6158C291" w14:textId="77777777" w:rsidR="002E1AEF" w:rsidRPr="000A2EEC" w:rsidRDefault="002E1AEF" w:rsidP="00154EB3">
            <w:pPr>
              <w:spacing w:line="22" w:lineRule="atLeast"/>
              <w:rPr>
                <w:b/>
                <w:bCs/>
              </w:rPr>
            </w:pPr>
            <w:r w:rsidRPr="000A2EEC">
              <w:rPr>
                <w:b/>
                <w:bCs/>
              </w:rPr>
              <w:t>Business driver</w:t>
            </w:r>
          </w:p>
        </w:tc>
        <w:tc>
          <w:tcPr>
            <w:tcW w:w="8801" w:type="dxa"/>
          </w:tcPr>
          <w:p w14:paraId="252D0C1E" w14:textId="77777777" w:rsidR="002E1AEF" w:rsidRPr="00154EB3" w:rsidRDefault="002E1AEF" w:rsidP="00154EB3">
            <w:pPr>
              <w:spacing w:line="22" w:lineRule="atLeast"/>
            </w:pPr>
            <w:r w:rsidRPr="00154EB3">
              <w:t xml:space="preserve">(State why </w:t>
            </w:r>
            <w:proofErr w:type="gramStart"/>
            <w:r w:rsidRPr="00154EB3">
              <w:t>is this</w:t>
            </w:r>
            <w:proofErr w:type="gramEnd"/>
            <w:r w:rsidRPr="00154EB3">
              <w:t xml:space="preserve"> important to your agency)</w:t>
            </w:r>
            <w:r w:rsidRPr="00154EB3">
              <w:br/>
            </w:r>
          </w:p>
          <w:p w14:paraId="0DC8AF54" w14:textId="77777777" w:rsidR="002E1AEF" w:rsidRPr="00154EB3" w:rsidRDefault="002E1AEF" w:rsidP="00154EB3">
            <w:pPr>
              <w:spacing w:line="22" w:lineRule="atLeast"/>
            </w:pPr>
            <w:r w:rsidRPr="00154EB3">
              <w:t>We think that vulnerable people are missing out on assistance and it’s a key pillar of our customer strategy that we simplify the process for application and fulfilment.</w:t>
            </w:r>
          </w:p>
          <w:p w14:paraId="4C36B3C3" w14:textId="75DE9386" w:rsidR="00A82E8E" w:rsidRPr="00154EB3" w:rsidRDefault="00A82E8E" w:rsidP="00154EB3">
            <w:pPr>
              <w:spacing w:line="22" w:lineRule="atLeast"/>
            </w:pPr>
          </w:p>
        </w:tc>
      </w:tr>
      <w:tr w:rsidR="002E1AEF" w:rsidRPr="00701F65" w14:paraId="53DF48E8" w14:textId="77777777" w:rsidTr="002E1AEF">
        <w:tc>
          <w:tcPr>
            <w:tcW w:w="1684" w:type="dxa"/>
          </w:tcPr>
          <w:p w14:paraId="00A79DB2" w14:textId="77777777" w:rsidR="002E1AEF" w:rsidRPr="000A2EEC" w:rsidRDefault="002E1AEF" w:rsidP="00154EB3">
            <w:pPr>
              <w:spacing w:line="22" w:lineRule="atLeast"/>
              <w:rPr>
                <w:b/>
                <w:bCs/>
              </w:rPr>
            </w:pPr>
            <w:r w:rsidRPr="000A2EEC">
              <w:rPr>
                <w:b/>
                <w:bCs/>
              </w:rPr>
              <w:t xml:space="preserve">Business objective </w:t>
            </w:r>
          </w:p>
        </w:tc>
        <w:tc>
          <w:tcPr>
            <w:tcW w:w="8801" w:type="dxa"/>
          </w:tcPr>
          <w:p w14:paraId="395958A8" w14:textId="77777777" w:rsidR="002E1AEF" w:rsidRPr="00154EB3" w:rsidRDefault="002E1AEF" w:rsidP="00154EB3">
            <w:pPr>
              <w:spacing w:line="22" w:lineRule="atLeast"/>
            </w:pPr>
            <w:r w:rsidRPr="00154EB3">
              <w:t xml:space="preserve">(State the outcome you are seeking) </w:t>
            </w:r>
            <w:r w:rsidRPr="00154EB3">
              <w:br/>
            </w:r>
          </w:p>
          <w:p w14:paraId="3F4DA158" w14:textId="77777777" w:rsidR="002E1AEF" w:rsidRPr="00154EB3" w:rsidRDefault="002E1AEF" w:rsidP="00154EB3">
            <w:pPr>
              <w:spacing w:line="22" w:lineRule="atLeast"/>
            </w:pPr>
            <w:r w:rsidRPr="00154EB3">
              <w:t xml:space="preserve">To obtain research and insights to improve </w:t>
            </w:r>
            <w:proofErr w:type="gramStart"/>
            <w:r w:rsidRPr="00154EB3">
              <w:t>the customer</w:t>
            </w:r>
            <w:proofErr w:type="gramEnd"/>
            <w:r w:rsidRPr="00154EB3">
              <w:t xml:space="preserve"> experience when applying for our concession. </w:t>
            </w:r>
          </w:p>
          <w:p w14:paraId="4100B9A8" w14:textId="55701243" w:rsidR="00A82E8E" w:rsidRPr="00154EB3" w:rsidRDefault="00A82E8E" w:rsidP="00154EB3">
            <w:pPr>
              <w:spacing w:line="22" w:lineRule="atLeast"/>
            </w:pPr>
          </w:p>
        </w:tc>
      </w:tr>
      <w:tr w:rsidR="002E1AEF" w:rsidRPr="00701F65" w14:paraId="2F9D676C" w14:textId="77777777" w:rsidTr="002E1AEF">
        <w:tc>
          <w:tcPr>
            <w:tcW w:w="1684" w:type="dxa"/>
          </w:tcPr>
          <w:p w14:paraId="37FCD52F" w14:textId="77777777" w:rsidR="002E1AEF" w:rsidRPr="000A2EEC" w:rsidRDefault="002E1AEF" w:rsidP="00154EB3">
            <w:pPr>
              <w:spacing w:line="22" w:lineRule="atLeast"/>
              <w:rPr>
                <w:b/>
                <w:bCs/>
              </w:rPr>
            </w:pPr>
            <w:r w:rsidRPr="000A2EEC">
              <w:rPr>
                <w:b/>
                <w:bCs/>
              </w:rPr>
              <w:t xml:space="preserve">Business requirements </w:t>
            </w:r>
          </w:p>
          <w:p w14:paraId="798B2AF0" w14:textId="77777777" w:rsidR="002E1AEF" w:rsidRPr="000A2EEC" w:rsidRDefault="002E1AEF" w:rsidP="00154EB3">
            <w:pPr>
              <w:spacing w:line="22" w:lineRule="atLeast"/>
              <w:rPr>
                <w:b/>
                <w:bCs/>
              </w:rPr>
            </w:pPr>
          </w:p>
        </w:tc>
        <w:tc>
          <w:tcPr>
            <w:tcW w:w="8801" w:type="dxa"/>
          </w:tcPr>
          <w:p w14:paraId="3F5D4B1D" w14:textId="791FDEDA" w:rsidR="002E1AEF" w:rsidRPr="00154EB3" w:rsidRDefault="002E1AEF" w:rsidP="000A2EEC">
            <w:pPr>
              <w:spacing w:line="24" w:lineRule="atLeast"/>
            </w:pPr>
            <w:r w:rsidRPr="00154EB3">
              <w:t>(State your requirements)</w:t>
            </w:r>
          </w:p>
          <w:p w14:paraId="6E437AD9" w14:textId="77777777" w:rsidR="002E1AEF" w:rsidRPr="00154EB3" w:rsidRDefault="002E1AEF" w:rsidP="000A2EEC">
            <w:pPr>
              <w:spacing w:line="24" w:lineRule="atLeast"/>
            </w:pPr>
          </w:p>
          <w:p w14:paraId="79175FFD" w14:textId="77777777" w:rsidR="002E1AEF" w:rsidRPr="00154EB3" w:rsidRDefault="002E1AEF" w:rsidP="000A2EEC">
            <w:pPr>
              <w:spacing w:line="24" w:lineRule="atLeast"/>
              <w:rPr>
                <w:b/>
                <w:bCs/>
              </w:rPr>
            </w:pPr>
            <w:r w:rsidRPr="00154EB3">
              <w:rPr>
                <w:b/>
                <w:bCs/>
              </w:rPr>
              <w:t>Milestone 1 (2 to 6 weeks engagement)</w:t>
            </w:r>
          </w:p>
          <w:p w14:paraId="10CA5F8E" w14:textId="77777777" w:rsidR="002E1AEF" w:rsidRPr="00154EB3" w:rsidRDefault="002E1AEF" w:rsidP="000A2EEC">
            <w:pPr>
              <w:numPr>
                <w:ilvl w:val="0"/>
                <w:numId w:val="13"/>
              </w:numPr>
              <w:spacing w:line="24" w:lineRule="atLeast"/>
            </w:pPr>
            <w:r w:rsidRPr="00154EB3">
              <w:t>Deep customer understanding – leverage and review existing research to understand customer needs and pain points for key customer types:</w:t>
            </w:r>
          </w:p>
          <w:p w14:paraId="3EC07AC4" w14:textId="77777777" w:rsidR="002E1AEF" w:rsidRPr="00154EB3" w:rsidRDefault="002E1AEF" w:rsidP="000A2EEC">
            <w:pPr>
              <w:numPr>
                <w:ilvl w:val="1"/>
                <w:numId w:val="13"/>
              </w:numPr>
              <w:spacing w:line="24" w:lineRule="atLeast"/>
            </w:pPr>
            <w:r w:rsidRPr="00154EB3">
              <w:t>new qualitative/quantitative research to deepen understanding of customer needs and pain points for customer types and segments</w:t>
            </w:r>
          </w:p>
          <w:p w14:paraId="7932832C" w14:textId="77777777" w:rsidR="002E1AEF" w:rsidRPr="00154EB3" w:rsidRDefault="002E1AEF" w:rsidP="000A2EEC">
            <w:pPr>
              <w:numPr>
                <w:ilvl w:val="1"/>
                <w:numId w:val="13"/>
              </w:numPr>
              <w:spacing w:line="24" w:lineRule="atLeast"/>
            </w:pPr>
            <w:r w:rsidRPr="00154EB3">
              <w:t>consider what improvements could be made to the process of applying for and getting a concession which would address pain points and encourage use of the concession.</w:t>
            </w:r>
            <w:r w:rsidRPr="00154EB3">
              <w:br/>
            </w:r>
          </w:p>
          <w:p w14:paraId="21DF2440" w14:textId="1BD4D858" w:rsidR="002E1AEF" w:rsidRPr="00154EB3" w:rsidRDefault="002E1AEF" w:rsidP="000A2EEC">
            <w:pPr>
              <w:numPr>
                <w:ilvl w:val="0"/>
                <w:numId w:val="13"/>
              </w:numPr>
              <w:spacing w:line="24" w:lineRule="atLeast"/>
            </w:pPr>
            <w:r w:rsidRPr="00154EB3">
              <w:t xml:space="preserve">Map key customer journeys end-to-end, across service delivery channels, define the moments that matter and </w:t>
            </w:r>
            <w:proofErr w:type="gramStart"/>
            <w:r w:rsidRPr="00154EB3">
              <w:t>success</w:t>
            </w:r>
            <w:proofErr w:type="gramEnd"/>
            <w:r w:rsidRPr="00154EB3">
              <w:t xml:space="preserve"> criteria for key customer tasks. At minimum the journey maps will consider these audience </w:t>
            </w:r>
            <w:proofErr w:type="gramStart"/>
            <w:r w:rsidRPr="00154EB3">
              <w:t>personas</w:t>
            </w:r>
            <w:proofErr w:type="gramEnd"/>
            <w:r w:rsidRPr="00154EB3">
              <w:t>:</w:t>
            </w:r>
          </w:p>
          <w:p w14:paraId="087E6912" w14:textId="77777777" w:rsidR="002E1AEF" w:rsidRPr="00154EB3" w:rsidRDefault="002E1AEF" w:rsidP="000A2EEC">
            <w:pPr>
              <w:numPr>
                <w:ilvl w:val="1"/>
                <w:numId w:val="13"/>
              </w:numPr>
              <w:spacing w:line="24" w:lineRule="atLeast"/>
            </w:pPr>
            <w:r w:rsidRPr="00154EB3">
              <w:t>concession applicant</w:t>
            </w:r>
          </w:p>
          <w:p w14:paraId="74918564" w14:textId="77777777" w:rsidR="002E1AEF" w:rsidRPr="00154EB3" w:rsidRDefault="002E1AEF" w:rsidP="000A2EEC">
            <w:pPr>
              <w:numPr>
                <w:ilvl w:val="1"/>
                <w:numId w:val="13"/>
              </w:numPr>
              <w:spacing w:line="24" w:lineRule="atLeast"/>
            </w:pPr>
            <w:r w:rsidRPr="00154EB3">
              <w:t>government agency staff</w:t>
            </w:r>
          </w:p>
          <w:p w14:paraId="0DB753D4" w14:textId="77777777" w:rsidR="002E1AEF" w:rsidRPr="00154EB3" w:rsidRDefault="002E1AEF" w:rsidP="000A2EEC">
            <w:pPr>
              <w:numPr>
                <w:ilvl w:val="1"/>
                <w:numId w:val="13"/>
              </w:numPr>
              <w:spacing w:line="24" w:lineRule="atLeast"/>
            </w:pPr>
            <w:r w:rsidRPr="00154EB3">
              <w:t xml:space="preserve">community </w:t>
            </w:r>
            <w:proofErr w:type="spellStart"/>
            <w:r w:rsidRPr="00154EB3">
              <w:t>organisation</w:t>
            </w:r>
            <w:proofErr w:type="spellEnd"/>
            <w:r w:rsidRPr="00154EB3">
              <w:t xml:space="preserve"> staff/third party provider.</w:t>
            </w:r>
            <w:r w:rsidRPr="00154EB3">
              <w:br/>
            </w:r>
          </w:p>
          <w:p w14:paraId="4D17A14A" w14:textId="77777777" w:rsidR="002E1AEF" w:rsidRPr="00154EB3" w:rsidRDefault="002E1AEF" w:rsidP="000A2EEC">
            <w:pPr>
              <w:numPr>
                <w:ilvl w:val="0"/>
                <w:numId w:val="13"/>
              </w:numPr>
              <w:spacing w:line="24" w:lineRule="atLeast"/>
            </w:pPr>
            <w:r w:rsidRPr="00154EB3">
              <w:t>Map key “back end” business process that support the “front stage” activities that the customer undertakes and present how they can be improved.</w:t>
            </w:r>
          </w:p>
          <w:p w14:paraId="45000117" w14:textId="1373E820" w:rsidR="00DF3591" w:rsidRPr="00154EB3" w:rsidRDefault="00DF3591" w:rsidP="000A2EEC">
            <w:pPr>
              <w:spacing w:line="24" w:lineRule="atLeast"/>
            </w:pPr>
          </w:p>
          <w:p w14:paraId="19BCBA2F" w14:textId="77777777" w:rsidR="002E1AEF" w:rsidRPr="00154EB3" w:rsidRDefault="002E1AEF" w:rsidP="000A2EEC">
            <w:pPr>
              <w:spacing w:line="24" w:lineRule="atLeast"/>
              <w:rPr>
                <w:b/>
                <w:bCs/>
              </w:rPr>
            </w:pPr>
            <w:r w:rsidRPr="00154EB3">
              <w:rPr>
                <w:b/>
                <w:bCs/>
              </w:rPr>
              <w:t>Milestone 2 – (up to 8-week engagement)</w:t>
            </w:r>
          </w:p>
          <w:p w14:paraId="745CFE25" w14:textId="77777777" w:rsidR="002E1AEF" w:rsidRPr="00154EB3" w:rsidRDefault="002E1AEF" w:rsidP="000A2EEC">
            <w:pPr>
              <w:spacing w:line="24" w:lineRule="atLeast"/>
            </w:pPr>
            <w:r w:rsidRPr="00154EB3">
              <w:t>Digital clickable prototype/s, tested with real concession customers that bring to life the future stage journey.</w:t>
            </w:r>
          </w:p>
          <w:p w14:paraId="783F4DED" w14:textId="477973CC" w:rsidR="00A82E8E" w:rsidRPr="00154EB3" w:rsidRDefault="00A82E8E" w:rsidP="000A2EEC">
            <w:pPr>
              <w:spacing w:line="24" w:lineRule="atLeast"/>
            </w:pPr>
          </w:p>
        </w:tc>
      </w:tr>
    </w:tbl>
    <w:p w14:paraId="3B124EA7" w14:textId="77777777" w:rsidR="000A2EEC" w:rsidRDefault="000A2EEC">
      <w:r>
        <w:br w:type="page"/>
      </w:r>
    </w:p>
    <w:tbl>
      <w:tblPr>
        <w:tblStyle w:val="TableGrid"/>
        <w:tblW w:w="10485" w:type="dxa"/>
        <w:tblLook w:val="04A0" w:firstRow="1" w:lastRow="0" w:firstColumn="1" w:lastColumn="0" w:noHBand="0" w:noVBand="1"/>
      </w:tblPr>
      <w:tblGrid>
        <w:gridCol w:w="1684"/>
        <w:gridCol w:w="8801"/>
      </w:tblGrid>
      <w:tr w:rsidR="002277D9" w:rsidRPr="00701F65" w14:paraId="7E11EC2E" w14:textId="77777777" w:rsidTr="002E1AEF">
        <w:tc>
          <w:tcPr>
            <w:tcW w:w="1684" w:type="dxa"/>
          </w:tcPr>
          <w:p w14:paraId="5AF2F3F8" w14:textId="60B92D78" w:rsidR="002277D9" w:rsidRPr="000A2EEC" w:rsidRDefault="002277D9" w:rsidP="00154EB3">
            <w:pPr>
              <w:spacing w:line="22" w:lineRule="atLeast"/>
              <w:rPr>
                <w:b/>
                <w:bCs/>
              </w:rPr>
            </w:pPr>
            <w:r w:rsidRPr="000A2EEC">
              <w:rPr>
                <w:b/>
                <w:bCs/>
              </w:rPr>
              <w:lastRenderedPageBreak/>
              <w:t xml:space="preserve">Functional and non-functional requirements </w:t>
            </w:r>
          </w:p>
        </w:tc>
        <w:tc>
          <w:tcPr>
            <w:tcW w:w="8801" w:type="dxa"/>
          </w:tcPr>
          <w:p w14:paraId="28C5B399" w14:textId="07B55B2E" w:rsidR="002277D9" w:rsidRPr="00154EB3" w:rsidRDefault="002277D9" w:rsidP="00154EB3">
            <w:pPr>
              <w:spacing w:line="22" w:lineRule="atLeast"/>
            </w:pPr>
            <w:r w:rsidRPr="00154EB3">
              <w:t xml:space="preserve">(Add in the functions and or features you need to have - if known) </w:t>
            </w:r>
            <w:r w:rsidRPr="00154EB3">
              <w:br/>
            </w:r>
          </w:p>
          <w:p w14:paraId="4B1B2183" w14:textId="77777777" w:rsidR="002277D9" w:rsidRPr="00154EB3" w:rsidRDefault="002277D9" w:rsidP="00154EB3">
            <w:pPr>
              <w:spacing w:line="22" w:lineRule="atLeast"/>
            </w:pPr>
            <w:r w:rsidRPr="00154EB3">
              <w:t xml:space="preserve">The following requirements have been given a priority rating Mandatory, Highly Desirable or Desirable. Below are some descriptors associated with the priorities that will assist in measuring the importance of each requirement. </w:t>
            </w:r>
          </w:p>
          <w:p w14:paraId="6AE170A2" w14:textId="77777777" w:rsidR="002277D9" w:rsidRPr="00154EB3" w:rsidRDefault="002277D9" w:rsidP="00154EB3">
            <w:pPr>
              <w:spacing w:line="22" w:lineRule="atLeast"/>
            </w:pPr>
          </w:p>
          <w:p w14:paraId="65AAF315" w14:textId="77777777" w:rsidR="002277D9" w:rsidRPr="00154EB3" w:rsidRDefault="002277D9" w:rsidP="00154EB3">
            <w:pPr>
              <w:pStyle w:val="ListParagraph"/>
              <w:numPr>
                <w:ilvl w:val="0"/>
                <w:numId w:val="14"/>
              </w:numPr>
              <w:spacing w:after="0" w:line="22" w:lineRule="atLeast"/>
            </w:pPr>
            <w:r w:rsidRPr="00154EB3">
              <w:t>Mandatory (M)—the solution is not acceptable unless these requirements are satisfied.</w:t>
            </w:r>
          </w:p>
          <w:p w14:paraId="6A3C4CC2" w14:textId="77777777" w:rsidR="002277D9" w:rsidRPr="00154EB3" w:rsidRDefault="002277D9" w:rsidP="00154EB3">
            <w:pPr>
              <w:pStyle w:val="ListParagraph"/>
              <w:numPr>
                <w:ilvl w:val="0"/>
                <w:numId w:val="14"/>
              </w:numPr>
              <w:spacing w:after="0" w:line="22" w:lineRule="atLeast"/>
            </w:pPr>
            <w:r w:rsidRPr="00154EB3">
              <w:t>Highly Desirable (</w:t>
            </w:r>
            <w:proofErr w:type="gramStart"/>
            <w:r w:rsidRPr="00154EB3">
              <w:t>HD)—</w:t>
            </w:r>
            <w:proofErr w:type="gramEnd"/>
            <w:r w:rsidRPr="00154EB3">
              <w:t xml:space="preserve">preferred, however not compulsory. Inclusion of the requirement within the solution is </w:t>
            </w:r>
            <w:proofErr w:type="spellStart"/>
            <w:r w:rsidRPr="00154EB3">
              <w:t>favoured</w:t>
            </w:r>
            <w:proofErr w:type="spellEnd"/>
            <w:r w:rsidRPr="00154EB3">
              <w:t>, alternative similar solutions may be provided.</w:t>
            </w:r>
          </w:p>
          <w:p w14:paraId="2659B067" w14:textId="77777777" w:rsidR="002277D9" w:rsidRPr="00154EB3" w:rsidRDefault="002277D9" w:rsidP="00154EB3">
            <w:pPr>
              <w:pStyle w:val="ListParagraph"/>
              <w:numPr>
                <w:ilvl w:val="0"/>
                <w:numId w:val="14"/>
              </w:numPr>
              <w:spacing w:after="0" w:line="22" w:lineRule="atLeast"/>
            </w:pPr>
            <w:r w:rsidRPr="00154EB3">
              <w:t>Desirable (</w:t>
            </w:r>
            <w:proofErr w:type="gramStart"/>
            <w:r w:rsidRPr="00154EB3">
              <w:t>D)—</w:t>
            </w:r>
            <w:proofErr w:type="gramEnd"/>
            <w:r w:rsidRPr="00154EB3">
              <w:t xml:space="preserve">the solution is acceptable without the requirement </w:t>
            </w:r>
            <w:proofErr w:type="gramStart"/>
            <w:r w:rsidRPr="00154EB3">
              <w:t>however,</w:t>
            </w:r>
            <w:proofErr w:type="gramEnd"/>
            <w:r w:rsidRPr="00154EB3">
              <w:t xml:space="preserve"> it would be of use.</w:t>
            </w:r>
          </w:p>
          <w:p w14:paraId="59D137E8" w14:textId="77777777" w:rsidR="002277D9" w:rsidRPr="00154EB3" w:rsidRDefault="002277D9" w:rsidP="00154EB3">
            <w:pPr>
              <w:spacing w:line="22" w:lineRule="atLeast"/>
            </w:pPr>
          </w:p>
          <w:p w14:paraId="4A5AACFA" w14:textId="77777777" w:rsidR="002277D9" w:rsidRPr="00154EB3" w:rsidRDefault="002277D9" w:rsidP="00154EB3">
            <w:pPr>
              <w:spacing w:line="22" w:lineRule="atLeast"/>
              <w:rPr>
                <w:b/>
                <w:bCs/>
              </w:rPr>
            </w:pPr>
            <w:r w:rsidRPr="00154EB3">
              <w:rPr>
                <w:b/>
                <w:bCs/>
              </w:rPr>
              <w:t xml:space="preserve">Required deliverables </w:t>
            </w:r>
          </w:p>
          <w:p w14:paraId="13AAC9AA" w14:textId="77777777" w:rsidR="002277D9" w:rsidRPr="00154EB3" w:rsidRDefault="002277D9" w:rsidP="00154EB3">
            <w:pPr>
              <w:pStyle w:val="ListParagraph"/>
              <w:numPr>
                <w:ilvl w:val="0"/>
                <w:numId w:val="15"/>
              </w:numPr>
              <w:spacing w:after="0" w:line="22" w:lineRule="atLeast"/>
            </w:pPr>
            <w:r w:rsidRPr="00154EB3">
              <w:t xml:space="preserve">End-to-end journey maps, which describe the typical interactions and experiences of concession customers, agents and users. Including touchpoints and interfaces with government and nongovernment services, needs, pain points, challenges and what’s working well. The journey map(s) will include both current and future state. </w:t>
            </w:r>
          </w:p>
          <w:p w14:paraId="1A07463E" w14:textId="77777777" w:rsidR="002277D9" w:rsidRPr="00154EB3" w:rsidRDefault="002277D9" w:rsidP="00154EB3">
            <w:pPr>
              <w:pStyle w:val="ListParagraph"/>
              <w:numPr>
                <w:ilvl w:val="0"/>
                <w:numId w:val="15"/>
              </w:numPr>
              <w:spacing w:after="0" w:line="22" w:lineRule="atLeast"/>
            </w:pPr>
            <w:r w:rsidRPr="00154EB3">
              <w:t xml:space="preserve">Insights and opportunities report that </w:t>
            </w:r>
            <w:proofErr w:type="spellStart"/>
            <w:r w:rsidRPr="00154EB3">
              <w:t>summarises</w:t>
            </w:r>
            <w:proofErr w:type="spellEnd"/>
            <w:r w:rsidRPr="00154EB3">
              <w:t xml:space="preserve"> findings from contextual and secondary research. The report will include key insights, including methodology, definitions, research outcomes, process mapping, i.e. business processes as well as customer processes, learnings and recommendations. </w:t>
            </w:r>
          </w:p>
          <w:p w14:paraId="241E76F1" w14:textId="77777777" w:rsidR="002277D9" w:rsidRPr="00154EB3" w:rsidRDefault="002277D9" w:rsidP="00154EB3">
            <w:pPr>
              <w:pStyle w:val="ListParagraph"/>
              <w:numPr>
                <w:ilvl w:val="0"/>
                <w:numId w:val="15"/>
              </w:numPr>
              <w:spacing w:after="0" w:line="22" w:lineRule="atLeast"/>
            </w:pPr>
            <w:r w:rsidRPr="00154EB3">
              <w:t xml:space="preserve">Journey mapping activities should include: </w:t>
            </w:r>
          </w:p>
          <w:p w14:paraId="3FC5BACA" w14:textId="77777777" w:rsidR="002277D9" w:rsidRPr="00154EB3" w:rsidRDefault="002277D9" w:rsidP="00154EB3">
            <w:pPr>
              <w:pStyle w:val="ListParagraph"/>
              <w:numPr>
                <w:ilvl w:val="1"/>
                <w:numId w:val="15"/>
              </w:numPr>
              <w:spacing w:after="0" w:line="22" w:lineRule="atLeast"/>
            </w:pPr>
            <w:r w:rsidRPr="00154EB3">
              <w:t xml:space="preserve">primary research with representative samples from various cohorts to understand their needs </w:t>
            </w:r>
          </w:p>
          <w:p w14:paraId="1F9BBCEA" w14:textId="77777777" w:rsidR="002277D9" w:rsidRPr="00154EB3" w:rsidRDefault="002277D9" w:rsidP="00154EB3">
            <w:pPr>
              <w:pStyle w:val="ListParagraph"/>
              <w:numPr>
                <w:ilvl w:val="1"/>
                <w:numId w:val="15"/>
              </w:numPr>
              <w:spacing w:after="0" w:line="22" w:lineRule="atLeast"/>
            </w:pPr>
            <w:r w:rsidRPr="00154EB3">
              <w:t>integration of existing secondary research</w:t>
            </w:r>
          </w:p>
          <w:p w14:paraId="34AB1534" w14:textId="77777777" w:rsidR="002277D9" w:rsidRPr="00154EB3" w:rsidRDefault="002277D9" w:rsidP="00154EB3">
            <w:pPr>
              <w:pStyle w:val="ListParagraph"/>
              <w:numPr>
                <w:ilvl w:val="1"/>
                <w:numId w:val="15"/>
              </w:numPr>
              <w:spacing w:after="0" w:line="22" w:lineRule="atLeast"/>
            </w:pPr>
            <w:r w:rsidRPr="00154EB3">
              <w:t>synthesis of research and development of insights</w:t>
            </w:r>
          </w:p>
          <w:p w14:paraId="22594E93" w14:textId="77777777" w:rsidR="002277D9" w:rsidRPr="00154EB3" w:rsidRDefault="002277D9" w:rsidP="00154EB3">
            <w:pPr>
              <w:pStyle w:val="ListParagraph"/>
              <w:numPr>
                <w:ilvl w:val="1"/>
                <w:numId w:val="15"/>
              </w:numPr>
              <w:spacing w:after="0" w:line="22" w:lineRule="atLeast"/>
            </w:pPr>
            <w:r w:rsidRPr="00154EB3">
              <w:t>empathy mapping for various cohorts as required</w:t>
            </w:r>
          </w:p>
          <w:p w14:paraId="57281958" w14:textId="77777777" w:rsidR="002277D9" w:rsidRPr="00154EB3" w:rsidRDefault="002277D9" w:rsidP="00154EB3">
            <w:pPr>
              <w:pStyle w:val="ListParagraph"/>
              <w:numPr>
                <w:ilvl w:val="1"/>
                <w:numId w:val="15"/>
              </w:numPr>
              <w:spacing w:after="0" w:line="22" w:lineRule="atLeast"/>
            </w:pPr>
            <w:r w:rsidRPr="00154EB3">
              <w:t>the development of design criteria (by which any future possible solution may be critiqued against for evaluation against the customer need)</w:t>
            </w:r>
          </w:p>
          <w:p w14:paraId="38612ACC" w14:textId="77777777" w:rsidR="002277D9" w:rsidRPr="00154EB3" w:rsidRDefault="002277D9" w:rsidP="00154EB3">
            <w:pPr>
              <w:pStyle w:val="ListParagraph"/>
              <w:numPr>
                <w:ilvl w:val="1"/>
                <w:numId w:val="15"/>
              </w:numPr>
              <w:spacing w:after="0" w:line="22" w:lineRule="atLeast"/>
            </w:pPr>
            <w:r w:rsidRPr="00154EB3">
              <w:t>confirmation or iteration of supplied problem statement (based on and supported by research)</w:t>
            </w:r>
          </w:p>
          <w:p w14:paraId="02B3A82F" w14:textId="77777777" w:rsidR="002277D9" w:rsidRPr="00154EB3" w:rsidRDefault="002277D9" w:rsidP="00154EB3">
            <w:pPr>
              <w:pStyle w:val="ListParagraph"/>
              <w:numPr>
                <w:ilvl w:val="1"/>
                <w:numId w:val="15"/>
              </w:numPr>
              <w:spacing w:after="0" w:line="22" w:lineRule="atLeast"/>
            </w:pPr>
            <w:r w:rsidRPr="00154EB3">
              <w:t>creation of customer journey maps</w:t>
            </w:r>
          </w:p>
          <w:p w14:paraId="4147BEE8" w14:textId="77777777" w:rsidR="002277D9" w:rsidRPr="00154EB3" w:rsidRDefault="002277D9" w:rsidP="00154EB3">
            <w:pPr>
              <w:pStyle w:val="ListParagraph"/>
              <w:numPr>
                <w:ilvl w:val="1"/>
                <w:numId w:val="15"/>
              </w:numPr>
              <w:spacing w:after="0" w:line="22" w:lineRule="atLeast"/>
            </w:pPr>
            <w:r w:rsidRPr="00154EB3">
              <w:t>final report and presentation of the first phase – ‘understand and define’ stakeholder engagement</w:t>
            </w:r>
          </w:p>
          <w:p w14:paraId="7873AE16" w14:textId="77777777" w:rsidR="002277D9" w:rsidRPr="00154EB3" w:rsidRDefault="002277D9" w:rsidP="00154EB3">
            <w:pPr>
              <w:pStyle w:val="ListParagraph"/>
              <w:numPr>
                <w:ilvl w:val="1"/>
                <w:numId w:val="15"/>
              </w:numPr>
              <w:spacing w:after="0" w:line="22" w:lineRule="atLeast"/>
            </w:pPr>
            <w:r w:rsidRPr="00154EB3">
              <w:t>fortnightly showcases during the 12-week project and final showcase presentation to key stakeholders</w:t>
            </w:r>
          </w:p>
          <w:p w14:paraId="08EA70BD" w14:textId="77777777" w:rsidR="002277D9" w:rsidRPr="00154EB3" w:rsidRDefault="002277D9" w:rsidP="00154EB3">
            <w:pPr>
              <w:pStyle w:val="ListParagraph"/>
              <w:numPr>
                <w:ilvl w:val="0"/>
                <w:numId w:val="15"/>
              </w:numPr>
              <w:spacing w:after="0" w:line="22" w:lineRule="atLeast"/>
            </w:pPr>
            <w:r w:rsidRPr="00154EB3">
              <w:t>Digital clickable prototype/s, tested with real concession customers that bring to life the future stage journey.</w:t>
            </w:r>
          </w:p>
          <w:p w14:paraId="24F3C81F" w14:textId="77777777" w:rsidR="002277D9" w:rsidRPr="00154EB3" w:rsidRDefault="002277D9" w:rsidP="00154EB3">
            <w:pPr>
              <w:spacing w:line="22" w:lineRule="atLeast"/>
            </w:pPr>
          </w:p>
          <w:p w14:paraId="37510F59" w14:textId="77777777" w:rsidR="002277D9" w:rsidRPr="00154EB3" w:rsidRDefault="002277D9" w:rsidP="00154EB3">
            <w:pPr>
              <w:spacing w:line="22" w:lineRule="atLeast"/>
              <w:rPr>
                <w:b/>
                <w:bCs/>
              </w:rPr>
            </w:pPr>
            <w:r w:rsidRPr="00154EB3">
              <w:rPr>
                <w:b/>
                <w:bCs/>
              </w:rPr>
              <w:t>Milestone 1 requirements</w:t>
            </w:r>
          </w:p>
          <w:p w14:paraId="3BC6AB1D" w14:textId="77777777" w:rsidR="002277D9" w:rsidRPr="00154EB3" w:rsidRDefault="002277D9" w:rsidP="00154EB3">
            <w:pPr>
              <w:pStyle w:val="ListParagraph"/>
              <w:numPr>
                <w:ilvl w:val="0"/>
                <w:numId w:val="16"/>
              </w:numPr>
              <w:spacing w:after="0" w:line="22" w:lineRule="atLeast"/>
            </w:pPr>
            <w:r w:rsidRPr="00154EB3">
              <w:t>End-to-end journey maps—priority M</w:t>
            </w:r>
          </w:p>
          <w:p w14:paraId="4F9F52F2" w14:textId="77777777" w:rsidR="002277D9" w:rsidRPr="00154EB3" w:rsidRDefault="002277D9" w:rsidP="00154EB3">
            <w:pPr>
              <w:pStyle w:val="ListParagraph"/>
              <w:numPr>
                <w:ilvl w:val="0"/>
                <w:numId w:val="16"/>
              </w:numPr>
              <w:spacing w:after="0" w:line="22" w:lineRule="atLeast"/>
            </w:pPr>
            <w:r w:rsidRPr="00154EB3">
              <w:t>Insights and opportunities—priority M</w:t>
            </w:r>
          </w:p>
          <w:p w14:paraId="2E3DFED5" w14:textId="77777777" w:rsidR="002277D9" w:rsidRPr="00154EB3" w:rsidRDefault="002277D9" w:rsidP="00154EB3">
            <w:pPr>
              <w:pStyle w:val="ListParagraph"/>
              <w:numPr>
                <w:ilvl w:val="0"/>
                <w:numId w:val="16"/>
              </w:numPr>
              <w:spacing w:after="0" w:line="22" w:lineRule="atLeast"/>
            </w:pPr>
            <w:r w:rsidRPr="00154EB3">
              <w:t>Journey mapping—priority M</w:t>
            </w:r>
          </w:p>
          <w:p w14:paraId="1B6600F5" w14:textId="77777777" w:rsidR="002277D9" w:rsidRPr="00154EB3" w:rsidRDefault="002277D9" w:rsidP="00154EB3">
            <w:pPr>
              <w:spacing w:line="22" w:lineRule="atLeast"/>
            </w:pPr>
          </w:p>
          <w:p w14:paraId="333F66BC" w14:textId="77777777" w:rsidR="002277D9" w:rsidRPr="00154EB3" w:rsidRDefault="002277D9" w:rsidP="00154EB3">
            <w:pPr>
              <w:spacing w:line="22" w:lineRule="atLeast"/>
              <w:rPr>
                <w:b/>
                <w:bCs/>
              </w:rPr>
            </w:pPr>
            <w:r w:rsidRPr="00154EB3">
              <w:rPr>
                <w:b/>
                <w:bCs/>
              </w:rPr>
              <w:t>Milestone 2 requirements</w:t>
            </w:r>
          </w:p>
          <w:p w14:paraId="225508D3" w14:textId="77777777" w:rsidR="002277D9" w:rsidRPr="00154EB3" w:rsidRDefault="002277D9" w:rsidP="00154EB3">
            <w:pPr>
              <w:pStyle w:val="ListParagraph"/>
              <w:numPr>
                <w:ilvl w:val="0"/>
                <w:numId w:val="17"/>
              </w:numPr>
              <w:spacing w:after="0" w:line="22" w:lineRule="atLeast"/>
            </w:pPr>
            <w:r w:rsidRPr="00154EB3">
              <w:t>Digital clickable prototype/s—priority M</w:t>
            </w:r>
          </w:p>
          <w:p w14:paraId="334047EA" w14:textId="77777777" w:rsidR="002277D9" w:rsidRPr="00154EB3" w:rsidRDefault="002277D9" w:rsidP="00154EB3">
            <w:pPr>
              <w:spacing w:line="22" w:lineRule="atLeast"/>
            </w:pPr>
          </w:p>
          <w:p w14:paraId="4413BDDD" w14:textId="77777777" w:rsidR="002277D9" w:rsidRPr="00154EB3" w:rsidRDefault="002277D9" w:rsidP="00154EB3">
            <w:pPr>
              <w:spacing w:line="22" w:lineRule="atLeast"/>
              <w:rPr>
                <w:b/>
                <w:bCs/>
              </w:rPr>
            </w:pPr>
            <w:r w:rsidRPr="00154EB3">
              <w:rPr>
                <w:b/>
                <w:bCs/>
              </w:rPr>
              <w:t>Acceptance criteria for all deliverables:</w:t>
            </w:r>
          </w:p>
          <w:p w14:paraId="4467A9AB" w14:textId="77777777" w:rsidR="002277D9" w:rsidRPr="00154EB3" w:rsidRDefault="002277D9" w:rsidP="00154EB3">
            <w:pPr>
              <w:pStyle w:val="ListParagraph"/>
              <w:numPr>
                <w:ilvl w:val="0"/>
                <w:numId w:val="18"/>
              </w:numPr>
              <w:spacing w:after="0" w:line="22" w:lineRule="atLeast"/>
            </w:pPr>
            <w:r w:rsidRPr="00154EB3">
              <w:t>Fortnightly showcase delivered to stakeholders (agile)</w:t>
            </w:r>
          </w:p>
          <w:p w14:paraId="57E4CB8D" w14:textId="77777777" w:rsidR="002277D9" w:rsidRPr="00154EB3" w:rsidRDefault="002277D9" w:rsidP="00154EB3">
            <w:pPr>
              <w:pStyle w:val="ListParagraph"/>
              <w:numPr>
                <w:ilvl w:val="0"/>
                <w:numId w:val="18"/>
              </w:numPr>
              <w:spacing w:after="0" w:line="22" w:lineRule="atLeast"/>
            </w:pPr>
            <w:r w:rsidRPr="00154EB3">
              <w:t>All defined customer cohorts covered and included as required</w:t>
            </w:r>
          </w:p>
          <w:p w14:paraId="7F61D688" w14:textId="77777777" w:rsidR="002277D9" w:rsidRPr="00154EB3" w:rsidRDefault="002277D9" w:rsidP="00154EB3">
            <w:pPr>
              <w:pStyle w:val="ListParagraph"/>
              <w:numPr>
                <w:ilvl w:val="0"/>
                <w:numId w:val="18"/>
              </w:numPr>
              <w:spacing w:after="0" w:line="22" w:lineRule="atLeast"/>
            </w:pPr>
            <w:r w:rsidRPr="00154EB3">
              <w:t>All deliverables within approved timeframes</w:t>
            </w:r>
          </w:p>
          <w:p w14:paraId="67701857" w14:textId="77777777" w:rsidR="002277D9" w:rsidRPr="00154EB3" w:rsidRDefault="002277D9" w:rsidP="00154EB3">
            <w:pPr>
              <w:pStyle w:val="ListParagraph"/>
              <w:numPr>
                <w:ilvl w:val="0"/>
                <w:numId w:val="18"/>
              </w:numPr>
              <w:spacing w:after="0" w:line="22" w:lineRule="atLeast"/>
            </w:pPr>
            <w:r w:rsidRPr="00154EB3">
              <w:t>Delivery must be an agreed format</w:t>
            </w:r>
          </w:p>
          <w:p w14:paraId="5262A20A" w14:textId="77777777" w:rsidR="002277D9" w:rsidRPr="00154EB3" w:rsidRDefault="002277D9" w:rsidP="00154EB3">
            <w:pPr>
              <w:pStyle w:val="ListParagraph"/>
              <w:numPr>
                <w:ilvl w:val="0"/>
                <w:numId w:val="18"/>
              </w:numPr>
              <w:spacing w:after="0" w:line="22" w:lineRule="atLeast"/>
            </w:pPr>
            <w:r w:rsidRPr="00154EB3">
              <w:lastRenderedPageBreak/>
              <w:t>Including final PDFs, final working files (e.g. Word, PowerPoint, Excel or similar), any design files (e.g. Adobe Illustrator, Photoshop, Sketch, InDesign, Figma, Acrobat or similar).</w:t>
            </w:r>
          </w:p>
          <w:p w14:paraId="35865905" w14:textId="77777777" w:rsidR="002277D9" w:rsidRPr="00154EB3" w:rsidRDefault="002277D9" w:rsidP="00154EB3">
            <w:pPr>
              <w:spacing w:line="22" w:lineRule="atLeast"/>
            </w:pPr>
          </w:p>
        </w:tc>
      </w:tr>
      <w:tr w:rsidR="00ED5C9E" w:rsidRPr="00701F65" w14:paraId="17C6491C" w14:textId="77777777" w:rsidTr="002E1AEF">
        <w:tc>
          <w:tcPr>
            <w:tcW w:w="1684" w:type="dxa"/>
          </w:tcPr>
          <w:p w14:paraId="7271ACB8" w14:textId="4D426C00" w:rsidR="00ED5C9E" w:rsidRPr="000A2EEC" w:rsidRDefault="00ED5C9E" w:rsidP="00154EB3">
            <w:pPr>
              <w:spacing w:line="22" w:lineRule="atLeast"/>
              <w:rPr>
                <w:b/>
                <w:bCs/>
              </w:rPr>
            </w:pPr>
            <w:r w:rsidRPr="000A2EEC">
              <w:rPr>
                <w:b/>
                <w:bCs/>
              </w:rPr>
              <w:lastRenderedPageBreak/>
              <w:t xml:space="preserve">Assumptions </w:t>
            </w:r>
          </w:p>
        </w:tc>
        <w:tc>
          <w:tcPr>
            <w:tcW w:w="8801" w:type="dxa"/>
          </w:tcPr>
          <w:p w14:paraId="1CCE57D7" w14:textId="1D3B4CFE" w:rsidR="00ED5C9E" w:rsidRPr="00154EB3" w:rsidRDefault="00ED5C9E" w:rsidP="00154EB3">
            <w:pPr>
              <w:spacing w:line="22" w:lineRule="atLeast"/>
            </w:pPr>
            <w:r w:rsidRPr="00154EB3">
              <w:t>The following assumptions have been made during the planning of this project:</w:t>
            </w:r>
          </w:p>
          <w:p w14:paraId="246E223B" w14:textId="77777777" w:rsidR="00154EB3" w:rsidRPr="00154EB3" w:rsidRDefault="00ED5C9E" w:rsidP="00154EB3">
            <w:pPr>
              <w:pStyle w:val="ListParagraph"/>
              <w:numPr>
                <w:ilvl w:val="0"/>
                <w:numId w:val="19"/>
              </w:numPr>
              <w:spacing w:after="0" w:line="22" w:lineRule="atLeast"/>
            </w:pPr>
            <w:r w:rsidRPr="00154EB3">
              <w:t>delivery timeframes can be met by the vendor</w:t>
            </w:r>
          </w:p>
          <w:p w14:paraId="0DFC0130" w14:textId="66BAB993" w:rsidR="00ED5C9E" w:rsidRPr="00154EB3" w:rsidRDefault="00ED5C9E" w:rsidP="00154EB3">
            <w:pPr>
              <w:pStyle w:val="ListParagraph"/>
              <w:numPr>
                <w:ilvl w:val="0"/>
                <w:numId w:val="19"/>
              </w:numPr>
              <w:spacing w:after="0" w:line="22" w:lineRule="atLeast"/>
            </w:pPr>
            <w:proofErr w:type="gramStart"/>
            <w:r w:rsidRPr="00154EB3">
              <w:t>we</w:t>
            </w:r>
            <w:proofErr w:type="gramEnd"/>
            <w:r w:rsidRPr="00154EB3">
              <w:t xml:space="preserve"> will have access to Subject Matter Experts on the selected transaction or use case.</w:t>
            </w:r>
            <w:r w:rsidRPr="00154EB3">
              <w:br/>
            </w:r>
          </w:p>
        </w:tc>
      </w:tr>
      <w:tr w:rsidR="00ED5C9E" w:rsidRPr="00701F65" w14:paraId="7FA48215" w14:textId="77777777" w:rsidTr="002E1AEF">
        <w:tc>
          <w:tcPr>
            <w:tcW w:w="1684" w:type="dxa"/>
          </w:tcPr>
          <w:p w14:paraId="6E00451B" w14:textId="4830ABF5" w:rsidR="00ED5C9E" w:rsidRPr="000A2EEC" w:rsidRDefault="00ED5C9E" w:rsidP="00154EB3">
            <w:pPr>
              <w:spacing w:line="22" w:lineRule="atLeast"/>
              <w:rPr>
                <w:b/>
                <w:bCs/>
              </w:rPr>
            </w:pPr>
            <w:r w:rsidRPr="000A2EEC">
              <w:rPr>
                <w:b/>
                <w:bCs/>
              </w:rPr>
              <w:t xml:space="preserve">Constraints </w:t>
            </w:r>
          </w:p>
        </w:tc>
        <w:tc>
          <w:tcPr>
            <w:tcW w:w="8801" w:type="dxa"/>
          </w:tcPr>
          <w:p w14:paraId="0E41AB80" w14:textId="77777777" w:rsidR="00ED5C9E" w:rsidRPr="00154EB3" w:rsidRDefault="00ED5C9E" w:rsidP="00154EB3">
            <w:pPr>
              <w:spacing w:line="22" w:lineRule="atLeast"/>
            </w:pPr>
            <w:r w:rsidRPr="00154EB3">
              <w:t>(Add in your known constraints)</w:t>
            </w:r>
            <w:r w:rsidRPr="00154EB3">
              <w:br/>
            </w:r>
          </w:p>
          <w:p w14:paraId="1B67FEBE" w14:textId="30240581" w:rsidR="00ED5C9E" w:rsidRPr="00154EB3" w:rsidRDefault="00ED5C9E" w:rsidP="00154EB3">
            <w:pPr>
              <w:spacing w:line="22" w:lineRule="atLeast"/>
            </w:pPr>
            <w:r w:rsidRPr="00154EB3">
              <w:t>The work must be completed before xx date.</w:t>
            </w:r>
            <w:r w:rsidRPr="00154EB3">
              <w:br/>
            </w:r>
          </w:p>
        </w:tc>
      </w:tr>
      <w:tr w:rsidR="00ED5C9E" w:rsidRPr="00701F65" w14:paraId="7964B230" w14:textId="77777777" w:rsidTr="002E1AEF">
        <w:tc>
          <w:tcPr>
            <w:tcW w:w="1684" w:type="dxa"/>
          </w:tcPr>
          <w:p w14:paraId="5B5E6204" w14:textId="746E17CE" w:rsidR="00ED5C9E" w:rsidRPr="000A2EEC" w:rsidRDefault="00ED5C9E" w:rsidP="00154EB3">
            <w:pPr>
              <w:spacing w:line="22" w:lineRule="atLeast"/>
              <w:rPr>
                <w:b/>
                <w:bCs/>
              </w:rPr>
            </w:pPr>
            <w:r w:rsidRPr="000A2EEC">
              <w:rPr>
                <w:b/>
                <w:bCs/>
              </w:rPr>
              <w:t xml:space="preserve">Delivery address of goods and/or services </w:t>
            </w:r>
          </w:p>
        </w:tc>
        <w:tc>
          <w:tcPr>
            <w:tcW w:w="8801" w:type="dxa"/>
          </w:tcPr>
          <w:p w14:paraId="3E943F0F" w14:textId="77777777" w:rsidR="00ED5C9E" w:rsidRPr="00154EB3" w:rsidRDefault="00ED5C9E" w:rsidP="00154EB3">
            <w:pPr>
              <w:spacing w:line="22" w:lineRule="atLeast"/>
            </w:pPr>
            <w:r w:rsidRPr="00154EB3">
              <w:t xml:space="preserve">(Add in where the vendors perform the work – your location or theirs.) </w:t>
            </w:r>
          </w:p>
          <w:p w14:paraId="4EE319E1" w14:textId="77777777" w:rsidR="00ED5C9E" w:rsidRPr="00154EB3" w:rsidRDefault="00ED5C9E" w:rsidP="00154EB3">
            <w:pPr>
              <w:spacing w:line="22" w:lineRule="atLeast"/>
            </w:pPr>
          </w:p>
        </w:tc>
      </w:tr>
      <w:tr w:rsidR="00ED5C9E" w:rsidRPr="00701F65" w14:paraId="4FADAEB9" w14:textId="77777777" w:rsidTr="002E1AEF">
        <w:tc>
          <w:tcPr>
            <w:tcW w:w="1684" w:type="dxa"/>
          </w:tcPr>
          <w:p w14:paraId="127B8BCB" w14:textId="5843FACA" w:rsidR="00ED5C9E" w:rsidRPr="000A2EEC" w:rsidRDefault="00ED5C9E" w:rsidP="00154EB3">
            <w:pPr>
              <w:spacing w:line="22" w:lineRule="atLeast"/>
              <w:rPr>
                <w:b/>
                <w:bCs/>
              </w:rPr>
            </w:pPr>
            <w:r w:rsidRPr="000A2EEC">
              <w:rPr>
                <w:b/>
                <w:bCs/>
              </w:rPr>
              <w:t xml:space="preserve">Delivery period </w:t>
            </w:r>
          </w:p>
        </w:tc>
        <w:tc>
          <w:tcPr>
            <w:tcW w:w="8801" w:type="dxa"/>
          </w:tcPr>
          <w:p w14:paraId="42F8F724" w14:textId="77777777" w:rsidR="00ED5C9E" w:rsidRPr="00154EB3" w:rsidRDefault="00ED5C9E" w:rsidP="00154EB3">
            <w:pPr>
              <w:spacing w:line="22" w:lineRule="atLeast"/>
            </w:pPr>
            <w:r w:rsidRPr="00154EB3">
              <w:t>(Add in the total engagement period here)</w:t>
            </w:r>
            <w:r w:rsidRPr="00154EB3">
              <w:br/>
            </w:r>
          </w:p>
          <w:p w14:paraId="53A2B4FD" w14:textId="77777777" w:rsidR="00ED5C9E" w:rsidRPr="00154EB3" w:rsidRDefault="00ED5C9E" w:rsidP="00154EB3">
            <w:pPr>
              <w:spacing w:line="22" w:lineRule="atLeast"/>
            </w:pPr>
            <w:r w:rsidRPr="00154EB3">
              <w:rPr>
                <w:b/>
                <w:bCs/>
              </w:rPr>
              <w:t>Milestone 1</w:t>
            </w:r>
            <w:r w:rsidRPr="00154EB3">
              <w:t xml:space="preserve"> – 2 to 6 weeks from contract execution date, in line with direction from the Program Director.</w:t>
            </w:r>
            <w:r w:rsidRPr="00154EB3">
              <w:br/>
            </w:r>
          </w:p>
          <w:p w14:paraId="240639BC" w14:textId="77777777" w:rsidR="00ED5C9E" w:rsidRPr="00154EB3" w:rsidRDefault="00ED5C9E" w:rsidP="00154EB3">
            <w:pPr>
              <w:spacing w:line="22" w:lineRule="atLeast"/>
            </w:pPr>
            <w:r w:rsidRPr="00154EB3">
              <w:rPr>
                <w:b/>
                <w:bCs/>
              </w:rPr>
              <w:t>Milestone 2</w:t>
            </w:r>
            <w:r w:rsidRPr="00154EB3">
              <w:t xml:space="preserve"> – 8 weeks from contract execution date, in line with direction from the Program Director. </w:t>
            </w:r>
          </w:p>
          <w:p w14:paraId="28AEA99D" w14:textId="77777777" w:rsidR="00ED5C9E" w:rsidRPr="00154EB3" w:rsidRDefault="00ED5C9E" w:rsidP="00154EB3">
            <w:pPr>
              <w:spacing w:line="22" w:lineRule="atLeast"/>
            </w:pPr>
          </w:p>
        </w:tc>
      </w:tr>
      <w:tr w:rsidR="00ED5C9E" w:rsidRPr="00701F65" w14:paraId="395DE34A" w14:textId="77777777" w:rsidTr="002E1AEF">
        <w:tc>
          <w:tcPr>
            <w:tcW w:w="1684" w:type="dxa"/>
          </w:tcPr>
          <w:p w14:paraId="43AC4A52" w14:textId="1DE1A363" w:rsidR="00ED5C9E" w:rsidRPr="000A2EEC" w:rsidRDefault="00ED5C9E" w:rsidP="00154EB3">
            <w:pPr>
              <w:spacing w:line="22" w:lineRule="atLeast"/>
              <w:rPr>
                <w:b/>
                <w:bCs/>
              </w:rPr>
            </w:pPr>
            <w:r w:rsidRPr="000A2EEC">
              <w:rPr>
                <w:b/>
                <w:bCs/>
              </w:rPr>
              <w:t xml:space="preserve">Insurance requirements </w:t>
            </w:r>
          </w:p>
        </w:tc>
        <w:tc>
          <w:tcPr>
            <w:tcW w:w="8801" w:type="dxa"/>
          </w:tcPr>
          <w:p w14:paraId="7445C861" w14:textId="77777777" w:rsidR="00ED5C9E" w:rsidRPr="00154EB3" w:rsidRDefault="00ED5C9E" w:rsidP="00154EB3">
            <w:pPr>
              <w:spacing w:line="22" w:lineRule="atLeast"/>
            </w:pPr>
            <w:r w:rsidRPr="00154EB3">
              <w:t>(Seek advice from your procurement team on this section)</w:t>
            </w:r>
          </w:p>
          <w:p w14:paraId="34253304" w14:textId="77777777" w:rsidR="00ED5C9E" w:rsidRPr="00154EB3" w:rsidRDefault="00ED5C9E" w:rsidP="00154EB3">
            <w:pPr>
              <w:spacing w:line="22" w:lineRule="atLeast"/>
            </w:pPr>
          </w:p>
          <w:p w14:paraId="609E7B4C" w14:textId="29393FAC" w:rsidR="00ED5C9E" w:rsidRPr="00154EB3" w:rsidRDefault="00ED5C9E" w:rsidP="00154EB3">
            <w:pPr>
              <w:pStyle w:val="ListParagraph"/>
              <w:numPr>
                <w:ilvl w:val="0"/>
                <w:numId w:val="20"/>
              </w:numPr>
              <w:spacing w:after="0" w:line="22" w:lineRule="atLeast"/>
            </w:pPr>
            <w:r w:rsidRPr="00154EB3">
              <w:t>Workers’ Compensation Insurance in accordance with the Workers’ Compensation and Rehabilitation Act 2003 (Qld)</w:t>
            </w:r>
            <w:r w:rsidR="00154EB3">
              <w:t>.</w:t>
            </w:r>
          </w:p>
          <w:p w14:paraId="3AED0F11" w14:textId="77777777" w:rsidR="00ED5C9E" w:rsidRPr="00154EB3" w:rsidRDefault="00ED5C9E" w:rsidP="00154EB3">
            <w:pPr>
              <w:pStyle w:val="ListParagraph"/>
              <w:numPr>
                <w:ilvl w:val="0"/>
                <w:numId w:val="20"/>
              </w:numPr>
              <w:spacing w:after="0" w:line="22" w:lineRule="atLeast"/>
            </w:pPr>
            <w:r w:rsidRPr="00154EB3">
              <w:t>Public Liability insurance for a minimum of $10 million in respect of each claim.</w:t>
            </w:r>
          </w:p>
          <w:p w14:paraId="43AC058E" w14:textId="77777777" w:rsidR="00ED5C9E" w:rsidRPr="00154EB3" w:rsidRDefault="00ED5C9E" w:rsidP="00154EB3">
            <w:pPr>
              <w:spacing w:line="22" w:lineRule="atLeast"/>
            </w:pPr>
          </w:p>
        </w:tc>
      </w:tr>
    </w:tbl>
    <w:p w14:paraId="6C8EDC44" w14:textId="77777777" w:rsidR="00886971" w:rsidRPr="00886971" w:rsidRDefault="00886971" w:rsidP="00574EFB"/>
    <w:sectPr w:rsidR="00886971" w:rsidRPr="00886971" w:rsidSect="006E1C19">
      <w:headerReference w:type="default" r:id="rId14"/>
      <w:footerReference w:type="default" r:id="rId15"/>
      <w:headerReference w:type="first" r:id="rId16"/>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BE43" w14:textId="77777777" w:rsidR="009F7631" w:rsidRDefault="009F7631" w:rsidP="00574EFB">
      <w:r>
        <w:separator/>
      </w:r>
    </w:p>
  </w:endnote>
  <w:endnote w:type="continuationSeparator" w:id="0">
    <w:p w14:paraId="7E19201F" w14:textId="77777777" w:rsidR="009F7631" w:rsidRDefault="009F7631" w:rsidP="0057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48CD" w14:textId="42AEC0B6" w:rsidR="00664A9F" w:rsidRDefault="000A2EEC" w:rsidP="00574EFB">
    <w:pPr>
      <w:pStyle w:val="Footer"/>
    </w:pPr>
    <w:r>
      <w:rPr>
        <w:noProof/>
      </w:rPr>
      <w:drawing>
        <wp:anchor distT="0" distB="0" distL="114300" distR="114300" simplePos="0" relativeHeight="251660288" behindDoc="1" locked="0" layoutInCell="1" allowOverlap="1" wp14:anchorId="5BB4F57B" wp14:editId="73B67CAB">
          <wp:simplePos x="0" y="0"/>
          <wp:positionH relativeFrom="column">
            <wp:posOffset>3735705</wp:posOffset>
          </wp:positionH>
          <wp:positionV relativeFrom="paragraph">
            <wp:posOffset>-36830</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sidR="00B9593D">
      <w:rPr>
        <w:noProof/>
      </w:rPr>
      <mc:AlternateContent>
        <mc:Choice Requires="wps">
          <w:drawing>
            <wp:anchor distT="0" distB="0" distL="114300" distR="114300" simplePos="0" relativeHeight="251659264" behindDoc="1" locked="1" layoutInCell="1" allowOverlap="1" wp14:anchorId="4DCB42A2" wp14:editId="25FAB08A">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1A9C2"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p>
  <w:p w14:paraId="76ACAE8C" w14:textId="77777777" w:rsidR="00664A9F" w:rsidRDefault="00664A9F" w:rsidP="00574EFB">
    <w:pPr>
      <w:pStyle w:val="Footer"/>
    </w:pPr>
  </w:p>
  <w:p w14:paraId="59B1150A" w14:textId="77777777" w:rsidR="000E1223" w:rsidRDefault="000E1223" w:rsidP="00574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FDF1" w14:textId="77777777" w:rsidR="009F7631" w:rsidRDefault="009F7631" w:rsidP="00574EFB">
      <w:r>
        <w:separator/>
      </w:r>
    </w:p>
  </w:footnote>
  <w:footnote w:type="continuationSeparator" w:id="0">
    <w:p w14:paraId="61D7A24A" w14:textId="77777777" w:rsidR="009F7631" w:rsidRDefault="009F7631" w:rsidP="00574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29EC" w14:textId="77777777" w:rsidR="00273E87" w:rsidRDefault="00273E87" w:rsidP="00574EFB">
    <w:pPr>
      <w:pStyle w:val="Header"/>
    </w:pPr>
  </w:p>
  <w:p w14:paraId="7B964328" w14:textId="77777777" w:rsidR="00555C3B" w:rsidRPr="00555C3B" w:rsidRDefault="00555C3B" w:rsidP="00574EFB">
    <w:pPr>
      <w:pStyle w:val="Header"/>
    </w:pPr>
    <w:r w:rsidRPr="000E1223">
      <w:rPr>
        <w:noProof/>
      </w:rPr>
      <mc:AlternateContent>
        <mc:Choice Requires="wps">
          <w:drawing>
            <wp:anchor distT="0" distB="0" distL="114300" distR="114300" simplePos="0" relativeHeight="251657216" behindDoc="0" locked="0" layoutInCell="1" allowOverlap="1" wp14:anchorId="3089392E" wp14:editId="1B635BF3">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D2DCC"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0F32" w14:textId="77777777" w:rsidR="0014521E" w:rsidRDefault="00273E87" w:rsidP="00574EF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05503"/>
    <w:multiLevelType w:val="hybridMultilevel"/>
    <w:tmpl w:val="54C690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99A01E1"/>
    <w:multiLevelType w:val="hybridMultilevel"/>
    <w:tmpl w:val="8B0C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0C305C"/>
    <w:multiLevelType w:val="hybridMultilevel"/>
    <w:tmpl w:val="19A8A706"/>
    <w:lvl w:ilvl="0" w:tplc="FFFFFFFF">
      <w:start w:val="1"/>
      <w:numFmt w:val="decimal"/>
      <w:lvlText w:val="%1."/>
      <w:lvlJc w:val="left"/>
      <w:pPr>
        <w:ind w:left="360" w:hanging="360"/>
      </w:pPr>
    </w:lvl>
    <w:lvl w:ilvl="1" w:tplc="FFFFFFFF">
      <w:start w:val="4"/>
      <w:numFmt w:val="bullet"/>
      <w:lvlText w:val="•"/>
      <w:lvlJc w:val="left"/>
      <w:pPr>
        <w:ind w:left="720" w:hanging="36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8C742C"/>
    <w:multiLevelType w:val="hybridMultilevel"/>
    <w:tmpl w:val="54C690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B8A216D"/>
    <w:multiLevelType w:val="hybridMultilevel"/>
    <w:tmpl w:val="FB80EFB0"/>
    <w:lvl w:ilvl="0" w:tplc="0C090001">
      <w:start w:val="1"/>
      <w:numFmt w:val="bullet"/>
      <w:lvlText w:val=""/>
      <w:lvlJc w:val="left"/>
      <w:pPr>
        <w:ind w:left="360" w:hanging="360"/>
      </w:pPr>
      <w:rPr>
        <w:rFonts w:ascii="Symbol" w:hAnsi="Symbol" w:hint="default"/>
      </w:rPr>
    </w:lvl>
    <w:lvl w:ilvl="1" w:tplc="EE90CAB2">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7C2CDB"/>
    <w:multiLevelType w:val="hybridMultilevel"/>
    <w:tmpl w:val="09AA3322"/>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006268"/>
    <w:multiLevelType w:val="hybridMultilevel"/>
    <w:tmpl w:val="D176521E"/>
    <w:lvl w:ilvl="0" w:tplc="94F85DF6">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CC3D88"/>
    <w:multiLevelType w:val="hybridMultilevel"/>
    <w:tmpl w:val="63FE6BD6"/>
    <w:lvl w:ilvl="0" w:tplc="82ECF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77C93"/>
    <w:multiLevelType w:val="hybridMultilevel"/>
    <w:tmpl w:val="09B2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4C7694"/>
    <w:multiLevelType w:val="hybridMultilevel"/>
    <w:tmpl w:val="BCF460D6"/>
    <w:lvl w:ilvl="0" w:tplc="77E8963C">
      <w:start w:val="4"/>
      <w:numFmt w:val="bullet"/>
      <w:pStyle w:val="ListParagraph"/>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93246E6"/>
    <w:multiLevelType w:val="hybridMultilevel"/>
    <w:tmpl w:val="67465448"/>
    <w:lvl w:ilvl="0" w:tplc="94F85DF6">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E2A5777"/>
    <w:multiLevelType w:val="hybridMultilevel"/>
    <w:tmpl w:val="5EF0827C"/>
    <w:lvl w:ilvl="0" w:tplc="94F85DF6">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BD7590"/>
    <w:multiLevelType w:val="hybridMultilevel"/>
    <w:tmpl w:val="B2283CE0"/>
    <w:lvl w:ilvl="0" w:tplc="FFFFFFFF">
      <w:start w:val="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A7311F"/>
    <w:multiLevelType w:val="hybridMultilevel"/>
    <w:tmpl w:val="4E128066"/>
    <w:lvl w:ilvl="0" w:tplc="94F85DF6">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1316D9E"/>
    <w:multiLevelType w:val="hybridMultilevel"/>
    <w:tmpl w:val="19A8A706"/>
    <w:lvl w:ilvl="0" w:tplc="FFFFFFFF">
      <w:start w:val="1"/>
      <w:numFmt w:val="decimal"/>
      <w:lvlText w:val="%1."/>
      <w:lvlJc w:val="left"/>
      <w:pPr>
        <w:ind w:left="360" w:hanging="360"/>
      </w:pPr>
    </w:lvl>
    <w:lvl w:ilvl="1" w:tplc="94F85DF6">
      <w:start w:val="4"/>
      <w:numFmt w:val="bullet"/>
      <w:lvlText w:val="•"/>
      <w:lvlJc w:val="left"/>
      <w:pPr>
        <w:ind w:left="720" w:hanging="36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EB5594A"/>
    <w:multiLevelType w:val="hybridMultilevel"/>
    <w:tmpl w:val="8C9E3620"/>
    <w:lvl w:ilvl="0" w:tplc="94F85DF6">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12"/>
  </w:num>
  <w:num w:numId="3" w16cid:durableId="424690506">
    <w:abstractNumId w:val="9"/>
  </w:num>
  <w:num w:numId="4" w16cid:durableId="1352219071">
    <w:abstractNumId w:val="0"/>
  </w:num>
  <w:num w:numId="5" w16cid:durableId="688750406">
    <w:abstractNumId w:val="19"/>
  </w:num>
  <w:num w:numId="6" w16cid:durableId="1057974472">
    <w:abstractNumId w:val="11"/>
  </w:num>
  <w:num w:numId="7" w16cid:durableId="2109933551">
    <w:abstractNumId w:val="3"/>
  </w:num>
  <w:num w:numId="8" w16cid:durableId="1794208472">
    <w:abstractNumId w:val="10"/>
  </w:num>
  <w:num w:numId="9" w16cid:durableId="232352326">
    <w:abstractNumId w:val="15"/>
  </w:num>
  <w:num w:numId="10" w16cid:durableId="1374423976">
    <w:abstractNumId w:val="8"/>
  </w:num>
  <w:num w:numId="11" w16cid:durableId="1661538890">
    <w:abstractNumId w:val="5"/>
  </w:num>
  <w:num w:numId="12" w16cid:durableId="1633242450">
    <w:abstractNumId w:val="6"/>
  </w:num>
  <w:num w:numId="13" w16cid:durableId="993026785">
    <w:abstractNumId w:val="17"/>
  </w:num>
  <w:num w:numId="14" w16cid:durableId="1569152026">
    <w:abstractNumId w:val="18"/>
  </w:num>
  <w:num w:numId="15" w16cid:durableId="684793193">
    <w:abstractNumId w:val="4"/>
  </w:num>
  <w:num w:numId="16" w16cid:durableId="1838425164">
    <w:abstractNumId w:val="7"/>
  </w:num>
  <w:num w:numId="17" w16cid:durableId="626424608">
    <w:abstractNumId w:val="1"/>
  </w:num>
  <w:num w:numId="18" w16cid:durableId="1552182320">
    <w:abstractNumId w:val="14"/>
  </w:num>
  <w:num w:numId="19" w16cid:durableId="705527164">
    <w:abstractNumId w:val="16"/>
  </w:num>
  <w:num w:numId="20" w16cid:durableId="13413500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71"/>
    <w:rsid w:val="00003124"/>
    <w:rsid w:val="000035C0"/>
    <w:rsid w:val="00007985"/>
    <w:rsid w:val="00015E0F"/>
    <w:rsid w:val="0002155B"/>
    <w:rsid w:val="000425F7"/>
    <w:rsid w:val="000436FC"/>
    <w:rsid w:val="0005471A"/>
    <w:rsid w:val="00066E58"/>
    <w:rsid w:val="00084E24"/>
    <w:rsid w:val="000A2EEC"/>
    <w:rsid w:val="000B61AC"/>
    <w:rsid w:val="000E1223"/>
    <w:rsid w:val="000E4088"/>
    <w:rsid w:val="000F4E58"/>
    <w:rsid w:val="000F7FDE"/>
    <w:rsid w:val="001000FC"/>
    <w:rsid w:val="00101904"/>
    <w:rsid w:val="0011122C"/>
    <w:rsid w:val="001206C4"/>
    <w:rsid w:val="001222EA"/>
    <w:rsid w:val="00126F70"/>
    <w:rsid w:val="00134EFF"/>
    <w:rsid w:val="0013771C"/>
    <w:rsid w:val="0014521E"/>
    <w:rsid w:val="00154EB3"/>
    <w:rsid w:val="001703D2"/>
    <w:rsid w:val="0018153E"/>
    <w:rsid w:val="00190C24"/>
    <w:rsid w:val="001C11D2"/>
    <w:rsid w:val="001C43F0"/>
    <w:rsid w:val="001F2B12"/>
    <w:rsid w:val="001F3A36"/>
    <w:rsid w:val="002123DA"/>
    <w:rsid w:val="002277D9"/>
    <w:rsid w:val="00227C27"/>
    <w:rsid w:val="002371F7"/>
    <w:rsid w:val="0024520B"/>
    <w:rsid w:val="002706E8"/>
    <w:rsid w:val="00273E87"/>
    <w:rsid w:val="00284B42"/>
    <w:rsid w:val="002B15E5"/>
    <w:rsid w:val="002B5219"/>
    <w:rsid w:val="002B7607"/>
    <w:rsid w:val="002C085C"/>
    <w:rsid w:val="002C47FC"/>
    <w:rsid w:val="002E1AEF"/>
    <w:rsid w:val="002E3E34"/>
    <w:rsid w:val="002F78A2"/>
    <w:rsid w:val="00320670"/>
    <w:rsid w:val="00337EAA"/>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6012"/>
    <w:rsid w:val="004562DA"/>
    <w:rsid w:val="00476A07"/>
    <w:rsid w:val="004879CE"/>
    <w:rsid w:val="004A5E19"/>
    <w:rsid w:val="004E5A25"/>
    <w:rsid w:val="004E62A1"/>
    <w:rsid w:val="00517D31"/>
    <w:rsid w:val="00540992"/>
    <w:rsid w:val="00543A32"/>
    <w:rsid w:val="00555585"/>
    <w:rsid w:val="0055582F"/>
    <w:rsid w:val="00555C3B"/>
    <w:rsid w:val="00574EFB"/>
    <w:rsid w:val="005A28EB"/>
    <w:rsid w:val="005B0EC5"/>
    <w:rsid w:val="005B79A8"/>
    <w:rsid w:val="005C68D9"/>
    <w:rsid w:val="005F4331"/>
    <w:rsid w:val="0062040F"/>
    <w:rsid w:val="006239A5"/>
    <w:rsid w:val="00636B71"/>
    <w:rsid w:val="006420CC"/>
    <w:rsid w:val="00646AE8"/>
    <w:rsid w:val="00664A9F"/>
    <w:rsid w:val="00672747"/>
    <w:rsid w:val="0068756E"/>
    <w:rsid w:val="006C3D8E"/>
    <w:rsid w:val="006D0BCD"/>
    <w:rsid w:val="006E1C19"/>
    <w:rsid w:val="006F0011"/>
    <w:rsid w:val="00724065"/>
    <w:rsid w:val="007274E7"/>
    <w:rsid w:val="007B4E7E"/>
    <w:rsid w:val="007D023E"/>
    <w:rsid w:val="007D0BEA"/>
    <w:rsid w:val="007D3462"/>
    <w:rsid w:val="0080579A"/>
    <w:rsid w:val="008171D4"/>
    <w:rsid w:val="0082170A"/>
    <w:rsid w:val="0083235D"/>
    <w:rsid w:val="00834179"/>
    <w:rsid w:val="00841AFD"/>
    <w:rsid w:val="0084602D"/>
    <w:rsid w:val="00852BD5"/>
    <w:rsid w:val="00863DD6"/>
    <w:rsid w:val="00864110"/>
    <w:rsid w:val="008641E2"/>
    <w:rsid w:val="008654DB"/>
    <w:rsid w:val="0088002B"/>
    <w:rsid w:val="00882017"/>
    <w:rsid w:val="00886971"/>
    <w:rsid w:val="00887A49"/>
    <w:rsid w:val="008A4FA7"/>
    <w:rsid w:val="008A7AFC"/>
    <w:rsid w:val="00907963"/>
    <w:rsid w:val="009222D8"/>
    <w:rsid w:val="00931647"/>
    <w:rsid w:val="00936613"/>
    <w:rsid w:val="00951866"/>
    <w:rsid w:val="00956995"/>
    <w:rsid w:val="0096078C"/>
    <w:rsid w:val="0096595E"/>
    <w:rsid w:val="009659AB"/>
    <w:rsid w:val="009A5056"/>
    <w:rsid w:val="009A7275"/>
    <w:rsid w:val="009B5F9E"/>
    <w:rsid w:val="009B7893"/>
    <w:rsid w:val="009E5EE5"/>
    <w:rsid w:val="009F02B3"/>
    <w:rsid w:val="009F7631"/>
    <w:rsid w:val="00A04981"/>
    <w:rsid w:val="00A25FB3"/>
    <w:rsid w:val="00A36618"/>
    <w:rsid w:val="00A37A8D"/>
    <w:rsid w:val="00A40883"/>
    <w:rsid w:val="00A47F67"/>
    <w:rsid w:val="00A65710"/>
    <w:rsid w:val="00A82E8E"/>
    <w:rsid w:val="00A86680"/>
    <w:rsid w:val="00AB0A25"/>
    <w:rsid w:val="00AC555D"/>
    <w:rsid w:val="00AD2501"/>
    <w:rsid w:val="00AD5F26"/>
    <w:rsid w:val="00AE022D"/>
    <w:rsid w:val="00AF7DD9"/>
    <w:rsid w:val="00B04635"/>
    <w:rsid w:val="00B30EA8"/>
    <w:rsid w:val="00B33337"/>
    <w:rsid w:val="00B3411A"/>
    <w:rsid w:val="00B55032"/>
    <w:rsid w:val="00B56A9B"/>
    <w:rsid w:val="00B613E4"/>
    <w:rsid w:val="00B70170"/>
    <w:rsid w:val="00B8699D"/>
    <w:rsid w:val="00B9593D"/>
    <w:rsid w:val="00B9771E"/>
    <w:rsid w:val="00BC4AA9"/>
    <w:rsid w:val="00BC6556"/>
    <w:rsid w:val="00BD0F68"/>
    <w:rsid w:val="00BD2974"/>
    <w:rsid w:val="00C07E26"/>
    <w:rsid w:val="00C31759"/>
    <w:rsid w:val="00C33A93"/>
    <w:rsid w:val="00C51A70"/>
    <w:rsid w:val="00C51D08"/>
    <w:rsid w:val="00CA66DC"/>
    <w:rsid w:val="00CB07AD"/>
    <w:rsid w:val="00CB609F"/>
    <w:rsid w:val="00CC7632"/>
    <w:rsid w:val="00CD57A1"/>
    <w:rsid w:val="00CD793C"/>
    <w:rsid w:val="00D01CD2"/>
    <w:rsid w:val="00D13431"/>
    <w:rsid w:val="00D23470"/>
    <w:rsid w:val="00D517CD"/>
    <w:rsid w:val="00D75050"/>
    <w:rsid w:val="00D842DF"/>
    <w:rsid w:val="00D94442"/>
    <w:rsid w:val="00DC5E03"/>
    <w:rsid w:val="00DD5973"/>
    <w:rsid w:val="00DE1E49"/>
    <w:rsid w:val="00DF2836"/>
    <w:rsid w:val="00DF3591"/>
    <w:rsid w:val="00E21857"/>
    <w:rsid w:val="00E3336E"/>
    <w:rsid w:val="00E42000"/>
    <w:rsid w:val="00E441D6"/>
    <w:rsid w:val="00E46FDC"/>
    <w:rsid w:val="00E47FB8"/>
    <w:rsid w:val="00E84E51"/>
    <w:rsid w:val="00E87183"/>
    <w:rsid w:val="00E872C5"/>
    <w:rsid w:val="00EA2EFC"/>
    <w:rsid w:val="00ED5C9E"/>
    <w:rsid w:val="00EF474F"/>
    <w:rsid w:val="00EF4AC5"/>
    <w:rsid w:val="00F16981"/>
    <w:rsid w:val="00F367B3"/>
    <w:rsid w:val="00F37CA9"/>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705D"/>
  <w15:chartTrackingRefBased/>
  <w15:docId w15:val="{E6329EFC-D385-40CE-89A7-4657F8AF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574EFB"/>
    <w:pPr>
      <w:spacing w:line="264" w:lineRule="auto"/>
    </w:pPr>
    <w:rPr>
      <w:rFonts w:ascii="Arial" w:hAnsi="Arial" w:cs="Arial"/>
      <w:sz w:val="22"/>
      <w:szCs w:val="22"/>
      <w:lang w:val="en-US"/>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b/>
      <w:color w:val="05325F" w:themeColor="text2"/>
      <w:sz w:val="36"/>
      <w:szCs w:val="48"/>
      <w:lang w:val="en-GB"/>
    </w:rPr>
  </w:style>
  <w:style w:type="paragraph" w:styleId="Heading2">
    <w:name w:val="heading 2"/>
    <w:basedOn w:val="Normal"/>
    <w:next w:val="Normal"/>
    <w:link w:val="Heading2Char"/>
    <w:autoRedefine/>
    <w:uiPriority w:val="9"/>
    <w:unhideWhenUsed/>
    <w:qFormat/>
    <w:rsid w:val="008654DB"/>
    <w:pPr>
      <w:spacing w:before="240" w:after="120"/>
      <w:outlineLvl w:val="1"/>
    </w:pPr>
    <w:rPr>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8654DB"/>
    <w:rPr>
      <w:rFonts w:ascii="Arial" w:hAnsi="Arial" w:cs="Arial"/>
      <w:b/>
      <w:bCs/>
      <w:sz w:val="32"/>
      <w:szCs w:val="40"/>
      <w:lang w:val="en-US"/>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886971"/>
    <w:pPr>
      <w:numPr>
        <w:numId w:val="6"/>
      </w:numPr>
      <w:spacing w:after="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pPr>
    <w:rPr>
      <w:rFonts w:eastAsia="Times New Roman" w:cs="Times New Roman"/>
      <w:szCs w:val="20"/>
    </w:rPr>
  </w:style>
  <w:style w:type="paragraph" w:customStyle="1" w:styleId="Tableheadings">
    <w:name w:val="Table headings"/>
    <w:basedOn w:val="Normal"/>
    <w:rsid w:val="0055582F"/>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1"/>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styleId="Hyperlink">
    <w:name w:val="Hyperlink"/>
    <w:basedOn w:val="DefaultParagraphFont"/>
    <w:uiPriority w:val="99"/>
    <w:unhideWhenUsed/>
    <w:rsid w:val="00A04981"/>
    <w:rPr>
      <w:color w:val="0563C1" w:themeColor="hyperlink"/>
      <w:u w:val="single"/>
    </w:rPr>
  </w:style>
  <w:style w:type="table" w:styleId="TableGridLight">
    <w:name w:val="Grid Table Light"/>
    <w:basedOn w:val="TableNormal"/>
    <w:uiPriority w:val="40"/>
    <w:rsid w:val="00A04981"/>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035C0"/>
    <w:rPr>
      <w:color w:val="954F72" w:themeColor="followedHyperlink"/>
      <w:u w:val="single"/>
    </w:rPr>
  </w:style>
  <w:style w:type="character" w:styleId="UnresolvedMention">
    <w:name w:val="Unresolved Mention"/>
    <w:basedOn w:val="DefaultParagraphFont"/>
    <w:uiPriority w:val="99"/>
    <w:rsid w:val="00517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qcd.govnet.qld.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Harry\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485BDA934ED48A6C9173318D2A035" ma:contentTypeVersion="18" ma:contentTypeDescription="Create a new document." ma:contentTypeScope="" ma:versionID="b4c3568e69e9d38f4ec2715fccc02ff5">
  <xsd:schema xmlns:xsd="http://www.w3.org/2001/XMLSchema" xmlns:xs="http://www.w3.org/2001/XMLSchema" xmlns:p="http://schemas.microsoft.com/office/2006/metadata/properties" xmlns:ns2="8d0c2e71-8fa1-488d-87e2-559f9dfd3c3b" xmlns:ns3="e9a3e277-6fe1-4835-804c-646efa345400" targetNamespace="http://schemas.microsoft.com/office/2006/metadata/properties" ma:root="true" ma:fieldsID="d746e76eac16825cbfef8df244ade389" ns2:_="" ns3:_="">
    <xsd:import namespace="8d0c2e71-8fa1-488d-87e2-559f9dfd3c3b"/>
    <xsd:import namespace="e9a3e277-6fe1-4835-804c-646efa345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c2e71-8fa1-488d-87e2-559f9dfd3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3e277-6fe1-4835-804c-646efa3454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2616c0-3e61-46b4-b9ab-47015a8e3ec5}" ma:internalName="TaxCatchAll" ma:showField="CatchAllData" ma:web="e9a3e277-6fe1-4835-804c-646efa345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a3e277-6fe1-4835-804c-646efa345400" xsi:nil="true"/>
    <lcf76f155ced4ddcb4097134ff3c332f xmlns="8d0c2e71-8fa1-488d-87e2-559f9dfd3c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292718-8EC9-4A3F-8435-2896582DC520}"/>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e9a3e277-6fe1-4835-804c-646efa345400"/>
    <ds:schemaRef ds:uri="8d0c2e71-8fa1-488d-87e2-559f9dfd3c3b"/>
  </ds:schemaRefs>
</ds:datastoreItem>
</file>

<file path=docProps/app.xml><?xml version="1.0" encoding="utf-8"?>
<Properties xmlns="http://schemas.openxmlformats.org/officeDocument/2006/extended-properties" xmlns:vt="http://schemas.openxmlformats.org/officeDocument/2006/docPropsVTypes">
  <Template>deliverqld-word-template-arial-a4p (1)</Template>
  <TotalTime>29</TotalTime>
  <Pages>8</Pages>
  <Words>1808</Words>
  <Characters>10402</Characters>
  <Application>Microsoft Office Word</Application>
  <DocSecurity>0</DocSecurity>
  <Lines>334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Harry</dc:creator>
  <cp:keywords/>
  <dc:description/>
  <cp:lastModifiedBy>Julia Harry</cp:lastModifiedBy>
  <cp:revision>32</cp:revision>
  <cp:lastPrinted>2025-08-07T05:04:00Z</cp:lastPrinted>
  <dcterms:created xsi:type="dcterms:W3CDTF">2025-09-30T23:18:00Z</dcterms:created>
  <dcterms:modified xsi:type="dcterms:W3CDTF">2025-10-28T05:28:00Z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0x0101003FC485BDA934ED48A6C9173318D2A035</vt:lpwstr>
  </property>
  <property fmtid="{D5CDD505-2E9C-101B-9397-08002B2CF9AE}" pid="3" name="_dlc_DocIdItemGuid">
    <vt:lpwstr>177437fe-fcd7-42fc-a979-86efea21a4c1</vt:lpwstr>
  </property>
  <property fmtid="{D5CDD505-2E9C-101B-9397-08002B2CF9AE}" pid="4" name="MediaServiceImageTags">
    <vt:lpwstr/>
  </property>
</Properties>
</file>