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6E10" w14:textId="3875DD70" w:rsidR="00B55032" w:rsidRDefault="00940AEA" w:rsidP="00940AEA">
      <w:pPr>
        <w:pStyle w:val="UltraHeading"/>
      </w:pPr>
      <w:r>
        <w:t>Senior executive nomination</w:t>
      </w:r>
      <w:r w:rsidR="008F1D3C">
        <w:t xml:space="preserve"> form A</w:t>
      </w:r>
    </w:p>
    <w:p w14:paraId="38E6D740" w14:textId="5CA572DE" w:rsidR="00940AEA" w:rsidRDefault="00940AEA" w:rsidP="00940AEA">
      <w:pPr>
        <w:pStyle w:val="Heading3"/>
      </w:pPr>
      <w:r>
        <w:t xml:space="preserve">Notification of </w:t>
      </w:r>
      <w:r w:rsidR="003B48DB">
        <w:t>intention</w:t>
      </w:r>
      <w:r>
        <w:t xml:space="preserve"> to fill an advertised or non-advertised vacancy</w:t>
      </w:r>
    </w:p>
    <w:tbl>
      <w:tblPr>
        <w:tblStyle w:val="TableGrid"/>
        <w:tblW w:w="10485" w:type="dxa"/>
        <w:tblLook w:val="0620" w:firstRow="1" w:lastRow="0" w:firstColumn="0" w:lastColumn="0" w:noHBand="1" w:noVBand="1"/>
        <w:tblCaption w:val="Table sample"/>
        <w:tblDescription w:val="Default Table Style showing Header Row and First Column"/>
      </w:tblPr>
      <w:tblGrid>
        <w:gridCol w:w="3114"/>
        <w:gridCol w:w="1848"/>
        <w:gridCol w:w="1824"/>
        <w:gridCol w:w="956"/>
        <w:gridCol w:w="2743"/>
      </w:tblGrid>
      <w:tr w:rsidR="00940AEA" w:rsidRPr="00C96401" w14:paraId="452CC413" w14:textId="77777777" w:rsidTr="00D73BEE">
        <w:trPr>
          <w:trHeight w:val="283"/>
        </w:trPr>
        <w:tc>
          <w:tcPr>
            <w:tcW w:w="3114" w:type="dxa"/>
            <w:tcBorders>
              <w:bottom w:val="single" w:sz="12" w:space="0" w:color="05325F" w:themeColor="text2"/>
            </w:tcBorders>
            <w:hideMark/>
          </w:tcPr>
          <w:p w14:paraId="61A5749E" w14:textId="77777777" w:rsidR="00940AEA" w:rsidRPr="00C96401" w:rsidRDefault="00940AEA" w:rsidP="00DC495E">
            <w:pPr>
              <w:rPr>
                <w:b/>
                <w:sz w:val="22"/>
                <w:szCs w:val="22"/>
              </w:rPr>
            </w:pPr>
            <w:r w:rsidRPr="00C96401">
              <w:rPr>
                <w:b/>
                <w:sz w:val="22"/>
                <w:szCs w:val="22"/>
              </w:rPr>
              <w:t>Department or public service entity</w:t>
            </w:r>
          </w:p>
        </w:tc>
        <w:tc>
          <w:tcPr>
            <w:tcW w:w="7371" w:type="dxa"/>
            <w:gridSpan w:val="4"/>
            <w:tcBorders>
              <w:bottom w:val="single" w:sz="12" w:space="0" w:color="05325F" w:themeColor="text2"/>
            </w:tcBorders>
          </w:tcPr>
          <w:p w14:paraId="2377C77D" w14:textId="77777777" w:rsidR="00940AEA" w:rsidRPr="00C96401" w:rsidRDefault="00940AEA" w:rsidP="00DC495E">
            <w:pPr>
              <w:rPr>
                <w:sz w:val="22"/>
                <w:szCs w:val="22"/>
              </w:rPr>
            </w:pPr>
          </w:p>
        </w:tc>
      </w:tr>
      <w:tr w:rsidR="00940AEA" w:rsidRPr="00C96401" w14:paraId="13F4D035" w14:textId="77777777" w:rsidTr="00D73BEE">
        <w:trPr>
          <w:trHeight w:val="211"/>
        </w:trPr>
        <w:tc>
          <w:tcPr>
            <w:tcW w:w="3114" w:type="dxa"/>
            <w:tcBorders>
              <w:top w:val="single" w:sz="12" w:space="0" w:color="05325F" w:themeColor="text2"/>
            </w:tcBorders>
            <w:hideMark/>
          </w:tcPr>
          <w:p w14:paraId="616AF98C" w14:textId="77777777" w:rsidR="00940AEA" w:rsidRPr="00C96401" w:rsidRDefault="00940AEA" w:rsidP="0007149A">
            <w:pPr>
              <w:spacing w:after="0"/>
              <w:rPr>
                <w:sz w:val="22"/>
                <w:szCs w:val="22"/>
              </w:rPr>
            </w:pPr>
            <w:r w:rsidRPr="00C96401">
              <w:rPr>
                <w:b/>
                <w:bCs/>
                <w:sz w:val="22"/>
                <w:szCs w:val="22"/>
              </w:rPr>
              <w:t>Nominee</w:t>
            </w:r>
            <w:r w:rsidRPr="00C96401">
              <w:rPr>
                <w:sz w:val="22"/>
                <w:szCs w:val="22"/>
              </w:rPr>
              <w:t xml:space="preserve"> (full name)</w:t>
            </w:r>
          </w:p>
          <w:p w14:paraId="5FF4583C" w14:textId="77777777" w:rsidR="00940AEA" w:rsidRPr="00C96401" w:rsidRDefault="00940AEA" w:rsidP="0007149A">
            <w:pPr>
              <w:spacing w:after="0" w:line="288" w:lineRule="auto"/>
              <w:rPr>
                <w:sz w:val="16"/>
                <w:szCs w:val="16"/>
              </w:rPr>
            </w:pPr>
            <w:r w:rsidRPr="00C96401">
              <w:rPr>
                <w:rFonts w:eastAsia="Arial" w:cs="Arial"/>
                <w:sz w:val="16"/>
                <w:szCs w:val="16"/>
              </w:rPr>
              <w:t>If nominee is not already a senior executive, please complete form D</w:t>
            </w:r>
          </w:p>
        </w:tc>
        <w:tc>
          <w:tcPr>
            <w:tcW w:w="7371" w:type="dxa"/>
            <w:gridSpan w:val="4"/>
            <w:tcBorders>
              <w:top w:val="single" w:sz="12" w:space="0" w:color="05325F" w:themeColor="text2"/>
            </w:tcBorders>
          </w:tcPr>
          <w:p w14:paraId="3BE9D09C" w14:textId="77777777" w:rsidR="00940AEA" w:rsidRPr="00C96401" w:rsidRDefault="00940AEA" w:rsidP="00DC495E">
            <w:pPr>
              <w:rPr>
                <w:sz w:val="22"/>
                <w:szCs w:val="22"/>
              </w:rPr>
            </w:pPr>
          </w:p>
        </w:tc>
      </w:tr>
      <w:tr w:rsidR="00940AEA" w:rsidRPr="00C96401" w14:paraId="0219812D" w14:textId="77777777" w:rsidTr="00940AEA">
        <w:trPr>
          <w:trHeight w:val="254"/>
        </w:trPr>
        <w:tc>
          <w:tcPr>
            <w:tcW w:w="3114" w:type="dxa"/>
            <w:hideMark/>
          </w:tcPr>
          <w:p w14:paraId="31E44B6F" w14:textId="77777777" w:rsidR="00940AEA" w:rsidRPr="00C96401" w:rsidRDefault="00940AEA" w:rsidP="00DC495E">
            <w:pPr>
              <w:rPr>
                <w:b/>
                <w:bCs/>
                <w:sz w:val="22"/>
                <w:szCs w:val="22"/>
              </w:rPr>
            </w:pPr>
            <w:r w:rsidRPr="00C96401">
              <w:rPr>
                <w:b/>
                <w:bCs/>
                <w:sz w:val="22"/>
                <w:szCs w:val="22"/>
              </w:rPr>
              <w:t>Employment type</w:t>
            </w:r>
          </w:p>
        </w:tc>
        <w:tc>
          <w:tcPr>
            <w:tcW w:w="1848" w:type="dxa"/>
          </w:tcPr>
          <w:p w14:paraId="1E2EB46C" w14:textId="77777777" w:rsidR="00940AEA" w:rsidRPr="00C96401" w:rsidRDefault="00940AEA" w:rsidP="00DC495E">
            <w:pPr>
              <w:rPr>
                <w:sz w:val="22"/>
                <w:szCs w:val="22"/>
              </w:rPr>
            </w:pPr>
            <w:r w:rsidRPr="00C96401">
              <w:rPr>
                <w:sz w:val="22"/>
                <w:szCs w:val="22"/>
              </w:rPr>
              <w:t xml:space="preserve">Promotion   </w:t>
            </w:r>
            <w:sdt>
              <w:sdtPr>
                <w:rPr>
                  <w:sz w:val="22"/>
                  <w:szCs w:val="22"/>
                </w:rPr>
                <w:id w:val="-1926717247"/>
                <w14:checkbox>
                  <w14:checked w14:val="0"/>
                  <w14:checkedState w14:val="2612" w14:font="MS Gothic"/>
                  <w14:uncheckedState w14:val="2610" w14:font="MS Gothic"/>
                </w14:checkbox>
              </w:sdtPr>
              <w:sdtContent>
                <w:r w:rsidRPr="00C96401">
                  <w:rPr>
                    <w:rFonts w:ascii="MS Gothic" w:eastAsia="MS Gothic" w:hAnsi="MS Gothic" w:hint="eastAsia"/>
                    <w:sz w:val="22"/>
                    <w:szCs w:val="22"/>
                  </w:rPr>
                  <w:t>☐</w:t>
                </w:r>
              </w:sdtContent>
            </w:sdt>
          </w:p>
        </w:tc>
        <w:tc>
          <w:tcPr>
            <w:tcW w:w="1824" w:type="dxa"/>
          </w:tcPr>
          <w:p w14:paraId="00CC5793" w14:textId="77777777" w:rsidR="00940AEA" w:rsidRPr="00C96401" w:rsidRDefault="00940AEA" w:rsidP="00DC495E">
            <w:pPr>
              <w:rPr>
                <w:sz w:val="22"/>
                <w:szCs w:val="22"/>
              </w:rPr>
            </w:pPr>
            <w:r w:rsidRPr="00C96401">
              <w:rPr>
                <w:sz w:val="22"/>
                <w:szCs w:val="22"/>
              </w:rPr>
              <w:t xml:space="preserve">At level   </w:t>
            </w:r>
            <w:sdt>
              <w:sdtPr>
                <w:rPr>
                  <w:sz w:val="22"/>
                  <w:szCs w:val="22"/>
                </w:rPr>
                <w:id w:val="2047322556"/>
                <w14:checkbox>
                  <w14:checked w14:val="0"/>
                  <w14:checkedState w14:val="2612" w14:font="MS Gothic"/>
                  <w14:uncheckedState w14:val="2610" w14:font="MS Gothic"/>
                </w14:checkbox>
              </w:sdtPr>
              <w:sdtContent>
                <w:r w:rsidRPr="00C96401">
                  <w:rPr>
                    <w:rFonts w:ascii="MS Gothic" w:eastAsia="MS Gothic" w:hAnsi="MS Gothic" w:hint="eastAsia"/>
                    <w:sz w:val="22"/>
                    <w:szCs w:val="22"/>
                  </w:rPr>
                  <w:t>☐</w:t>
                </w:r>
              </w:sdtContent>
            </w:sdt>
          </w:p>
        </w:tc>
        <w:tc>
          <w:tcPr>
            <w:tcW w:w="3699" w:type="dxa"/>
            <w:gridSpan w:val="2"/>
          </w:tcPr>
          <w:p w14:paraId="3A4848B1" w14:textId="77777777" w:rsidR="00940AEA" w:rsidRPr="00C96401" w:rsidRDefault="00940AEA" w:rsidP="00DC495E">
            <w:pPr>
              <w:rPr>
                <w:sz w:val="22"/>
                <w:szCs w:val="22"/>
              </w:rPr>
            </w:pPr>
            <w:r w:rsidRPr="00C96401">
              <w:rPr>
                <w:sz w:val="22"/>
                <w:szCs w:val="22"/>
              </w:rPr>
              <w:t xml:space="preserve">External employment   </w:t>
            </w:r>
            <w:sdt>
              <w:sdtPr>
                <w:rPr>
                  <w:sz w:val="22"/>
                  <w:szCs w:val="22"/>
                </w:rPr>
                <w:id w:val="1782609914"/>
                <w14:checkbox>
                  <w14:checked w14:val="0"/>
                  <w14:checkedState w14:val="2612" w14:font="MS Gothic"/>
                  <w14:uncheckedState w14:val="2610" w14:font="MS Gothic"/>
                </w14:checkbox>
              </w:sdtPr>
              <w:sdtContent>
                <w:r w:rsidRPr="00C96401">
                  <w:rPr>
                    <w:rFonts w:ascii="MS Gothic" w:eastAsia="MS Gothic" w:hAnsi="MS Gothic" w:hint="eastAsia"/>
                    <w:sz w:val="22"/>
                    <w:szCs w:val="22"/>
                  </w:rPr>
                  <w:t>☐</w:t>
                </w:r>
              </w:sdtContent>
            </w:sdt>
          </w:p>
        </w:tc>
      </w:tr>
      <w:tr w:rsidR="00940AEA" w:rsidRPr="00C96401" w14:paraId="6E1141B8" w14:textId="77777777" w:rsidTr="00940AEA">
        <w:trPr>
          <w:trHeight w:val="22"/>
        </w:trPr>
        <w:tc>
          <w:tcPr>
            <w:tcW w:w="3114" w:type="dxa"/>
          </w:tcPr>
          <w:p w14:paraId="277D563E" w14:textId="77777777" w:rsidR="00940AEA" w:rsidRPr="00C96401" w:rsidRDefault="00940AEA" w:rsidP="00DC495E">
            <w:pPr>
              <w:keepNext/>
              <w:rPr>
                <w:b/>
                <w:bCs/>
                <w:sz w:val="22"/>
                <w:szCs w:val="22"/>
              </w:rPr>
            </w:pPr>
            <w:r w:rsidRPr="00C96401">
              <w:rPr>
                <w:b/>
                <w:bCs/>
                <w:sz w:val="22"/>
                <w:szCs w:val="22"/>
              </w:rPr>
              <w:t>Vacant role title</w:t>
            </w:r>
          </w:p>
        </w:tc>
        <w:tc>
          <w:tcPr>
            <w:tcW w:w="7371" w:type="dxa"/>
            <w:gridSpan w:val="4"/>
          </w:tcPr>
          <w:p w14:paraId="0E625987" w14:textId="77777777" w:rsidR="00940AEA" w:rsidRPr="00C96401" w:rsidRDefault="00940AEA" w:rsidP="00DC495E">
            <w:pPr>
              <w:keepNext/>
              <w:rPr>
                <w:sz w:val="22"/>
                <w:szCs w:val="22"/>
              </w:rPr>
            </w:pPr>
          </w:p>
        </w:tc>
      </w:tr>
      <w:tr w:rsidR="00940AEA" w:rsidRPr="00C96401" w14:paraId="0CC0B014" w14:textId="77777777" w:rsidTr="00940AEA">
        <w:trPr>
          <w:trHeight w:val="22"/>
        </w:trPr>
        <w:tc>
          <w:tcPr>
            <w:tcW w:w="3114" w:type="dxa"/>
          </w:tcPr>
          <w:p w14:paraId="27131A18" w14:textId="77777777" w:rsidR="00940AEA" w:rsidRPr="00C96401" w:rsidRDefault="00940AEA" w:rsidP="00DC495E">
            <w:pPr>
              <w:keepNext/>
              <w:rPr>
                <w:b/>
                <w:bCs/>
                <w:sz w:val="22"/>
                <w:szCs w:val="22"/>
              </w:rPr>
            </w:pPr>
            <w:r w:rsidRPr="00C96401">
              <w:rPr>
                <w:b/>
                <w:bCs/>
                <w:sz w:val="22"/>
                <w:szCs w:val="22"/>
              </w:rPr>
              <w:t>Vacant role branch</w:t>
            </w:r>
          </w:p>
        </w:tc>
        <w:tc>
          <w:tcPr>
            <w:tcW w:w="7371" w:type="dxa"/>
            <w:gridSpan w:val="4"/>
          </w:tcPr>
          <w:p w14:paraId="22DCD413" w14:textId="77777777" w:rsidR="00940AEA" w:rsidRPr="00C96401" w:rsidRDefault="00940AEA" w:rsidP="00DC495E">
            <w:pPr>
              <w:keepNext/>
              <w:rPr>
                <w:sz w:val="22"/>
                <w:szCs w:val="22"/>
              </w:rPr>
            </w:pPr>
          </w:p>
        </w:tc>
      </w:tr>
      <w:tr w:rsidR="00940AEA" w:rsidRPr="00C96401" w14:paraId="05C75B45" w14:textId="77777777" w:rsidTr="00940AEA">
        <w:trPr>
          <w:trHeight w:val="22"/>
        </w:trPr>
        <w:tc>
          <w:tcPr>
            <w:tcW w:w="3114" w:type="dxa"/>
          </w:tcPr>
          <w:p w14:paraId="572F9434" w14:textId="77777777" w:rsidR="00940AEA" w:rsidRPr="00C96401" w:rsidRDefault="00940AEA" w:rsidP="00DC495E">
            <w:pPr>
              <w:keepNext/>
              <w:rPr>
                <w:b/>
                <w:bCs/>
                <w:sz w:val="22"/>
                <w:szCs w:val="22"/>
              </w:rPr>
            </w:pPr>
            <w:r w:rsidRPr="00C96401">
              <w:rPr>
                <w:b/>
                <w:bCs/>
                <w:sz w:val="22"/>
                <w:szCs w:val="22"/>
              </w:rPr>
              <w:t>Vacant role division</w:t>
            </w:r>
          </w:p>
        </w:tc>
        <w:tc>
          <w:tcPr>
            <w:tcW w:w="7371" w:type="dxa"/>
            <w:gridSpan w:val="4"/>
          </w:tcPr>
          <w:p w14:paraId="57557DC9" w14:textId="77777777" w:rsidR="00940AEA" w:rsidRPr="00C96401" w:rsidRDefault="00940AEA" w:rsidP="00DC495E">
            <w:pPr>
              <w:keepNext/>
              <w:rPr>
                <w:sz w:val="22"/>
                <w:szCs w:val="22"/>
              </w:rPr>
            </w:pPr>
          </w:p>
        </w:tc>
      </w:tr>
      <w:tr w:rsidR="00940AEA" w:rsidRPr="00C96401" w14:paraId="0D9E730F" w14:textId="77777777" w:rsidTr="00940AEA">
        <w:trPr>
          <w:trHeight w:val="22"/>
        </w:trPr>
        <w:tc>
          <w:tcPr>
            <w:tcW w:w="3114" w:type="dxa"/>
          </w:tcPr>
          <w:p w14:paraId="4C0511F9" w14:textId="77777777" w:rsidR="00940AEA" w:rsidRPr="00C96401" w:rsidRDefault="00940AEA" w:rsidP="00DC495E">
            <w:pPr>
              <w:keepNext/>
              <w:rPr>
                <w:b/>
                <w:bCs/>
                <w:sz w:val="22"/>
                <w:szCs w:val="22"/>
              </w:rPr>
            </w:pPr>
            <w:r w:rsidRPr="00C96401">
              <w:rPr>
                <w:b/>
                <w:bCs/>
                <w:sz w:val="22"/>
                <w:szCs w:val="22"/>
              </w:rPr>
              <w:t>Vacant role location</w:t>
            </w:r>
          </w:p>
        </w:tc>
        <w:tc>
          <w:tcPr>
            <w:tcW w:w="7371" w:type="dxa"/>
            <w:gridSpan w:val="4"/>
          </w:tcPr>
          <w:p w14:paraId="798F683A" w14:textId="77777777" w:rsidR="00940AEA" w:rsidRPr="00C96401" w:rsidRDefault="00940AEA" w:rsidP="00DC495E">
            <w:pPr>
              <w:keepNext/>
              <w:rPr>
                <w:sz w:val="22"/>
                <w:szCs w:val="22"/>
              </w:rPr>
            </w:pPr>
          </w:p>
        </w:tc>
      </w:tr>
      <w:tr w:rsidR="00940AEA" w:rsidRPr="00C96401" w14:paraId="13F84924" w14:textId="77777777" w:rsidTr="00940AEA">
        <w:trPr>
          <w:trHeight w:val="22"/>
        </w:trPr>
        <w:tc>
          <w:tcPr>
            <w:tcW w:w="3114" w:type="dxa"/>
          </w:tcPr>
          <w:p w14:paraId="12B0AED7" w14:textId="77777777" w:rsidR="00940AEA" w:rsidRPr="00C96401" w:rsidRDefault="00940AEA" w:rsidP="00DC495E">
            <w:pPr>
              <w:keepNext/>
              <w:rPr>
                <w:b/>
                <w:bCs/>
                <w:sz w:val="22"/>
                <w:szCs w:val="22"/>
              </w:rPr>
            </w:pPr>
            <w:r w:rsidRPr="00C96401">
              <w:rPr>
                <w:b/>
                <w:bCs/>
                <w:sz w:val="22"/>
                <w:szCs w:val="22"/>
              </w:rPr>
              <w:t>Position number</w:t>
            </w:r>
          </w:p>
        </w:tc>
        <w:tc>
          <w:tcPr>
            <w:tcW w:w="7371" w:type="dxa"/>
            <w:gridSpan w:val="4"/>
          </w:tcPr>
          <w:p w14:paraId="1F301DE9" w14:textId="77777777" w:rsidR="00940AEA" w:rsidRPr="00C96401" w:rsidRDefault="00940AEA" w:rsidP="00DC495E">
            <w:pPr>
              <w:keepNext/>
              <w:rPr>
                <w:sz w:val="22"/>
                <w:szCs w:val="22"/>
              </w:rPr>
            </w:pPr>
          </w:p>
        </w:tc>
      </w:tr>
      <w:tr w:rsidR="00940AEA" w:rsidRPr="00C96401" w14:paraId="723F983A" w14:textId="77777777" w:rsidTr="00940AEA">
        <w:tblPrEx>
          <w:tblLook w:val="04A0" w:firstRow="1" w:lastRow="0" w:firstColumn="1" w:lastColumn="0" w:noHBand="0" w:noVBand="1"/>
        </w:tblPrEx>
        <w:trPr>
          <w:trHeight w:val="22"/>
        </w:trPr>
        <w:tc>
          <w:tcPr>
            <w:tcW w:w="3114" w:type="dxa"/>
          </w:tcPr>
          <w:p w14:paraId="371AA738" w14:textId="77777777" w:rsidR="00940AEA" w:rsidRPr="00C96401" w:rsidRDefault="00940AEA" w:rsidP="00DC495E">
            <w:pPr>
              <w:keepNext/>
              <w:rPr>
                <w:b/>
                <w:bCs/>
                <w:sz w:val="22"/>
                <w:szCs w:val="22"/>
              </w:rPr>
            </w:pPr>
            <w:r w:rsidRPr="00C96401">
              <w:rPr>
                <w:b/>
                <w:bCs/>
                <w:sz w:val="22"/>
                <w:szCs w:val="22"/>
              </w:rPr>
              <w:t>Vacancy reference number</w:t>
            </w:r>
          </w:p>
        </w:tc>
        <w:tc>
          <w:tcPr>
            <w:tcW w:w="1848" w:type="dxa"/>
          </w:tcPr>
          <w:p w14:paraId="148DF194" w14:textId="77777777" w:rsidR="00940AEA" w:rsidRPr="00C96401" w:rsidRDefault="00940AEA" w:rsidP="00DC495E">
            <w:pPr>
              <w:keepNext/>
              <w:rPr>
                <w:sz w:val="22"/>
                <w:szCs w:val="22"/>
              </w:rPr>
            </w:pPr>
          </w:p>
        </w:tc>
        <w:tc>
          <w:tcPr>
            <w:tcW w:w="2780" w:type="dxa"/>
            <w:gridSpan w:val="2"/>
          </w:tcPr>
          <w:p w14:paraId="24797343" w14:textId="77777777" w:rsidR="00940AEA" w:rsidRPr="00C96401" w:rsidRDefault="00940AEA" w:rsidP="00DC495E">
            <w:pPr>
              <w:keepNext/>
              <w:rPr>
                <w:b/>
                <w:bCs/>
                <w:sz w:val="22"/>
                <w:szCs w:val="22"/>
              </w:rPr>
            </w:pPr>
            <w:r w:rsidRPr="00C96401">
              <w:rPr>
                <w:b/>
                <w:bCs/>
                <w:sz w:val="22"/>
                <w:szCs w:val="22"/>
              </w:rPr>
              <w:t>Closing date</w:t>
            </w:r>
          </w:p>
        </w:tc>
        <w:tc>
          <w:tcPr>
            <w:tcW w:w="2743" w:type="dxa"/>
          </w:tcPr>
          <w:p w14:paraId="6247A987" w14:textId="77777777" w:rsidR="00940AEA" w:rsidRPr="00C96401" w:rsidRDefault="00940AEA" w:rsidP="00DC495E">
            <w:pPr>
              <w:keepNext/>
              <w:rPr>
                <w:sz w:val="22"/>
                <w:szCs w:val="22"/>
              </w:rPr>
            </w:pPr>
          </w:p>
        </w:tc>
      </w:tr>
      <w:tr w:rsidR="00940AEA" w:rsidRPr="00C96401" w14:paraId="0FEF451D" w14:textId="77777777" w:rsidTr="00940AEA">
        <w:trPr>
          <w:trHeight w:val="499"/>
        </w:trPr>
        <w:tc>
          <w:tcPr>
            <w:tcW w:w="3114" w:type="dxa"/>
          </w:tcPr>
          <w:p w14:paraId="0CBFD066" w14:textId="77777777" w:rsidR="00940AEA" w:rsidRPr="00C96401" w:rsidRDefault="00940AEA" w:rsidP="00DC495E">
            <w:pPr>
              <w:keepNext/>
              <w:rPr>
                <w:sz w:val="22"/>
                <w:szCs w:val="22"/>
              </w:rPr>
            </w:pPr>
            <w:r w:rsidRPr="00C96401">
              <w:rPr>
                <w:b/>
                <w:bCs/>
                <w:sz w:val="22"/>
                <w:szCs w:val="22"/>
              </w:rPr>
              <w:t>SES Level</w:t>
            </w:r>
          </w:p>
        </w:tc>
        <w:tc>
          <w:tcPr>
            <w:tcW w:w="1848" w:type="dxa"/>
          </w:tcPr>
          <w:p w14:paraId="35AA9F1D" w14:textId="77777777" w:rsidR="00940AEA" w:rsidRPr="00C96401" w:rsidRDefault="00940AEA" w:rsidP="00DC495E">
            <w:pPr>
              <w:keepNext/>
              <w:rPr>
                <w:sz w:val="22"/>
                <w:szCs w:val="22"/>
              </w:rPr>
            </w:pPr>
          </w:p>
        </w:tc>
        <w:tc>
          <w:tcPr>
            <w:tcW w:w="2780" w:type="dxa"/>
            <w:gridSpan w:val="2"/>
          </w:tcPr>
          <w:p w14:paraId="6DA6EF01" w14:textId="77777777" w:rsidR="00940AEA" w:rsidRPr="00C96401" w:rsidRDefault="00940AEA" w:rsidP="0007149A">
            <w:pPr>
              <w:keepNext/>
              <w:spacing w:after="0"/>
              <w:rPr>
                <w:b/>
                <w:bCs/>
                <w:sz w:val="22"/>
                <w:szCs w:val="22"/>
              </w:rPr>
            </w:pPr>
            <w:r w:rsidRPr="00C96401">
              <w:rPr>
                <w:b/>
                <w:bCs/>
                <w:sz w:val="22"/>
                <w:szCs w:val="22"/>
              </w:rPr>
              <w:t>Assessed work value</w:t>
            </w:r>
          </w:p>
          <w:p w14:paraId="382BE08A" w14:textId="77777777" w:rsidR="00940AEA" w:rsidRPr="0007149A" w:rsidRDefault="00940AEA" w:rsidP="0007149A">
            <w:pPr>
              <w:keepNext/>
              <w:spacing w:after="0"/>
              <w:rPr>
                <w:sz w:val="16"/>
                <w:szCs w:val="16"/>
              </w:rPr>
            </w:pPr>
            <w:r w:rsidRPr="0007149A">
              <w:rPr>
                <w:sz w:val="16"/>
                <w:szCs w:val="16"/>
              </w:rPr>
              <w:t>(high, low, N/A)</w:t>
            </w:r>
          </w:p>
        </w:tc>
        <w:tc>
          <w:tcPr>
            <w:tcW w:w="2743" w:type="dxa"/>
          </w:tcPr>
          <w:p w14:paraId="0651EC9F" w14:textId="77777777" w:rsidR="00940AEA" w:rsidRPr="00C96401" w:rsidRDefault="00940AEA" w:rsidP="00DC495E">
            <w:pPr>
              <w:keepNext/>
              <w:rPr>
                <w:sz w:val="22"/>
                <w:szCs w:val="22"/>
              </w:rPr>
            </w:pPr>
          </w:p>
        </w:tc>
      </w:tr>
      <w:tr w:rsidR="00940AEA" w:rsidRPr="00C96401" w14:paraId="15B08924" w14:textId="77777777" w:rsidTr="00940AEA">
        <w:trPr>
          <w:trHeight w:val="22"/>
        </w:trPr>
        <w:tc>
          <w:tcPr>
            <w:tcW w:w="3114" w:type="dxa"/>
          </w:tcPr>
          <w:p w14:paraId="693B2999" w14:textId="77777777" w:rsidR="00940AEA" w:rsidRPr="00C96401" w:rsidRDefault="00940AEA" w:rsidP="00DC495E">
            <w:pPr>
              <w:keepNext/>
              <w:rPr>
                <w:b/>
                <w:bCs/>
                <w:sz w:val="22"/>
                <w:szCs w:val="22"/>
              </w:rPr>
            </w:pPr>
            <w:r w:rsidRPr="00C96401">
              <w:rPr>
                <w:b/>
                <w:bCs/>
                <w:sz w:val="22"/>
                <w:szCs w:val="22"/>
              </w:rPr>
              <w:t>Remuneration package point</w:t>
            </w:r>
          </w:p>
        </w:tc>
        <w:tc>
          <w:tcPr>
            <w:tcW w:w="1848" w:type="dxa"/>
          </w:tcPr>
          <w:p w14:paraId="1DB7B80A" w14:textId="77777777" w:rsidR="00940AEA" w:rsidRPr="00C96401" w:rsidRDefault="00940AEA" w:rsidP="00DC495E">
            <w:pPr>
              <w:keepNext/>
              <w:rPr>
                <w:sz w:val="22"/>
                <w:szCs w:val="22"/>
              </w:rPr>
            </w:pPr>
          </w:p>
        </w:tc>
        <w:tc>
          <w:tcPr>
            <w:tcW w:w="5523" w:type="dxa"/>
            <w:gridSpan w:val="3"/>
          </w:tcPr>
          <w:p w14:paraId="2C1C08DD" w14:textId="77777777" w:rsidR="00940AEA" w:rsidRPr="00C96401" w:rsidRDefault="00940AEA" w:rsidP="00DC495E">
            <w:pPr>
              <w:keepNext/>
              <w:rPr>
                <w:b/>
                <w:bCs/>
                <w:sz w:val="22"/>
                <w:szCs w:val="22"/>
              </w:rPr>
            </w:pPr>
            <w:r w:rsidRPr="00C96401">
              <w:rPr>
                <w:b/>
                <w:bCs/>
                <w:sz w:val="22"/>
                <w:szCs w:val="22"/>
              </w:rPr>
              <w:t>Proposed effective employment date</w:t>
            </w:r>
          </w:p>
          <w:p w14:paraId="4A8CC6B9" w14:textId="77777777" w:rsidR="00940AEA" w:rsidRPr="00C96401" w:rsidRDefault="00940AEA" w:rsidP="00DC495E">
            <w:pPr>
              <w:keepNext/>
              <w:rPr>
                <w:sz w:val="22"/>
                <w:szCs w:val="22"/>
              </w:rPr>
            </w:pPr>
            <w:r w:rsidRPr="00C96401">
              <w:rPr>
                <w:sz w:val="22"/>
                <w:szCs w:val="22"/>
              </w:rPr>
              <w:t xml:space="preserve">Approval date   </w:t>
            </w:r>
            <w:sdt>
              <w:sdtPr>
                <w:rPr>
                  <w:sz w:val="22"/>
                  <w:szCs w:val="22"/>
                </w:rPr>
                <w:id w:val="1438639847"/>
                <w14:checkbox>
                  <w14:checked w14:val="0"/>
                  <w14:checkedState w14:val="2612" w14:font="MS Gothic"/>
                  <w14:uncheckedState w14:val="2610" w14:font="MS Gothic"/>
                </w14:checkbox>
              </w:sdtPr>
              <w:sdtContent>
                <w:r w:rsidRPr="00C96401">
                  <w:rPr>
                    <w:rFonts w:ascii="MS Gothic" w:eastAsia="MS Gothic" w:hAnsi="MS Gothic" w:hint="eastAsia"/>
                    <w:sz w:val="22"/>
                    <w:szCs w:val="22"/>
                  </w:rPr>
                  <w:t>☐</w:t>
                </w:r>
              </w:sdtContent>
            </w:sdt>
            <w:r w:rsidRPr="00C96401">
              <w:rPr>
                <w:sz w:val="22"/>
                <w:szCs w:val="22"/>
              </w:rPr>
              <w:t xml:space="preserve">           Entry date   </w:t>
            </w:r>
            <w:sdt>
              <w:sdtPr>
                <w:rPr>
                  <w:sz w:val="22"/>
                  <w:szCs w:val="22"/>
                </w:rPr>
                <w:id w:val="401954286"/>
                <w14:checkbox>
                  <w14:checked w14:val="0"/>
                  <w14:checkedState w14:val="2612" w14:font="MS Gothic"/>
                  <w14:uncheckedState w14:val="2610" w14:font="MS Gothic"/>
                </w14:checkbox>
              </w:sdtPr>
              <w:sdtContent>
                <w:r w:rsidRPr="00C96401">
                  <w:rPr>
                    <w:rFonts w:ascii="MS Gothic" w:eastAsia="MS Gothic" w:hAnsi="MS Gothic" w:hint="eastAsia"/>
                    <w:sz w:val="22"/>
                    <w:szCs w:val="22"/>
                  </w:rPr>
                  <w:t>☐</w:t>
                </w:r>
              </w:sdtContent>
            </w:sdt>
          </w:p>
        </w:tc>
      </w:tr>
    </w:tbl>
    <w:p w14:paraId="0A33A6A2" w14:textId="77777777" w:rsidR="00940AEA" w:rsidRPr="00C96401" w:rsidRDefault="00940AEA" w:rsidP="00940AEA">
      <w:pPr>
        <w:pStyle w:val="Caption"/>
        <w:spacing w:before="120"/>
        <w:jc w:val="center"/>
        <w:rPr>
          <w:rFonts w:ascii="Arial" w:hAnsi="Arial" w:cs="Arial"/>
          <w:sz w:val="24"/>
          <w:szCs w:val="24"/>
        </w:rPr>
      </w:pPr>
      <w:r w:rsidRPr="00C96401">
        <w:rPr>
          <w:rFonts w:ascii="Arial" w:hAnsi="Arial" w:cs="Arial"/>
          <w:sz w:val="24"/>
          <w:szCs w:val="24"/>
        </w:rPr>
        <w:t>The following documentation must be attached before submission:</w:t>
      </w:r>
    </w:p>
    <w:tbl>
      <w:tblPr>
        <w:tblStyle w:val="TableGrid"/>
        <w:tblW w:w="2906" w:type="pct"/>
        <w:jc w:val="center"/>
        <w:tblBorders>
          <w:top w:val="single" w:sz="2" w:space="0" w:color="05325F" w:themeColor="text2"/>
          <w:left w:val="single" w:sz="2" w:space="0" w:color="05325F" w:themeColor="text2"/>
          <w:bottom w:val="single" w:sz="2" w:space="0" w:color="05325F" w:themeColor="text2"/>
          <w:right w:val="single" w:sz="2" w:space="0" w:color="05325F" w:themeColor="text2"/>
          <w:insideH w:val="single" w:sz="2" w:space="0" w:color="05325F" w:themeColor="text2"/>
          <w:insideV w:val="single" w:sz="2" w:space="0" w:color="05325F" w:themeColor="text2"/>
        </w:tblBorders>
        <w:tblLook w:val="06E0" w:firstRow="1" w:lastRow="1" w:firstColumn="1" w:lastColumn="0" w:noHBand="1" w:noVBand="1"/>
        <w:tblCaption w:val="Table sample"/>
        <w:tblDescription w:val="Default Table Style showing Header Row and First Column"/>
      </w:tblPr>
      <w:tblGrid>
        <w:gridCol w:w="4252"/>
        <w:gridCol w:w="1833"/>
      </w:tblGrid>
      <w:tr w:rsidR="00860074" w:rsidRPr="00C96401" w14:paraId="0EF40032" w14:textId="77777777" w:rsidTr="00FD3CFF">
        <w:trPr>
          <w:trHeight w:val="371"/>
          <w:jc w:val="center"/>
        </w:trPr>
        <w:tc>
          <w:tcPr>
            <w:tcW w:w="3494"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10CE09B7" w14:textId="77777777" w:rsidR="00860074" w:rsidRPr="00C96401" w:rsidRDefault="00860074" w:rsidP="00DC495E">
            <w:pPr>
              <w:rPr>
                <w:bCs/>
                <w:sz w:val="22"/>
                <w:szCs w:val="22"/>
              </w:rPr>
            </w:pPr>
            <w:r w:rsidRPr="00C96401">
              <w:rPr>
                <w:b/>
                <w:sz w:val="22"/>
                <w:szCs w:val="22"/>
              </w:rPr>
              <w:t>Selection Report</w:t>
            </w:r>
            <w:r w:rsidRPr="00C96401">
              <w:rPr>
                <w:sz w:val="22"/>
                <w:szCs w:val="22"/>
              </w:rPr>
              <w:t xml:space="preserve"> </w:t>
            </w:r>
            <w:r w:rsidRPr="00C96401">
              <w:rPr>
                <w:bCs/>
                <w:sz w:val="22"/>
                <w:szCs w:val="22"/>
              </w:rPr>
              <w:t>(signed)</w:t>
            </w:r>
          </w:p>
        </w:tc>
        <w:tc>
          <w:tcPr>
            <w:tcW w:w="1506"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4B5767BA" w14:textId="77777777" w:rsidR="00860074" w:rsidRPr="00C96401" w:rsidRDefault="00000000" w:rsidP="00DC495E">
            <w:pPr>
              <w:jc w:val="center"/>
              <w:rPr>
                <w:b/>
                <w:bCs/>
                <w:sz w:val="22"/>
                <w:szCs w:val="22"/>
              </w:rPr>
            </w:pPr>
            <w:sdt>
              <w:sdtPr>
                <w:rPr>
                  <w:bCs/>
                  <w:sz w:val="22"/>
                  <w:szCs w:val="22"/>
                </w:rPr>
                <w:id w:val="432402656"/>
                <w14:checkbox>
                  <w14:checked w14:val="0"/>
                  <w14:checkedState w14:val="2612" w14:font="MS Gothic"/>
                  <w14:uncheckedState w14:val="2610" w14:font="MS Gothic"/>
                </w14:checkbox>
              </w:sdtPr>
              <w:sdtContent>
                <w:r w:rsidR="00860074" w:rsidRPr="00C96401">
                  <w:rPr>
                    <w:rFonts w:ascii="MS Gothic" w:eastAsia="MS Gothic" w:hAnsi="MS Gothic" w:hint="eastAsia"/>
                    <w:bCs/>
                    <w:sz w:val="22"/>
                    <w:szCs w:val="22"/>
                  </w:rPr>
                  <w:t>☐</w:t>
                </w:r>
              </w:sdtContent>
            </w:sdt>
          </w:p>
        </w:tc>
      </w:tr>
      <w:tr w:rsidR="00860074" w:rsidRPr="00C96401" w14:paraId="09445A4C" w14:textId="77777777" w:rsidTr="00FD3CFF">
        <w:trPr>
          <w:trHeight w:val="68"/>
          <w:jc w:val="center"/>
        </w:trPr>
        <w:tc>
          <w:tcPr>
            <w:tcW w:w="3494"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41B8340A" w14:textId="77777777" w:rsidR="00860074" w:rsidRPr="00C96401" w:rsidRDefault="00860074" w:rsidP="00DC495E">
            <w:pPr>
              <w:rPr>
                <w:b/>
                <w:sz w:val="22"/>
                <w:szCs w:val="22"/>
              </w:rPr>
            </w:pPr>
            <w:r w:rsidRPr="00C96401">
              <w:rPr>
                <w:b/>
                <w:sz w:val="22"/>
                <w:szCs w:val="22"/>
              </w:rPr>
              <w:t>Confirmation pre-employment checks have been undertaken</w:t>
            </w:r>
          </w:p>
        </w:tc>
        <w:tc>
          <w:tcPr>
            <w:tcW w:w="1506"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52B12E1C" w14:textId="77777777" w:rsidR="00860074" w:rsidRPr="00C96401" w:rsidRDefault="00000000" w:rsidP="00DC495E">
            <w:pPr>
              <w:jc w:val="center"/>
              <w:rPr>
                <w:sz w:val="22"/>
                <w:szCs w:val="22"/>
              </w:rPr>
            </w:pPr>
            <w:sdt>
              <w:sdtPr>
                <w:rPr>
                  <w:bCs/>
                  <w:sz w:val="22"/>
                  <w:szCs w:val="22"/>
                </w:rPr>
                <w:id w:val="-773703838"/>
                <w14:checkbox>
                  <w14:checked w14:val="0"/>
                  <w14:checkedState w14:val="2612" w14:font="MS Gothic"/>
                  <w14:uncheckedState w14:val="2610" w14:font="MS Gothic"/>
                </w14:checkbox>
              </w:sdtPr>
              <w:sdtContent>
                <w:r w:rsidR="00860074" w:rsidRPr="00C96401">
                  <w:rPr>
                    <w:rFonts w:ascii="MS Gothic" w:eastAsia="MS Gothic" w:hAnsi="MS Gothic" w:hint="eastAsia"/>
                    <w:bCs/>
                    <w:sz w:val="22"/>
                    <w:szCs w:val="22"/>
                  </w:rPr>
                  <w:t>☐</w:t>
                </w:r>
              </w:sdtContent>
            </w:sdt>
          </w:p>
        </w:tc>
      </w:tr>
      <w:tr w:rsidR="00FD3CFF" w:rsidRPr="00C96401" w14:paraId="50316123" w14:textId="77777777" w:rsidTr="00FD3CFF">
        <w:trPr>
          <w:trHeight w:val="68"/>
          <w:jc w:val="center"/>
        </w:trPr>
        <w:tc>
          <w:tcPr>
            <w:tcW w:w="3494" w:type="pct"/>
            <w:tcBorders>
              <w:top w:val="single" w:sz="8" w:space="0" w:color="05325F" w:themeColor="text2"/>
              <w:left w:val="single" w:sz="8" w:space="0" w:color="05325F" w:themeColor="text2"/>
              <w:bottom w:val="single" w:sz="8" w:space="0" w:color="05325F" w:themeColor="text2"/>
              <w:right w:val="single" w:sz="8" w:space="0" w:color="05325F" w:themeColor="text2"/>
            </w:tcBorders>
          </w:tcPr>
          <w:p w14:paraId="2E778D02" w14:textId="777A79E3" w:rsidR="00FD3CFF" w:rsidRPr="00C96401" w:rsidRDefault="00FD3CFF" w:rsidP="00DC495E">
            <w:pPr>
              <w:rPr>
                <w:b/>
                <w:sz w:val="22"/>
                <w:szCs w:val="22"/>
              </w:rPr>
            </w:pPr>
            <w:r w:rsidRPr="00C96401">
              <w:rPr>
                <w:b/>
                <w:sz w:val="22"/>
                <w:szCs w:val="22"/>
              </w:rPr>
              <w:t>Role Description</w:t>
            </w:r>
          </w:p>
        </w:tc>
        <w:tc>
          <w:tcPr>
            <w:tcW w:w="1506"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3B6942B8" w14:textId="63E29A4B" w:rsidR="00FD3CFF" w:rsidRPr="00C96401" w:rsidRDefault="00000000" w:rsidP="00DC495E">
            <w:pPr>
              <w:jc w:val="center"/>
              <w:rPr>
                <w:bCs/>
                <w:sz w:val="22"/>
                <w:szCs w:val="22"/>
              </w:rPr>
            </w:pPr>
            <w:sdt>
              <w:sdtPr>
                <w:rPr>
                  <w:bCs/>
                  <w:sz w:val="22"/>
                  <w:szCs w:val="22"/>
                </w:rPr>
                <w:id w:val="-772316486"/>
                <w14:checkbox>
                  <w14:checked w14:val="0"/>
                  <w14:checkedState w14:val="2612" w14:font="MS Gothic"/>
                  <w14:uncheckedState w14:val="2610" w14:font="MS Gothic"/>
                </w14:checkbox>
              </w:sdtPr>
              <w:sdtContent>
                <w:r w:rsidR="00FD3CFF" w:rsidRPr="00C96401">
                  <w:rPr>
                    <w:rFonts w:ascii="MS Gothic" w:eastAsia="MS Gothic" w:hAnsi="MS Gothic" w:hint="eastAsia"/>
                    <w:bCs/>
                    <w:sz w:val="22"/>
                    <w:szCs w:val="22"/>
                  </w:rPr>
                  <w:t>☐</w:t>
                </w:r>
              </w:sdtContent>
            </w:sdt>
          </w:p>
        </w:tc>
      </w:tr>
      <w:tr w:rsidR="00860074" w:rsidRPr="00C96401" w14:paraId="56651618" w14:textId="77777777" w:rsidTr="00FD3CFF">
        <w:trPr>
          <w:trHeight w:val="32"/>
          <w:jc w:val="center"/>
        </w:trPr>
        <w:tc>
          <w:tcPr>
            <w:tcW w:w="3494"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6796B6D6" w14:textId="4F56C15C" w:rsidR="00860074" w:rsidRPr="00C96401" w:rsidRDefault="00FD3CFF" w:rsidP="00DC495E">
            <w:pPr>
              <w:rPr>
                <w:b/>
                <w:bCs/>
                <w:sz w:val="22"/>
                <w:szCs w:val="22"/>
              </w:rPr>
            </w:pPr>
            <w:r>
              <w:rPr>
                <w:b/>
                <w:sz w:val="22"/>
                <w:szCs w:val="22"/>
              </w:rPr>
              <w:t>O</w:t>
            </w:r>
            <w:r w:rsidR="00860074" w:rsidRPr="00FD3CFF">
              <w:rPr>
                <w:b/>
                <w:sz w:val="22"/>
                <w:szCs w:val="22"/>
              </w:rPr>
              <w:t>rganisational chart</w:t>
            </w:r>
          </w:p>
        </w:tc>
        <w:tc>
          <w:tcPr>
            <w:tcW w:w="1506"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1BF12635" w14:textId="77777777" w:rsidR="00860074" w:rsidRPr="00C96401" w:rsidRDefault="00000000" w:rsidP="00DC495E">
            <w:pPr>
              <w:jc w:val="center"/>
              <w:rPr>
                <w:sz w:val="22"/>
                <w:szCs w:val="22"/>
              </w:rPr>
            </w:pPr>
            <w:sdt>
              <w:sdtPr>
                <w:rPr>
                  <w:bCs/>
                  <w:sz w:val="22"/>
                  <w:szCs w:val="22"/>
                </w:rPr>
                <w:id w:val="1505172353"/>
                <w14:checkbox>
                  <w14:checked w14:val="0"/>
                  <w14:checkedState w14:val="2612" w14:font="MS Gothic"/>
                  <w14:uncheckedState w14:val="2610" w14:font="MS Gothic"/>
                </w14:checkbox>
              </w:sdtPr>
              <w:sdtContent>
                <w:r w:rsidR="00860074" w:rsidRPr="00C96401">
                  <w:rPr>
                    <w:rFonts w:ascii="MS Gothic" w:eastAsia="MS Gothic" w:hAnsi="MS Gothic" w:hint="eastAsia"/>
                    <w:bCs/>
                    <w:sz w:val="22"/>
                    <w:szCs w:val="22"/>
                  </w:rPr>
                  <w:t>☐</w:t>
                </w:r>
              </w:sdtContent>
            </w:sdt>
          </w:p>
        </w:tc>
      </w:tr>
    </w:tbl>
    <w:p w14:paraId="10DE75A0" w14:textId="77777777" w:rsidR="00940AEA" w:rsidRPr="004C59A9" w:rsidRDefault="00940AEA" w:rsidP="00940AEA">
      <w:pPr>
        <w:pStyle w:val="ListBullet2"/>
        <w:numPr>
          <w:ilvl w:val="0"/>
          <w:numId w:val="0"/>
        </w:numPr>
        <w:rPr>
          <w:rFonts w:ascii="Arial" w:hAnsi="Arial" w:cs="Arial"/>
          <w:color w:val="000000" w:themeColor="accent1"/>
          <w:sz w:val="24"/>
          <w:szCs w:val="24"/>
        </w:rPr>
      </w:pPr>
      <w:r w:rsidRPr="004C59A9">
        <w:rPr>
          <w:rFonts w:ascii="Arial" w:hAnsi="Arial" w:cs="Arial"/>
          <w:color w:val="000000" w:themeColor="accent1"/>
          <w:sz w:val="24"/>
          <w:szCs w:val="24"/>
        </w:rPr>
        <w:t xml:space="preserve">I </w:t>
      </w:r>
      <w:r w:rsidRPr="004C59A9">
        <w:rPr>
          <w:rFonts w:ascii="Arial" w:hAnsi="Arial" w:cs="Arial"/>
          <w:b/>
          <w:bCs/>
          <w:color w:val="000000" w:themeColor="accent1"/>
          <w:sz w:val="24"/>
          <w:szCs w:val="24"/>
        </w:rPr>
        <w:t>support</w:t>
      </w:r>
      <w:r w:rsidRPr="004C59A9">
        <w:rPr>
          <w:rFonts w:ascii="Arial" w:hAnsi="Arial" w:cs="Arial"/>
          <w:color w:val="000000" w:themeColor="accent1"/>
          <w:sz w:val="24"/>
          <w:szCs w:val="24"/>
        </w:rPr>
        <w:t xml:space="preserve"> the recommendation for employment on a contract basis, and </w:t>
      </w:r>
    </w:p>
    <w:p w14:paraId="4153441B" w14:textId="77777777" w:rsidR="00940AEA" w:rsidRPr="004C59A9" w:rsidRDefault="00940AEA" w:rsidP="00940AEA">
      <w:pPr>
        <w:pStyle w:val="ListBullet2"/>
        <w:numPr>
          <w:ilvl w:val="0"/>
          <w:numId w:val="0"/>
        </w:numPr>
        <w:spacing w:after="0"/>
        <w:rPr>
          <w:rFonts w:ascii="Arial" w:hAnsi="Arial" w:cs="Arial"/>
          <w:color w:val="000000" w:themeColor="accent1"/>
          <w:sz w:val="24"/>
          <w:szCs w:val="24"/>
        </w:rPr>
      </w:pPr>
      <w:r w:rsidRPr="004C59A9">
        <w:rPr>
          <w:rFonts w:ascii="Arial" w:hAnsi="Arial" w:cs="Arial"/>
          <w:color w:val="000000" w:themeColor="accent1"/>
          <w:sz w:val="24"/>
          <w:szCs w:val="24"/>
        </w:rPr>
        <w:t xml:space="preserve">I </w:t>
      </w:r>
      <w:r w:rsidRPr="004C59A9">
        <w:rPr>
          <w:rFonts w:ascii="Arial" w:hAnsi="Arial" w:cs="Arial"/>
          <w:b/>
          <w:bCs/>
          <w:color w:val="000000" w:themeColor="accent1"/>
          <w:sz w:val="24"/>
          <w:szCs w:val="24"/>
        </w:rPr>
        <w:t>certify</w:t>
      </w:r>
      <w:r w:rsidRPr="004C59A9">
        <w:rPr>
          <w:rFonts w:ascii="Arial" w:hAnsi="Arial" w:cs="Arial"/>
          <w:color w:val="000000" w:themeColor="accent1"/>
          <w:sz w:val="24"/>
          <w:szCs w:val="24"/>
        </w:rPr>
        <w:t xml:space="preserve"> that the selection process has complied with relevant directives and provisions in the </w:t>
      </w:r>
      <w:r w:rsidRPr="004C59A9">
        <w:rPr>
          <w:rFonts w:ascii="Arial" w:hAnsi="Arial" w:cs="Arial"/>
          <w:i/>
          <w:iCs/>
          <w:color w:val="000000" w:themeColor="accent1"/>
          <w:sz w:val="24"/>
          <w:szCs w:val="24"/>
        </w:rPr>
        <w:t>Public Sector Act 2022.</w:t>
      </w:r>
      <w:r w:rsidRPr="004C59A9">
        <w:rPr>
          <w:rFonts w:ascii="Arial" w:hAnsi="Arial" w:cs="Arial"/>
          <w:color w:val="000000" w:themeColor="accent1"/>
          <w:sz w:val="24"/>
          <w:szCs w:val="24"/>
        </w:rPr>
        <w:t xml:space="preserve"> </w:t>
      </w:r>
    </w:p>
    <w:p w14:paraId="71628C68" w14:textId="77777777" w:rsidR="00940AEA" w:rsidRPr="00FF5460" w:rsidRDefault="00940AEA" w:rsidP="00940AEA">
      <w:pPr>
        <w:pStyle w:val="ListBullet2"/>
        <w:numPr>
          <w:ilvl w:val="0"/>
          <w:numId w:val="0"/>
        </w:numPr>
        <w:rPr>
          <w:rFonts w:ascii="Arial" w:hAnsi="Arial" w:cs="Arial"/>
          <w:sz w:val="24"/>
          <w:szCs w:val="24"/>
        </w:rPr>
      </w:pPr>
    </w:p>
    <w:p w14:paraId="272B5EBF" w14:textId="77777777" w:rsidR="00940AEA" w:rsidRPr="00FF5460" w:rsidRDefault="00940AEA" w:rsidP="00940AEA">
      <w:pPr>
        <w:pStyle w:val="ListBullet2"/>
        <w:numPr>
          <w:ilvl w:val="0"/>
          <w:numId w:val="0"/>
        </w:numPr>
        <w:rPr>
          <w:rFonts w:ascii="Arial" w:hAnsi="Arial" w:cs="Arial"/>
          <w:sz w:val="24"/>
          <w:szCs w:val="24"/>
        </w:rPr>
      </w:pPr>
    </w:p>
    <w:p w14:paraId="0750341A" w14:textId="77777777" w:rsidR="00940AEA" w:rsidRPr="00FF5460" w:rsidRDefault="00940AEA" w:rsidP="00940AEA">
      <w:pPr>
        <w:pStyle w:val="ListBullet2"/>
        <w:numPr>
          <w:ilvl w:val="0"/>
          <w:numId w:val="0"/>
        </w:numPr>
        <w:rPr>
          <w:rFonts w:ascii="Arial" w:hAnsi="Arial" w:cs="Arial"/>
          <w:sz w:val="24"/>
          <w:szCs w:val="24"/>
        </w:rPr>
      </w:pPr>
    </w:p>
    <w:p w14:paraId="6CB15ECD" w14:textId="77777777" w:rsidR="00940AEA" w:rsidRPr="004C59A9" w:rsidRDefault="00940AEA" w:rsidP="00940AEA">
      <w:pPr>
        <w:pStyle w:val="ListBullet2"/>
        <w:numPr>
          <w:ilvl w:val="0"/>
          <w:numId w:val="0"/>
        </w:numPr>
        <w:rPr>
          <w:rFonts w:ascii="Arial" w:hAnsi="Arial" w:cs="Arial"/>
          <w:color w:val="000000" w:themeColor="accent1"/>
          <w:sz w:val="24"/>
          <w:szCs w:val="24"/>
        </w:rPr>
      </w:pPr>
      <w:r w:rsidRPr="004C59A9">
        <w:rPr>
          <w:rFonts w:ascii="Arial" w:hAnsi="Arial" w:cs="Arial"/>
          <w:color w:val="000000" w:themeColor="accent1"/>
          <w:sz w:val="24"/>
          <w:szCs w:val="24"/>
        </w:rPr>
        <w:t>__________________________________</w:t>
      </w:r>
      <w:r w:rsidRPr="004C59A9">
        <w:rPr>
          <w:rFonts w:ascii="Arial" w:hAnsi="Arial" w:cs="Arial"/>
          <w:color w:val="000000" w:themeColor="accent1"/>
          <w:sz w:val="24"/>
          <w:szCs w:val="24"/>
        </w:rPr>
        <w:tab/>
      </w:r>
      <w:r w:rsidRPr="004C59A9">
        <w:rPr>
          <w:rFonts w:ascii="Arial" w:hAnsi="Arial" w:cs="Arial"/>
          <w:color w:val="000000" w:themeColor="accent1"/>
          <w:sz w:val="24"/>
          <w:szCs w:val="24"/>
        </w:rPr>
        <w:tab/>
        <w:t>_______________</w:t>
      </w:r>
    </w:p>
    <w:p w14:paraId="6B8EC366" w14:textId="574111EC" w:rsidR="00940AEA" w:rsidRPr="004C59A9" w:rsidRDefault="00940AEA" w:rsidP="00940AEA">
      <w:pPr>
        <w:pStyle w:val="ListBullet2"/>
        <w:numPr>
          <w:ilvl w:val="0"/>
          <w:numId w:val="0"/>
        </w:numPr>
        <w:rPr>
          <w:rFonts w:ascii="Arial" w:hAnsi="Arial" w:cs="Arial"/>
          <w:color w:val="000000" w:themeColor="accent1"/>
          <w:sz w:val="24"/>
          <w:szCs w:val="24"/>
        </w:rPr>
      </w:pPr>
      <w:r w:rsidRPr="004C59A9">
        <w:rPr>
          <w:rFonts w:ascii="Arial" w:hAnsi="Arial" w:cs="Arial"/>
          <w:color w:val="000000" w:themeColor="accent1"/>
          <w:sz w:val="24"/>
          <w:szCs w:val="24"/>
        </w:rPr>
        <w:t xml:space="preserve">Department or public service entity </w:t>
      </w:r>
      <w:r w:rsidR="00FF5460" w:rsidRPr="004C59A9">
        <w:rPr>
          <w:rFonts w:ascii="Arial" w:hAnsi="Arial" w:cs="Arial"/>
          <w:color w:val="000000" w:themeColor="accent1"/>
          <w:sz w:val="24"/>
          <w:szCs w:val="24"/>
        </w:rPr>
        <w:tab/>
      </w:r>
      <w:r w:rsidR="00FF5460" w:rsidRPr="004C59A9">
        <w:rPr>
          <w:rFonts w:ascii="Arial" w:hAnsi="Arial" w:cs="Arial"/>
          <w:color w:val="000000" w:themeColor="accent1"/>
          <w:sz w:val="24"/>
          <w:szCs w:val="24"/>
        </w:rPr>
        <w:tab/>
      </w:r>
      <w:r w:rsidR="00FF5460" w:rsidRPr="004C59A9">
        <w:rPr>
          <w:rFonts w:ascii="Arial" w:hAnsi="Arial" w:cs="Arial"/>
          <w:color w:val="000000" w:themeColor="accent1"/>
          <w:sz w:val="24"/>
          <w:szCs w:val="24"/>
        </w:rPr>
        <w:tab/>
        <w:t>Date</w:t>
      </w:r>
    </w:p>
    <w:p w14:paraId="5EEB13AB" w14:textId="125FD1C5" w:rsidR="00940AEA" w:rsidRPr="004C59A9" w:rsidRDefault="00940AEA" w:rsidP="00940AEA">
      <w:pPr>
        <w:pStyle w:val="ListBullet2"/>
        <w:numPr>
          <w:ilvl w:val="0"/>
          <w:numId w:val="0"/>
        </w:numPr>
        <w:rPr>
          <w:rFonts w:ascii="Arial" w:hAnsi="Arial" w:cs="Arial"/>
          <w:color w:val="000000" w:themeColor="accent1"/>
          <w:sz w:val="24"/>
          <w:szCs w:val="24"/>
        </w:rPr>
      </w:pPr>
      <w:r w:rsidRPr="004C59A9">
        <w:rPr>
          <w:rFonts w:ascii="Arial" w:hAnsi="Arial" w:cs="Arial"/>
          <w:color w:val="000000" w:themeColor="accent1"/>
          <w:sz w:val="24"/>
          <w:szCs w:val="24"/>
        </w:rPr>
        <w:t>chief executive officer signature</w:t>
      </w:r>
      <w:r w:rsidRPr="004C59A9">
        <w:rPr>
          <w:rFonts w:ascii="Arial" w:hAnsi="Arial" w:cs="Arial"/>
          <w:color w:val="000000" w:themeColor="accent1"/>
          <w:sz w:val="24"/>
          <w:szCs w:val="24"/>
        </w:rPr>
        <w:tab/>
      </w:r>
      <w:r w:rsidRPr="004C59A9">
        <w:rPr>
          <w:rFonts w:ascii="Arial" w:hAnsi="Arial" w:cs="Arial"/>
          <w:color w:val="000000" w:themeColor="accent1"/>
          <w:sz w:val="24"/>
          <w:szCs w:val="24"/>
        </w:rPr>
        <w:tab/>
      </w:r>
      <w:r w:rsidRPr="004C59A9">
        <w:rPr>
          <w:rFonts w:ascii="Arial" w:hAnsi="Arial" w:cs="Arial"/>
          <w:color w:val="000000" w:themeColor="accent1"/>
          <w:sz w:val="24"/>
          <w:szCs w:val="24"/>
        </w:rPr>
        <w:tab/>
      </w:r>
    </w:p>
    <w:p w14:paraId="7CA6E7FA" w14:textId="106A6433" w:rsidR="00940AEA" w:rsidRDefault="008B1CE8" w:rsidP="00664A9F">
      <w:pPr>
        <w:rPr>
          <w:rFonts w:cs="Arial"/>
          <w:sz w:val="24"/>
        </w:rPr>
      </w:pPr>
      <w:r w:rsidRPr="00FF5460">
        <w:rPr>
          <w:rFonts w:cs="Arial"/>
          <w:sz w:val="24"/>
        </w:rPr>
        <w:t xml:space="preserve">Please submit to the Public Sector Commission via email </w:t>
      </w:r>
      <w:hyperlink r:id="rId12" w:history="1">
        <w:r w:rsidRPr="00FF5460">
          <w:rPr>
            <w:rStyle w:val="Hyperlink"/>
            <w:rFonts w:cs="Arial"/>
            <w:sz w:val="24"/>
          </w:rPr>
          <w:t>sesteam@psc.qld.gov.au</w:t>
        </w:r>
      </w:hyperlink>
      <w:r w:rsidRPr="00FF5460">
        <w:rPr>
          <w:rFonts w:cs="Arial"/>
          <w:sz w:val="24"/>
        </w:rPr>
        <w:t xml:space="preserve"> with supporting documentation.</w:t>
      </w:r>
    </w:p>
    <w:p w14:paraId="0ABA20A4" w14:textId="12B5A4F6" w:rsidR="00A03B5D" w:rsidRPr="00EE7D7B" w:rsidRDefault="00A03B5D" w:rsidP="00664A9F">
      <w:pPr>
        <w:rPr>
          <w:rFonts w:eastAsiaTheme="minorHAnsi" w:cs="Arial"/>
          <w:sz w:val="16"/>
          <w:szCs w:val="16"/>
        </w:rPr>
      </w:pPr>
      <w:r w:rsidRPr="00EE7D7B">
        <w:rPr>
          <w:rFonts w:cs="Arial"/>
          <w:b/>
          <w:bCs/>
          <w:sz w:val="16"/>
          <w:szCs w:val="16"/>
        </w:rPr>
        <w:t>Privacy Collection Statement</w:t>
      </w:r>
      <w:r w:rsidR="00AB7F1F">
        <w:rPr>
          <w:rFonts w:cs="Arial"/>
          <w:b/>
          <w:bCs/>
          <w:sz w:val="16"/>
          <w:szCs w:val="16"/>
        </w:rPr>
        <w:br/>
      </w:r>
      <w:r w:rsidRPr="00EE7D7B">
        <w:rPr>
          <w:rFonts w:cs="Arial"/>
          <w:sz w:val="16"/>
          <w:szCs w:val="16"/>
        </w:rPr>
        <w:t xml:space="preserve">This form is issued by the Public Sector Commission to assist public service entities without access to the Executive Leadership Information System (ELIS) in nominating senior executives. The information collected will be used to assess nominations, facilitate employment processes, and comply with the </w:t>
      </w:r>
      <w:r w:rsidRPr="00EE7D7B">
        <w:rPr>
          <w:rFonts w:cs="Arial"/>
          <w:i/>
          <w:iCs/>
          <w:sz w:val="16"/>
          <w:szCs w:val="16"/>
        </w:rPr>
        <w:t>Information Privacy Act 2009</w:t>
      </w:r>
      <w:r w:rsidRPr="00EE7D7B">
        <w:rPr>
          <w:rFonts w:cs="Arial"/>
          <w:sz w:val="16"/>
          <w:szCs w:val="16"/>
        </w:rPr>
        <w:t xml:space="preserve"> (Qld), the </w:t>
      </w:r>
      <w:r w:rsidRPr="00EE7D7B">
        <w:rPr>
          <w:rFonts w:cs="Arial"/>
          <w:i/>
          <w:iCs/>
          <w:sz w:val="16"/>
          <w:szCs w:val="16"/>
        </w:rPr>
        <w:t xml:space="preserve">Public Sector Act 2022 </w:t>
      </w:r>
      <w:r w:rsidRPr="00EE7D7B">
        <w:rPr>
          <w:rFonts w:cs="Arial"/>
          <w:sz w:val="16"/>
          <w:szCs w:val="16"/>
        </w:rPr>
        <w:t>(Qld), and relevant directives. Access is restricted to authorised PSC officers and relevant agency staff, and may be shared with other government agencies or authorised third parties if required by law. For more details, refer to our </w:t>
      </w:r>
      <w:hyperlink r:id="rId13" w:history="1">
        <w:r w:rsidRPr="00EE7D7B">
          <w:rPr>
            <w:rStyle w:val="Hyperlink"/>
            <w:rFonts w:cs="Arial"/>
            <w:b/>
            <w:bCs/>
            <w:sz w:val="16"/>
            <w:szCs w:val="16"/>
          </w:rPr>
          <w:t>Privacy Policy</w:t>
        </w:r>
      </w:hyperlink>
      <w:r w:rsidRPr="00EE7D7B">
        <w:rPr>
          <w:rFonts w:cs="Arial"/>
          <w:sz w:val="16"/>
          <w:szCs w:val="16"/>
        </w:rPr>
        <w:t>. If you have privacy concerns, contact us at </w:t>
      </w:r>
      <w:hyperlink r:id="rId14" w:history="1">
        <w:r w:rsidRPr="00EE7D7B">
          <w:rPr>
            <w:rStyle w:val="Hyperlink"/>
            <w:rFonts w:cs="Arial"/>
            <w:b/>
            <w:bCs/>
            <w:sz w:val="16"/>
            <w:szCs w:val="16"/>
          </w:rPr>
          <w:t>privacy@psc.qld.gov.au</w:t>
        </w:r>
      </w:hyperlink>
      <w:r w:rsidRPr="00EE7D7B">
        <w:rPr>
          <w:rFonts w:cs="Arial"/>
          <w:sz w:val="16"/>
          <w:szCs w:val="16"/>
        </w:rPr>
        <w:t>.</w:t>
      </w:r>
    </w:p>
    <w:sectPr w:rsidR="00A03B5D" w:rsidRPr="00EE7D7B" w:rsidSect="002B493A">
      <w:headerReference w:type="default" r:id="rId15"/>
      <w:footerReference w:type="default" r:id="rId16"/>
      <w:headerReference w:type="first" r:id="rId17"/>
      <w:pgSz w:w="11906" w:h="16838" w:code="9"/>
      <w:pgMar w:top="993"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F316" w14:textId="77777777" w:rsidR="00CD7183" w:rsidRDefault="00CD7183" w:rsidP="00190C24">
      <w:r>
        <w:separator/>
      </w:r>
    </w:p>
  </w:endnote>
  <w:endnote w:type="continuationSeparator" w:id="0">
    <w:p w14:paraId="6E76171C" w14:textId="77777777" w:rsidR="00CD7183" w:rsidRDefault="00CD718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C2C"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4211413" wp14:editId="740BDF96">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71EEF"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68D70A9" wp14:editId="7B27BDE9">
          <wp:simplePos x="0" y="0"/>
          <wp:positionH relativeFrom="column">
            <wp:posOffset>3481705</wp:posOffset>
          </wp:positionH>
          <wp:positionV relativeFrom="paragraph">
            <wp:posOffset>77978</wp:posOffset>
          </wp:positionV>
          <wp:extent cx="3096895" cy="520065"/>
          <wp:effectExtent l="0" t="0" r="8255" b="0"/>
          <wp:wrapNone/>
          <wp:docPr id="961027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161FD69" w14:textId="77777777" w:rsidR="00664A9F" w:rsidRDefault="00664A9F">
    <w:pPr>
      <w:pStyle w:val="Footer"/>
    </w:pPr>
  </w:p>
  <w:p w14:paraId="67436E6C"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7662" w14:textId="77777777" w:rsidR="00CD7183" w:rsidRDefault="00CD7183" w:rsidP="00190C24">
      <w:r>
        <w:separator/>
      </w:r>
    </w:p>
  </w:footnote>
  <w:footnote w:type="continuationSeparator" w:id="0">
    <w:p w14:paraId="79B1171A" w14:textId="77777777" w:rsidR="00CD7183" w:rsidRDefault="00CD718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CB21" w14:textId="77777777" w:rsidR="00273E87" w:rsidRDefault="00273E87" w:rsidP="00555C3B">
    <w:pPr>
      <w:pStyle w:val="Header"/>
      <w:rPr>
        <w:lang w:val="en-US"/>
      </w:rPr>
    </w:pPr>
  </w:p>
  <w:p w14:paraId="1B7E719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5319D1FA" wp14:editId="20994CB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72C9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2E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5325F" w:themeColor="text2"/>
      </w:rPr>
    </w:lvl>
    <w:lvl w:ilvl="1">
      <w:start w:val="1"/>
      <w:numFmt w:val="bullet"/>
      <w:pStyle w:val="ListBullet2"/>
      <w:lvlText w:val="–"/>
      <w:lvlJc w:val="left"/>
      <w:pPr>
        <w:tabs>
          <w:tab w:val="num" w:pos="1077"/>
        </w:tabs>
        <w:ind w:left="1077" w:hanging="357"/>
      </w:pPr>
      <w:rPr>
        <w:rFonts w:ascii="Arial" w:hAnsi="Arial" w:hint="default"/>
        <w:color w:val="05325F" w:themeColor="text2"/>
      </w:rPr>
    </w:lvl>
    <w:lvl w:ilvl="2">
      <w:start w:val="1"/>
      <w:numFmt w:val="bullet"/>
      <w:pStyle w:val="ListTableBullet"/>
      <w:lvlText w:val=""/>
      <w:lvlJc w:val="left"/>
      <w:pPr>
        <w:tabs>
          <w:tab w:val="num" w:pos="357"/>
        </w:tabs>
        <w:ind w:left="357" w:hanging="357"/>
      </w:pPr>
      <w:rPr>
        <w:rFonts w:ascii="Symbol" w:hAnsi="Symbol" w:hint="default"/>
        <w:color w:val="05325F" w:themeColor="text2"/>
      </w:rPr>
    </w:lvl>
    <w:lvl w:ilvl="3">
      <w:start w:val="1"/>
      <w:numFmt w:val="bullet"/>
      <w:pStyle w:val="ListTableBullet2"/>
      <w:lvlText w:val="–"/>
      <w:lvlJc w:val="left"/>
      <w:pPr>
        <w:tabs>
          <w:tab w:val="num" w:pos="720"/>
        </w:tabs>
        <w:ind w:left="720" w:hanging="363"/>
      </w:pPr>
      <w:rPr>
        <w:rFonts w:ascii="Arial" w:hAnsi="Arial" w:hint="default"/>
        <w:color w:val="05325F"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2"/>
  </w:num>
  <w:num w:numId="4" w16cid:durableId="1352219071">
    <w:abstractNumId w:val="0"/>
  </w:num>
  <w:num w:numId="5" w16cid:durableId="688750406">
    <w:abstractNumId w:val="5"/>
  </w:num>
  <w:num w:numId="6" w16cid:durableId="97861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1C"/>
    <w:rsid w:val="00003124"/>
    <w:rsid w:val="00007985"/>
    <w:rsid w:val="0002155B"/>
    <w:rsid w:val="000425F7"/>
    <w:rsid w:val="000436FC"/>
    <w:rsid w:val="0005471A"/>
    <w:rsid w:val="00066E58"/>
    <w:rsid w:val="0007149A"/>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E5B58"/>
    <w:rsid w:val="001F2B12"/>
    <w:rsid w:val="001F3A36"/>
    <w:rsid w:val="00227C27"/>
    <w:rsid w:val="002371F7"/>
    <w:rsid w:val="0024520B"/>
    <w:rsid w:val="002706E8"/>
    <w:rsid w:val="00273E87"/>
    <w:rsid w:val="002B15E5"/>
    <w:rsid w:val="002B493A"/>
    <w:rsid w:val="002B5219"/>
    <w:rsid w:val="002B7607"/>
    <w:rsid w:val="002C47FC"/>
    <w:rsid w:val="002E3E34"/>
    <w:rsid w:val="002F78A2"/>
    <w:rsid w:val="00320670"/>
    <w:rsid w:val="003344B5"/>
    <w:rsid w:val="00337EAA"/>
    <w:rsid w:val="00355E78"/>
    <w:rsid w:val="00374C84"/>
    <w:rsid w:val="00376F67"/>
    <w:rsid w:val="0038096F"/>
    <w:rsid w:val="00385A56"/>
    <w:rsid w:val="00396D5E"/>
    <w:rsid w:val="003975D2"/>
    <w:rsid w:val="003B48DB"/>
    <w:rsid w:val="003C33FE"/>
    <w:rsid w:val="003D0F91"/>
    <w:rsid w:val="003D33F7"/>
    <w:rsid w:val="003D540F"/>
    <w:rsid w:val="003E5C52"/>
    <w:rsid w:val="003F643A"/>
    <w:rsid w:val="00402CFC"/>
    <w:rsid w:val="00403EF1"/>
    <w:rsid w:val="00404BCA"/>
    <w:rsid w:val="00414D7B"/>
    <w:rsid w:val="00416A49"/>
    <w:rsid w:val="00442FE1"/>
    <w:rsid w:val="004468D2"/>
    <w:rsid w:val="004562DA"/>
    <w:rsid w:val="00476A07"/>
    <w:rsid w:val="00481456"/>
    <w:rsid w:val="004A5E19"/>
    <w:rsid w:val="004C59A9"/>
    <w:rsid w:val="004E5A25"/>
    <w:rsid w:val="004E5CD7"/>
    <w:rsid w:val="004E62A1"/>
    <w:rsid w:val="00540992"/>
    <w:rsid w:val="00543A32"/>
    <w:rsid w:val="00555585"/>
    <w:rsid w:val="0055582F"/>
    <w:rsid w:val="00555C3B"/>
    <w:rsid w:val="0057758F"/>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6F5841"/>
    <w:rsid w:val="007274E7"/>
    <w:rsid w:val="00731D24"/>
    <w:rsid w:val="007B4E7E"/>
    <w:rsid w:val="007D023E"/>
    <w:rsid w:val="007D0BEA"/>
    <w:rsid w:val="007D3462"/>
    <w:rsid w:val="007E6D78"/>
    <w:rsid w:val="007F7255"/>
    <w:rsid w:val="0080579A"/>
    <w:rsid w:val="008171D4"/>
    <w:rsid w:val="0083235D"/>
    <w:rsid w:val="00834179"/>
    <w:rsid w:val="0084602D"/>
    <w:rsid w:val="00852BD5"/>
    <w:rsid w:val="00860074"/>
    <w:rsid w:val="00864110"/>
    <w:rsid w:val="008641E2"/>
    <w:rsid w:val="0088002B"/>
    <w:rsid w:val="00882017"/>
    <w:rsid w:val="00887A49"/>
    <w:rsid w:val="008A4FA7"/>
    <w:rsid w:val="008A7AFC"/>
    <w:rsid w:val="008B1CE8"/>
    <w:rsid w:val="008F1D3C"/>
    <w:rsid w:val="00907963"/>
    <w:rsid w:val="009222D8"/>
    <w:rsid w:val="00931647"/>
    <w:rsid w:val="00936613"/>
    <w:rsid w:val="00940AEA"/>
    <w:rsid w:val="00956995"/>
    <w:rsid w:val="0096078C"/>
    <w:rsid w:val="0096595E"/>
    <w:rsid w:val="009659AB"/>
    <w:rsid w:val="009A200F"/>
    <w:rsid w:val="009A5056"/>
    <w:rsid w:val="009A7275"/>
    <w:rsid w:val="009B7893"/>
    <w:rsid w:val="009E5EE5"/>
    <w:rsid w:val="009F02B3"/>
    <w:rsid w:val="00A03B5D"/>
    <w:rsid w:val="00A216BA"/>
    <w:rsid w:val="00A25FB3"/>
    <w:rsid w:val="00A36618"/>
    <w:rsid w:val="00A37A8D"/>
    <w:rsid w:val="00A40883"/>
    <w:rsid w:val="00A47300"/>
    <w:rsid w:val="00A47F67"/>
    <w:rsid w:val="00A65710"/>
    <w:rsid w:val="00A86680"/>
    <w:rsid w:val="00AB0A25"/>
    <w:rsid w:val="00AB7F1F"/>
    <w:rsid w:val="00AC555D"/>
    <w:rsid w:val="00AD2501"/>
    <w:rsid w:val="00AD5F26"/>
    <w:rsid w:val="00AE022D"/>
    <w:rsid w:val="00AF7DD9"/>
    <w:rsid w:val="00B04635"/>
    <w:rsid w:val="00B21B1C"/>
    <w:rsid w:val="00B30EA8"/>
    <w:rsid w:val="00B33337"/>
    <w:rsid w:val="00B55032"/>
    <w:rsid w:val="00B613E4"/>
    <w:rsid w:val="00B70170"/>
    <w:rsid w:val="00B8699D"/>
    <w:rsid w:val="00B93233"/>
    <w:rsid w:val="00B9593D"/>
    <w:rsid w:val="00B9771E"/>
    <w:rsid w:val="00BC4AA9"/>
    <w:rsid w:val="00BC6556"/>
    <w:rsid w:val="00BD0F68"/>
    <w:rsid w:val="00BD2974"/>
    <w:rsid w:val="00C07E26"/>
    <w:rsid w:val="00C31759"/>
    <w:rsid w:val="00C33A93"/>
    <w:rsid w:val="00C51A70"/>
    <w:rsid w:val="00C51D08"/>
    <w:rsid w:val="00C904F3"/>
    <w:rsid w:val="00C90C44"/>
    <w:rsid w:val="00C96401"/>
    <w:rsid w:val="00CA66DC"/>
    <w:rsid w:val="00CB07AD"/>
    <w:rsid w:val="00CB609F"/>
    <w:rsid w:val="00CC7632"/>
    <w:rsid w:val="00CD57A1"/>
    <w:rsid w:val="00CD7183"/>
    <w:rsid w:val="00CD793C"/>
    <w:rsid w:val="00D01CD2"/>
    <w:rsid w:val="00D13431"/>
    <w:rsid w:val="00D23470"/>
    <w:rsid w:val="00D517CD"/>
    <w:rsid w:val="00D73BEE"/>
    <w:rsid w:val="00D75050"/>
    <w:rsid w:val="00D842DF"/>
    <w:rsid w:val="00D94442"/>
    <w:rsid w:val="00DC5E03"/>
    <w:rsid w:val="00DD5973"/>
    <w:rsid w:val="00DE1E49"/>
    <w:rsid w:val="00DF2836"/>
    <w:rsid w:val="00E3336E"/>
    <w:rsid w:val="00E3494A"/>
    <w:rsid w:val="00E42000"/>
    <w:rsid w:val="00E441D6"/>
    <w:rsid w:val="00E46FDC"/>
    <w:rsid w:val="00E47FB8"/>
    <w:rsid w:val="00E872C5"/>
    <w:rsid w:val="00EA2EFC"/>
    <w:rsid w:val="00EE7D7B"/>
    <w:rsid w:val="00EF474F"/>
    <w:rsid w:val="00EF4AC5"/>
    <w:rsid w:val="00F16981"/>
    <w:rsid w:val="00F21544"/>
    <w:rsid w:val="00F367B3"/>
    <w:rsid w:val="00F37CA9"/>
    <w:rsid w:val="00F43573"/>
    <w:rsid w:val="00F447A2"/>
    <w:rsid w:val="00FA47EF"/>
    <w:rsid w:val="00FD3CFF"/>
    <w:rsid w:val="00FE1554"/>
    <w:rsid w:val="00FE6C82"/>
    <w:rsid w:val="00FF2020"/>
    <w:rsid w:val="00FF546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A6B0"/>
  <w15:chartTrackingRefBased/>
  <w15:docId w15:val="{918D200D-51FC-412C-BB49-C6F49E14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Caption">
    <w:name w:val="caption"/>
    <w:basedOn w:val="Normal"/>
    <w:next w:val="Normal"/>
    <w:uiPriority w:val="20"/>
    <w:qFormat/>
    <w:rsid w:val="00940AEA"/>
    <w:pPr>
      <w:spacing w:before="280"/>
    </w:pPr>
    <w:rPr>
      <w:rFonts w:asciiTheme="minorHAnsi" w:eastAsiaTheme="minorHAnsi" w:hAnsiTheme="minorHAnsi"/>
      <w:b/>
      <w:iCs/>
      <w:color w:val="005EB8" w:themeColor="text1"/>
      <w:szCs w:val="18"/>
    </w:rPr>
  </w:style>
  <w:style w:type="paragraph" w:styleId="ListBullet">
    <w:name w:val="List Bullet"/>
    <w:basedOn w:val="Normal"/>
    <w:uiPriority w:val="17"/>
    <w:qFormat/>
    <w:rsid w:val="00940AEA"/>
    <w:pPr>
      <w:numPr>
        <w:numId w:val="6"/>
      </w:numPr>
      <w:tabs>
        <w:tab w:val="clear" w:pos="720"/>
      </w:tabs>
      <w:spacing w:line="288" w:lineRule="auto"/>
      <w:ind w:left="0" w:firstLine="0"/>
      <w:contextualSpacing/>
    </w:pPr>
    <w:rPr>
      <w:rFonts w:asciiTheme="minorHAnsi" w:eastAsiaTheme="minorHAnsi" w:hAnsiTheme="minorHAnsi"/>
      <w:color w:val="005EB8" w:themeColor="text1"/>
      <w:szCs w:val="22"/>
    </w:rPr>
  </w:style>
  <w:style w:type="numbering" w:customStyle="1" w:styleId="BulletList">
    <w:name w:val="Bullet List"/>
    <w:uiPriority w:val="99"/>
    <w:rsid w:val="00940AEA"/>
    <w:pPr>
      <w:numPr>
        <w:numId w:val="6"/>
      </w:numPr>
    </w:pPr>
  </w:style>
  <w:style w:type="paragraph" w:styleId="ListBullet2">
    <w:name w:val="List Bullet 2"/>
    <w:basedOn w:val="Normal"/>
    <w:uiPriority w:val="17"/>
    <w:qFormat/>
    <w:rsid w:val="00940AEA"/>
    <w:pPr>
      <w:numPr>
        <w:ilvl w:val="1"/>
        <w:numId w:val="6"/>
      </w:numPr>
      <w:tabs>
        <w:tab w:val="clear" w:pos="1077"/>
      </w:tabs>
      <w:spacing w:line="288" w:lineRule="auto"/>
      <w:ind w:left="0" w:firstLine="0"/>
      <w:contextualSpacing/>
    </w:pPr>
    <w:rPr>
      <w:rFonts w:asciiTheme="minorHAnsi" w:eastAsiaTheme="minorHAnsi" w:hAnsiTheme="minorHAnsi"/>
      <w:color w:val="005EB8" w:themeColor="text1"/>
      <w:szCs w:val="22"/>
    </w:rPr>
  </w:style>
  <w:style w:type="paragraph" w:customStyle="1" w:styleId="ListTableBullet2">
    <w:name w:val="List Table Bullet 2"/>
    <w:basedOn w:val="Normal"/>
    <w:uiPriority w:val="18"/>
    <w:qFormat/>
    <w:rsid w:val="00940AEA"/>
    <w:pPr>
      <w:numPr>
        <w:ilvl w:val="3"/>
        <w:numId w:val="6"/>
      </w:numPr>
      <w:tabs>
        <w:tab w:val="clear" w:pos="720"/>
      </w:tabs>
      <w:spacing w:after="0" w:line="288" w:lineRule="auto"/>
      <w:ind w:left="0" w:firstLine="0"/>
    </w:pPr>
    <w:rPr>
      <w:rFonts w:asciiTheme="minorHAnsi" w:eastAsiaTheme="minorHAnsi" w:hAnsiTheme="minorHAnsi"/>
      <w:color w:val="005EB8" w:themeColor="text1"/>
      <w:szCs w:val="22"/>
    </w:rPr>
  </w:style>
  <w:style w:type="paragraph" w:customStyle="1" w:styleId="ListTableBullet">
    <w:name w:val="List Table Bullet"/>
    <w:basedOn w:val="Normal"/>
    <w:uiPriority w:val="18"/>
    <w:qFormat/>
    <w:rsid w:val="00940AEA"/>
    <w:pPr>
      <w:numPr>
        <w:ilvl w:val="2"/>
        <w:numId w:val="6"/>
      </w:numPr>
      <w:tabs>
        <w:tab w:val="clear" w:pos="357"/>
      </w:tabs>
      <w:spacing w:after="0" w:line="288" w:lineRule="auto"/>
      <w:ind w:left="0" w:firstLine="0"/>
    </w:pPr>
    <w:rPr>
      <w:rFonts w:asciiTheme="minorHAnsi" w:eastAsiaTheme="minorHAnsi" w:hAnsiTheme="minorHAnsi"/>
      <w:color w:val="005EB8" w:themeColor="text1"/>
      <w:szCs w:val="22"/>
    </w:rPr>
  </w:style>
  <w:style w:type="character" w:styleId="Hyperlink">
    <w:name w:val="Hyperlink"/>
    <w:basedOn w:val="DefaultParagraphFont"/>
    <w:uiPriority w:val="99"/>
    <w:unhideWhenUsed/>
    <w:rsid w:val="008B1CE8"/>
    <w:rPr>
      <w:color w:val="0563C1" w:themeColor="hyperlink"/>
      <w:u w:val="single"/>
    </w:rPr>
  </w:style>
  <w:style w:type="character" w:styleId="UnresolvedMention">
    <w:name w:val="Unresolved Mention"/>
    <w:basedOn w:val="DefaultParagraphFont"/>
    <w:uiPriority w:val="99"/>
    <w:rsid w:val="006F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ld.gov.au/legal/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steam@psc.qld.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psc.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eiberj\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54</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nomination form A</dc:title>
  <dc:subject>Notification of intention to fill an advertised or non-advertised vacancy</dc:subject>
  <dc:creator>Public Sector Commission; Queensland Government</dc:creator>
  <cp:keywords/>
  <dc:description/>
  <cp:lastPrinted>2025-08-07T05:04:00Z</cp:lastPrinted>
  <dcterms:created xsi:type="dcterms:W3CDTF">2025-10-10T03:54:00Z</dcterms:created>
  <dcterms:modified xsi:type="dcterms:W3CDTF">2026-01-14T23:50:00Z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