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BB98" w14:textId="4B464E79" w:rsidR="00104F6B" w:rsidRDefault="00104F6B" w:rsidP="002474F6">
      <w:pPr>
        <w:sectPr w:rsidR="00104F6B" w:rsidSect="0017024D">
          <w:headerReference w:type="default" r:id="rId8"/>
          <w:footerReference w:type="default" r:id="rId9"/>
          <w:headerReference w:type="first" r:id="rId10"/>
          <w:type w:val="continuous"/>
          <w:pgSz w:w="11900" w:h="16840"/>
          <w:pgMar w:top="1134" w:right="1134" w:bottom="1134" w:left="1134" w:header="2552" w:footer="1134" w:gutter="0"/>
          <w:pgNumType w:start="1"/>
          <w:cols w:space="708"/>
          <w:titlePg/>
          <w:docGrid w:linePitch="360"/>
        </w:sectPr>
      </w:pPr>
    </w:p>
    <w:p w14:paraId="2620AF14" w14:textId="77777777" w:rsidR="00E4761D" w:rsidRDefault="00E4761D" w:rsidP="002474F6"/>
    <w:p w14:paraId="4EE96BA8" w14:textId="77777777" w:rsidR="0017024D" w:rsidRDefault="0017024D" w:rsidP="002474F6"/>
    <w:p w14:paraId="6BD3DA41" w14:textId="77777777" w:rsidR="0017024D" w:rsidRDefault="0017024D" w:rsidP="002474F6"/>
    <w:p w14:paraId="3968E1BB" w14:textId="77777777" w:rsidR="0017024D" w:rsidRDefault="0017024D" w:rsidP="002474F6"/>
    <w:p w14:paraId="07A88EFD" w14:textId="77777777" w:rsidR="0017024D" w:rsidRDefault="0017024D" w:rsidP="002474F6"/>
    <w:p w14:paraId="68824165" w14:textId="77777777" w:rsidR="0017024D" w:rsidRDefault="0017024D" w:rsidP="002474F6"/>
    <w:p w14:paraId="6813B673" w14:textId="77777777" w:rsidR="0017024D" w:rsidRDefault="0017024D" w:rsidP="002474F6"/>
    <w:p w14:paraId="574B5628" w14:textId="77777777" w:rsidR="0017024D" w:rsidRDefault="0017024D" w:rsidP="002474F6"/>
    <w:p w14:paraId="00352A75" w14:textId="77777777" w:rsidR="0017024D" w:rsidRDefault="0017024D" w:rsidP="002474F6"/>
    <w:p w14:paraId="12AA6987" w14:textId="77777777" w:rsidR="0017024D" w:rsidRDefault="0017024D" w:rsidP="002474F6"/>
    <w:p w14:paraId="2E9F1B2A" w14:textId="77777777" w:rsidR="0017024D" w:rsidRDefault="0017024D" w:rsidP="002474F6"/>
    <w:p w14:paraId="28E1E82B" w14:textId="58C748C6" w:rsidR="0017024D" w:rsidRDefault="0017024D" w:rsidP="002474F6"/>
    <w:p w14:paraId="7D94715D" w14:textId="64DCA43E" w:rsidR="0017024D" w:rsidRDefault="0017024D" w:rsidP="002474F6"/>
    <w:p w14:paraId="42CE0262" w14:textId="57BEA3C7" w:rsidR="0017024D" w:rsidRDefault="0017024D" w:rsidP="002474F6"/>
    <w:p w14:paraId="743E3E58" w14:textId="1786ED4D" w:rsidR="0017024D" w:rsidRDefault="0017024D" w:rsidP="002474F6"/>
    <w:p w14:paraId="12EAA085" w14:textId="77777777" w:rsidR="0017024D" w:rsidRDefault="0017024D" w:rsidP="002474F6"/>
    <w:p w14:paraId="4E1CCD2E" w14:textId="77777777" w:rsidR="0017024D" w:rsidRDefault="0017024D" w:rsidP="002474F6"/>
    <w:p w14:paraId="41F846C3" w14:textId="77777777" w:rsidR="0017024D" w:rsidRDefault="0017024D" w:rsidP="002474F6"/>
    <w:p w14:paraId="6CBF73A4" w14:textId="77777777" w:rsidR="0017024D" w:rsidRDefault="0017024D" w:rsidP="002474F6"/>
    <w:p w14:paraId="07C43B64" w14:textId="77777777" w:rsidR="0017024D" w:rsidRDefault="0017024D" w:rsidP="002474F6"/>
    <w:p w14:paraId="0E271285" w14:textId="77777777" w:rsidR="0017024D" w:rsidRDefault="0017024D" w:rsidP="002474F6"/>
    <w:p w14:paraId="0BFE2BB9" w14:textId="77777777" w:rsidR="0017024D" w:rsidRDefault="0017024D" w:rsidP="002474F6"/>
    <w:p w14:paraId="30DFFC8C" w14:textId="77777777" w:rsidR="0017024D" w:rsidRDefault="0017024D" w:rsidP="002474F6"/>
    <w:p w14:paraId="1BE8645F" w14:textId="77777777" w:rsidR="0017024D" w:rsidRDefault="0017024D" w:rsidP="002474F6"/>
    <w:p w14:paraId="3D5F5E5D" w14:textId="77777777" w:rsidR="0017024D" w:rsidRDefault="0017024D" w:rsidP="002474F6"/>
    <w:p w14:paraId="17D1921B" w14:textId="77777777" w:rsidR="003E0A85" w:rsidRDefault="003E0A85" w:rsidP="002474F6">
      <w:pPr>
        <w:sectPr w:rsidR="003E0A85" w:rsidSect="003E0A85">
          <w:headerReference w:type="default" r:id="rId11"/>
          <w:headerReference w:type="first" r:id="rId12"/>
          <w:type w:val="continuous"/>
          <w:pgSz w:w="11900" w:h="16840"/>
          <w:pgMar w:top="403" w:right="1134" w:bottom="1560" w:left="1134" w:header="1129" w:footer="504" w:gutter="0"/>
          <w:pgNumType w:start="0"/>
          <w:cols w:space="708"/>
          <w:titlePg/>
          <w:docGrid w:linePitch="360"/>
        </w:sectPr>
      </w:pPr>
    </w:p>
    <w:p w14:paraId="748D563A" w14:textId="77777777" w:rsidR="00844B3A" w:rsidRPr="00063638" w:rsidRDefault="00844B3A" w:rsidP="00844B3A">
      <w:r w:rsidRPr="002B74F6">
        <w:rPr>
          <w:highlight w:val="yellow"/>
        </w:rPr>
        <w:lastRenderedPageBreak/>
        <w:t>[Agencies to customise guide]</w:t>
      </w:r>
      <w:r>
        <w:t xml:space="preserve">  </w:t>
      </w:r>
    </w:p>
    <w:p w14:paraId="6D31EDD9" w14:textId="185F0DCF" w:rsidR="00844B3A" w:rsidRPr="00420573" w:rsidRDefault="00844B3A" w:rsidP="00844B3A">
      <w:r w:rsidRPr="00420573">
        <w:t xml:space="preserve">This guide is to assist </w:t>
      </w:r>
      <w:r>
        <w:t>managers and colleagues</w:t>
      </w:r>
      <w:r w:rsidRPr="00420573">
        <w:t xml:space="preserve"> supporting</w:t>
      </w:r>
      <w:r>
        <w:t xml:space="preserve"> employees in the workplace who ar</w:t>
      </w:r>
      <w:r w:rsidR="00FA4A69">
        <w:t xml:space="preserve">e </w:t>
      </w:r>
      <w:r>
        <w:t xml:space="preserve">experiencing </w:t>
      </w:r>
      <w:r w:rsidRPr="00420573">
        <w:t xml:space="preserve">domestic and family violence. It </w:t>
      </w:r>
      <w:r w:rsidR="00971CA8">
        <w:t>supports</w:t>
      </w:r>
      <w:r w:rsidRPr="00420573">
        <w:t>:</w:t>
      </w:r>
    </w:p>
    <w:p w14:paraId="2F7E848F" w14:textId="77777777" w:rsidR="00844B3A" w:rsidRPr="000D0EF0" w:rsidRDefault="00844B3A" w:rsidP="000D0EF0">
      <w:pPr>
        <w:pStyle w:val="PSC-Bullets2"/>
      </w:pPr>
      <w:r w:rsidRPr="000D0EF0">
        <w:t>working with an individual employee to assess their level of risk, including consideration of risk as it relates to intersectionality</w:t>
      </w:r>
      <w:r w:rsidRPr="00F33F4E">
        <w:rPr>
          <w:rStyle w:val="FootnoteReference"/>
        </w:rPr>
        <w:footnoteReference w:id="1"/>
      </w:r>
      <w:r w:rsidRPr="000D0EF0">
        <w:t xml:space="preserve"> and their situation</w:t>
      </w:r>
    </w:p>
    <w:p w14:paraId="23B03CFD" w14:textId="77777777" w:rsidR="00844B3A" w:rsidRPr="000D0EF0" w:rsidRDefault="00844B3A" w:rsidP="000D0EF0">
      <w:pPr>
        <w:pStyle w:val="PSC-Bullets2"/>
      </w:pPr>
      <w:r w:rsidRPr="000D0EF0">
        <w:t>working together, and with consent of the employee, to develop a workplace safety plan.</w:t>
      </w:r>
    </w:p>
    <w:p w14:paraId="3B2083FC" w14:textId="77777777" w:rsidR="00844B3A" w:rsidRPr="00063638" w:rsidRDefault="00844B3A" w:rsidP="00844B3A">
      <w:r w:rsidRPr="00063638">
        <w:t>Balancing privacy and consent with an employer’s duty of care for ensuring the workplace is safe needs to be carefully considered, maintaining confidentiality for the affected employee as much as possible.</w:t>
      </w:r>
    </w:p>
    <w:p w14:paraId="69743EB9" w14:textId="603FDB44" w:rsidR="00844B3A" w:rsidRPr="00063638" w:rsidRDefault="00844B3A" w:rsidP="00844B3A">
      <w:r w:rsidRPr="00420573">
        <w:t>Th</w:t>
      </w:r>
      <w:r>
        <w:t>is</w:t>
      </w:r>
      <w:r w:rsidRPr="00420573">
        <w:t xml:space="preserve"> guide support</w:t>
      </w:r>
      <w:r>
        <w:t>s</w:t>
      </w:r>
      <w:r w:rsidRPr="00420573">
        <w:t xml:space="preserve"> the </w:t>
      </w:r>
      <w:r>
        <w:t xml:space="preserve">completion </w:t>
      </w:r>
      <w:r w:rsidRPr="00420573">
        <w:t>of a</w:t>
      </w:r>
      <w:r>
        <w:t xml:space="preserve"> domestic and family violence workplace safety plan for individual </w:t>
      </w:r>
      <w:proofErr w:type="gramStart"/>
      <w:r>
        <w:t>employees</w:t>
      </w:r>
      <w:r w:rsidRPr="00063638">
        <w:t>.</w:t>
      </w:r>
      <w:r w:rsidR="00ED69E1">
        <w:t>[</w:t>
      </w:r>
      <w:proofErr w:type="gramEnd"/>
      <w:r w:rsidR="00ED69E1" w:rsidRPr="00ED69E1">
        <w:rPr>
          <w:highlight w:val="cyan"/>
        </w:rPr>
        <w:t>insert</w:t>
      </w:r>
      <w:r>
        <w:t xml:space="preserve"> </w:t>
      </w:r>
      <w:r w:rsidR="00ED69E1" w:rsidRPr="00ED69E1">
        <w:rPr>
          <w:highlight w:val="cyan"/>
        </w:rPr>
        <w:t>hyperl</w:t>
      </w:r>
      <w:r w:rsidRPr="002B74F6">
        <w:rPr>
          <w:highlight w:val="cyan"/>
        </w:rPr>
        <w:t xml:space="preserve">ink to the </w:t>
      </w:r>
      <w:r w:rsidR="004C20E0">
        <w:rPr>
          <w:highlight w:val="cyan"/>
        </w:rPr>
        <w:t>safety plan</w:t>
      </w:r>
      <w:r w:rsidRPr="002B74F6">
        <w:rPr>
          <w:highlight w:val="cyan"/>
        </w:rPr>
        <w:t>]</w:t>
      </w:r>
    </w:p>
    <w:p w14:paraId="2B9739CB" w14:textId="77777777" w:rsidR="00844B3A" w:rsidRPr="00844B3A" w:rsidRDefault="00844B3A" w:rsidP="00844B3A">
      <w:pPr>
        <w:pStyle w:val="PSC-Heading2"/>
      </w:pPr>
      <w:r w:rsidRPr="00844B3A">
        <w:t>Domestic and family violence in the workplace</w:t>
      </w:r>
    </w:p>
    <w:p w14:paraId="471BD584" w14:textId="713CA4B4" w:rsidR="00844B3A" w:rsidRPr="00420573" w:rsidRDefault="00844B3A" w:rsidP="00844B3A">
      <w:pPr>
        <w:rPr>
          <w:lang w:eastAsia="en-AU"/>
        </w:rPr>
      </w:pPr>
      <w:r w:rsidRPr="000245AD">
        <w:rPr>
          <w:lang w:eastAsia="en-AU"/>
        </w:rPr>
        <w:t>Everyone has the right to feel safe and supported in the workplace</w:t>
      </w:r>
      <w:r>
        <w:rPr>
          <w:lang w:eastAsia="en-AU"/>
        </w:rPr>
        <w:t>.</w:t>
      </w:r>
      <w:r w:rsidR="005E2552">
        <w:rPr>
          <w:lang w:eastAsia="en-AU"/>
        </w:rPr>
        <w:t xml:space="preserve"> </w:t>
      </w:r>
      <w:r w:rsidRPr="00420573">
        <w:rPr>
          <w:lang w:eastAsia="en-AU"/>
        </w:rPr>
        <w:t xml:space="preserve">The Queensland Government provides a range of </w:t>
      </w:r>
      <w:r>
        <w:rPr>
          <w:lang w:eastAsia="en-AU"/>
        </w:rPr>
        <w:t xml:space="preserve">support options and </w:t>
      </w:r>
      <w:r w:rsidRPr="00420573">
        <w:rPr>
          <w:lang w:eastAsia="en-AU"/>
        </w:rPr>
        <w:t>resources to support employees affected by domestic and family violence:</w:t>
      </w:r>
    </w:p>
    <w:p w14:paraId="11DB0172" w14:textId="77777777" w:rsidR="00844B3A" w:rsidRPr="00844B3A" w:rsidRDefault="00B56E4C" w:rsidP="000D0EF0">
      <w:pPr>
        <w:pStyle w:val="PSC-Bullets2"/>
        <w:rPr>
          <w:u w:val="single"/>
        </w:rPr>
      </w:pPr>
      <w:hyperlink r:id="rId13" w:history="1">
        <w:r w:rsidR="00844B3A" w:rsidRPr="00844B3A">
          <w:rPr>
            <w:u w:val="single"/>
          </w:rPr>
          <w:t>Workplace support package</w:t>
        </w:r>
      </w:hyperlink>
      <w:r w:rsidR="00844B3A" w:rsidRPr="00844B3A">
        <w:rPr>
          <w:u w:val="single"/>
        </w:rPr>
        <w:t xml:space="preserve"> </w:t>
      </w:r>
    </w:p>
    <w:p w14:paraId="19D339C0" w14:textId="77777777" w:rsidR="00844B3A" w:rsidRPr="00844B3A" w:rsidRDefault="00B56E4C" w:rsidP="000D0EF0">
      <w:pPr>
        <w:pStyle w:val="PSC-Bullets2"/>
        <w:rPr>
          <w:u w:val="single"/>
        </w:rPr>
      </w:pPr>
      <w:hyperlink r:id="rId14" w:history="1">
        <w:r w:rsidR="00844B3A" w:rsidRPr="00844B3A">
          <w:rPr>
            <w:u w:val="single"/>
          </w:rPr>
          <w:t>Domestic and family violence portal</w:t>
        </w:r>
      </w:hyperlink>
      <w:r w:rsidR="00844B3A" w:rsidRPr="00844B3A">
        <w:rPr>
          <w:u w:val="single"/>
        </w:rPr>
        <w:t xml:space="preserve">  </w:t>
      </w:r>
    </w:p>
    <w:p w14:paraId="575B2B3A" w14:textId="77777777" w:rsidR="00844B3A" w:rsidRPr="00844B3A" w:rsidRDefault="00844B3A" w:rsidP="000D0EF0">
      <w:pPr>
        <w:pStyle w:val="PSC-Bullets2"/>
      </w:pPr>
      <w:r w:rsidRPr="00844B3A">
        <w:t xml:space="preserve">Recognise, Respond, Refer eLearning mandated program to help employees increase their understanding of domestic and family violence and how to support affected colleagues. </w:t>
      </w:r>
      <w:r w:rsidRPr="00844B3A">
        <w:rPr>
          <w:highlight w:val="yellow"/>
        </w:rPr>
        <w:t>[Insert agency specific link]</w:t>
      </w:r>
      <w:r w:rsidRPr="00844B3A">
        <w:t xml:space="preserve"> </w:t>
      </w:r>
    </w:p>
    <w:p w14:paraId="21D21ECA" w14:textId="750CE14F" w:rsidR="00844B3A" w:rsidRPr="00063638" w:rsidRDefault="006934A4" w:rsidP="00844B3A">
      <w:pPr>
        <w:pStyle w:val="PSC-Heading2"/>
      </w:pPr>
      <w:r>
        <w:t>Domestic and family violence w</w:t>
      </w:r>
      <w:r w:rsidR="00844B3A" w:rsidRPr="00063638">
        <w:t>orkplace risk assessment</w:t>
      </w:r>
    </w:p>
    <w:p w14:paraId="14F3EAA0" w14:textId="77777777" w:rsidR="00844B3A" w:rsidRDefault="00844B3A" w:rsidP="00844B3A">
      <w:r w:rsidRPr="00420573">
        <w:t xml:space="preserve">Organisational </w:t>
      </w:r>
      <w:r>
        <w:t xml:space="preserve">domestic and family violence </w:t>
      </w:r>
      <w:r w:rsidRPr="00420573">
        <w:t>risk assessment, polic</w:t>
      </w:r>
      <w:r>
        <w:t>ies</w:t>
      </w:r>
      <w:r w:rsidRPr="00420573">
        <w:t xml:space="preserve"> and procedures are critical in understanding workplace responsibilities and appropriate strategies to support safety in the workplace. </w:t>
      </w:r>
    </w:p>
    <w:p w14:paraId="6C7CBB4A" w14:textId="77777777" w:rsidR="00844B3A" w:rsidRPr="000566AC" w:rsidRDefault="00844B3A" w:rsidP="00844B3A">
      <w:pPr>
        <w:rPr>
          <w:szCs w:val="20"/>
        </w:rPr>
      </w:pPr>
      <w:r>
        <w:t xml:space="preserve">Use the organisational domestic and family violence risk assessment to inform employee safety planning. </w:t>
      </w:r>
      <w:r w:rsidRPr="00FA4A69">
        <w:rPr>
          <w:highlight w:val="yellow"/>
        </w:rPr>
        <w:t>[</w:t>
      </w:r>
      <w:r w:rsidRPr="00FA4A69">
        <w:rPr>
          <w:szCs w:val="20"/>
          <w:highlight w:val="yellow"/>
        </w:rPr>
        <w:t>Insert agency domestic and family violence risk assessment, see example at Appendix A]</w:t>
      </w:r>
    </w:p>
    <w:p w14:paraId="0829E472" w14:textId="77777777" w:rsidR="00844B3A" w:rsidRPr="00BB1B42" w:rsidRDefault="00844B3A" w:rsidP="00844B3A">
      <w:pPr>
        <w:rPr>
          <w:color w:val="000000" w:themeColor="text1"/>
        </w:rPr>
      </w:pPr>
      <w:r>
        <w:rPr>
          <w:shd w:val="clear" w:color="auto" w:fill="FFFFFF"/>
        </w:rPr>
        <w:t xml:space="preserve">Learn more about </w:t>
      </w:r>
      <w:hyperlink r:id="rId15" w:history="1">
        <w:r w:rsidRPr="000D2CF5">
          <w:rPr>
            <w:rStyle w:val="Hyperlink"/>
            <w:color w:val="7030A0"/>
            <w:szCs w:val="22"/>
            <w:shd w:val="clear" w:color="auto" w:fill="FFFFFF"/>
          </w:rPr>
          <w:t xml:space="preserve">organisational health, </w:t>
        </w:r>
        <w:proofErr w:type="gramStart"/>
        <w:r w:rsidRPr="000D2CF5">
          <w:rPr>
            <w:rStyle w:val="Hyperlink"/>
            <w:color w:val="7030A0"/>
            <w:szCs w:val="22"/>
            <w:shd w:val="clear" w:color="auto" w:fill="FFFFFF"/>
          </w:rPr>
          <w:t>safety</w:t>
        </w:r>
        <w:proofErr w:type="gramEnd"/>
        <w:r w:rsidRPr="000D2CF5">
          <w:rPr>
            <w:rStyle w:val="Hyperlink"/>
            <w:color w:val="7030A0"/>
            <w:szCs w:val="22"/>
            <w:shd w:val="clear" w:color="auto" w:fill="FFFFFF"/>
          </w:rPr>
          <w:t xml:space="preserve"> and wellbeing for employees</w:t>
        </w:r>
      </w:hyperlink>
      <w:r>
        <w:rPr>
          <w:shd w:val="clear" w:color="auto" w:fill="FFFFFF"/>
        </w:rPr>
        <w:t>, including risk approaches.</w:t>
      </w:r>
    </w:p>
    <w:p w14:paraId="4A2DA5E2" w14:textId="6744C3ED" w:rsidR="00844B3A" w:rsidRPr="00420573" w:rsidRDefault="006934A4" w:rsidP="00844B3A">
      <w:pPr>
        <w:pStyle w:val="PSC-Heading2"/>
      </w:pPr>
      <w:r>
        <w:t>Domestic and family violence s</w:t>
      </w:r>
      <w:r w:rsidR="00844B3A" w:rsidRPr="00420573">
        <w:t>afety planning in the</w:t>
      </w:r>
      <w:r w:rsidR="00844B3A">
        <w:t xml:space="preserve"> w</w:t>
      </w:r>
      <w:r w:rsidR="00844B3A" w:rsidRPr="00420573">
        <w:t>orkplace</w:t>
      </w:r>
    </w:p>
    <w:p w14:paraId="544198FB" w14:textId="520CE3C0" w:rsidR="00844B3A" w:rsidRDefault="00844B3A" w:rsidP="00844B3A">
      <w:r w:rsidRPr="00420573">
        <w:t xml:space="preserve">A </w:t>
      </w:r>
      <w:r w:rsidR="005C254B">
        <w:t xml:space="preserve">domestic and family violence </w:t>
      </w:r>
      <w:r w:rsidRPr="00420573">
        <w:t>workplace safety plan</w:t>
      </w:r>
      <w:r>
        <w:t xml:space="preserve"> </w:t>
      </w:r>
      <w:r w:rsidR="005E2552" w:rsidRPr="002B74F6">
        <w:rPr>
          <w:highlight w:val="cyan"/>
        </w:rPr>
        <w:t>[</w:t>
      </w:r>
      <w:r w:rsidR="00ED69E1">
        <w:rPr>
          <w:highlight w:val="cyan"/>
        </w:rPr>
        <w:t xml:space="preserve">insert </w:t>
      </w:r>
      <w:r w:rsidRPr="002B74F6">
        <w:rPr>
          <w:highlight w:val="cyan"/>
        </w:rPr>
        <w:t xml:space="preserve">hyperlink to </w:t>
      </w:r>
      <w:r w:rsidR="002B74F6">
        <w:rPr>
          <w:highlight w:val="cyan"/>
        </w:rPr>
        <w:t>safety plan</w:t>
      </w:r>
      <w:r w:rsidR="005E2552" w:rsidRPr="002B74F6">
        <w:rPr>
          <w:highlight w:val="cyan"/>
        </w:rPr>
        <w:t>]</w:t>
      </w:r>
      <w:r w:rsidRPr="00420573">
        <w:t xml:space="preserve"> includes actions and strategies to ensure individual employees </w:t>
      </w:r>
      <w:r>
        <w:t xml:space="preserve">experiencing </w:t>
      </w:r>
      <w:r w:rsidRPr="00420573">
        <w:t>domestic and family violence are supported in the workplace</w:t>
      </w:r>
      <w:r>
        <w:t>. For example,</w:t>
      </w:r>
      <w:r w:rsidRPr="00420573">
        <w:t xml:space="preserve"> how to manage technology abuse or referral to a counselling service.</w:t>
      </w:r>
    </w:p>
    <w:p w14:paraId="7396B2C4" w14:textId="46973974" w:rsidR="00844B3A" w:rsidRPr="00420573" w:rsidRDefault="00844B3A" w:rsidP="00844B3A">
      <w:r w:rsidRPr="00420573">
        <w:t>Employers are not domestic and family violence specialists and are not expected to provide expert advice</w:t>
      </w:r>
      <w:r>
        <w:t xml:space="preserve">. For example, a </w:t>
      </w:r>
      <w:r w:rsidRPr="00420573">
        <w:t xml:space="preserve">workplace safety plan </w:t>
      </w:r>
      <w:r>
        <w:t>does not help an employee to leave a relationship, rather it can help an employee to connect with a domestic and family violence service for support</w:t>
      </w:r>
      <w:r w:rsidR="00D80227">
        <w:t xml:space="preserve"> to achieve their goals</w:t>
      </w:r>
      <w:r w:rsidR="00F33F4E">
        <w:t>.</w:t>
      </w:r>
    </w:p>
    <w:p w14:paraId="77550462" w14:textId="0F3265BF" w:rsidR="00844B3A" w:rsidRDefault="00844B3A" w:rsidP="00844B3A">
      <w:r w:rsidRPr="00420573">
        <w:t>Wherever possible,</w:t>
      </w:r>
      <w:r>
        <w:t xml:space="preserve"> c</w:t>
      </w:r>
      <w:r w:rsidRPr="00420573">
        <w:t>ollaboration with a domestic and family violence specialist</w:t>
      </w:r>
      <w:r>
        <w:t xml:space="preserve"> service</w:t>
      </w:r>
      <w:r w:rsidRPr="00420573">
        <w:t xml:space="preserve"> and/or </w:t>
      </w:r>
      <w:r>
        <w:t>the person/s</w:t>
      </w:r>
      <w:r w:rsidRPr="00420573">
        <w:t xml:space="preserve"> support</w:t>
      </w:r>
      <w:r>
        <w:t>ing</w:t>
      </w:r>
      <w:r w:rsidRPr="00420573">
        <w:t xml:space="preserve"> the employee</w:t>
      </w:r>
      <w:r>
        <w:t xml:space="preserve"> experiencing domestic and family violence</w:t>
      </w:r>
      <w:r w:rsidRPr="00420573">
        <w:t xml:space="preserve"> is important </w:t>
      </w:r>
      <w:r>
        <w:t>to ensure the</w:t>
      </w:r>
      <w:r w:rsidRPr="00420573">
        <w:t xml:space="preserve"> workplace </w:t>
      </w:r>
      <w:r>
        <w:t xml:space="preserve">safety </w:t>
      </w:r>
      <w:r w:rsidRPr="00420573">
        <w:t>plan align</w:t>
      </w:r>
      <w:r>
        <w:t>s</w:t>
      </w:r>
      <w:r w:rsidRPr="00420573">
        <w:t xml:space="preserve"> with external </w:t>
      </w:r>
      <w:r>
        <w:t xml:space="preserve">safety </w:t>
      </w:r>
      <w:r w:rsidRPr="00420573">
        <w:t>plans and support.</w:t>
      </w:r>
    </w:p>
    <w:p w14:paraId="1B7606F0" w14:textId="77777777" w:rsidR="005E2552" w:rsidRDefault="005E2552" w:rsidP="00844B3A"/>
    <w:p w14:paraId="3F2F92CD" w14:textId="77777777" w:rsidR="000D0EF0" w:rsidRDefault="000D0EF0">
      <w:pPr>
        <w:spacing w:after="0" w:line="240" w:lineRule="auto"/>
        <w:rPr>
          <w:rFonts w:cs="Arial"/>
          <w:color w:val="554596"/>
          <w:sz w:val="28"/>
          <w:lang w:val="en-AU"/>
        </w:rPr>
      </w:pPr>
      <w:bookmarkStart w:id="0" w:name="_Hlk74567690"/>
      <w:r>
        <w:br w:type="page"/>
      </w:r>
    </w:p>
    <w:p w14:paraId="6263FCCB" w14:textId="6249AAF0" w:rsidR="00844B3A" w:rsidRPr="00420573" w:rsidRDefault="00844B3A" w:rsidP="00844B3A">
      <w:pPr>
        <w:pStyle w:val="PSC-Heading2"/>
      </w:pPr>
      <w:r>
        <w:lastRenderedPageBreak/>
        <w:t xml:space="preserve">Safety planning checklist </w:t>
      </w:r>
    </w:p>
    <w:tbl>
      <w:tblPr>
        <w:tblStyle w:val="TableGrid"/>
        <w:tblW w:w="0" w:type="auto"/>
        <w:tblBorders>
          <w:top w:val="single" w:sz="4" w:space="0" w:color="F18800"/>
          <w:left w:val="single" w:sz="4" w:space="0" w:color="F18800"/>
          <w:bottom w:val="single" w:sz="4" w:space="0" w:color="F18800"/>
          <w:right w:val="single" w:sz="4" w:space="0" w:color="F18800"/>
          <w:insideH w:val="single" w:sz="4" w:space="0" w:color="F18800"/>
          <w:insideV w:val="single" w:sz="4" w:space="0" w:color="F18800"/>
        </w:tblBorders>
        <w:tblLayout w:type="fixed"/>
        <w:tblLook w:val="04A0" w:firstRow="1" w:lastRow="0" w:firstColumn="1" w:lastColumn="0" w:noHBand="0" w:noVBand="1"/>
      </w:tblPr>
      <w:tblGrid>
        <w:gridCol w:w="1271"/>
        <w:gridCol w:w="8351"/>
      </w:tblGrid>
      <w:tr w:rsidR="00844B3A" w:rsidRPr="00A57A9B" w14:paraId="300A6BEE" w14:textId="77777777" w:rsidTr="0070108E">
        <w:trPr>
          <w:trHeight w:val="680"/>
        </w:trPr>
        <w:tc>
          <w:tcPr>
            <w:tcW w:w="1271" w:type="dxa"/>
            <w:vAlign w:val="center"/>
          </w:tcPr>
          <w:p w14:paraId="50CA4E53" w14:textId="38441AEB" w:rsidR="000D0EF0" w:rsidRPr="00A57A9B" w:rsidRDefault="000D0EF0" w:rsidP="00A57A9B">
            <w:pPr>
              <w:spacing w:before="120"/>
              <w:rPr>
                <w:sz w:val="18"/>
                <w:szCs w:val="18"/>
              </w:rPr>
            </w:pPr>
            <w:r w:rsidRPr="00A57A9B">
              <w:rPr>
                <w:noProof/>
                <w:sz w:val="18"/>
                <w:szCs w:val="18"/>
              </w:rPr>
              <w:drawing>
                <wp:inline distT="0" distB="0" distL="0" distR="0" wp14:anchorId="48815CA4" wp14:editId="5E239D4C">
                  <wp:extent cx="612000" cy="612000"/>
                  <wp:effectExtent l="0" t="0" r="0" b="0"/>
                  <wp:docPr id="1" name="Graphic 1"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eceiver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12000" cy="612000"/>
                          </a:xfrm>
                          <a:prstGeom prst="rect">
                            <a:avLst/>
                          </a:prstGeom>
                        </pic:spPr>
                      </pic:pic>
                    </a:graphicData>
                  </a:graphic>
                </wp:inline>
              </w:drawing>
            </w:r>
          </w:p>
        </w:tc>
        <w:tc>
          <w:tcPr>
            <w:tcW w:w="8351" w:type="dxa"/>
          </w:tcPr>
          <w:p w14:paraId="7C2B9BF1" w14:textId="3B4D633A" w:rsidR="00844B3A" w:rsidRPr="00A57A9B" w:rsidRDefault="00844B3A" w:rsidP="00A57A9B">
            <w:pPr>
              <w:pStyle w:val="ListParagraph"/>
              <w:numPr>
                <w:ilvl w:val="0"/>
                <w:numId w:val="4"/>
              </w:numPr>
              <w:spacing w:before="120"/>
              <w:ind w:left="320" w:hanging="283"/>
              <w:rPr>
                <w:b/>
                <w:bCs/>
                <w:sz w:val="18"/>
                <w:szCs w:val="18"/>
              </w:rPr>
            </w:pPr>
            <w:r w:rsidRPr="00A57A9B">
              <w:rPr>
                <w:b/>
                <w:bCs/>
                <w:sz w:val="18"/>
                <w:szCs w:val="18"/>
                <w:bdr w:val="none" w:sz="0" w:space="0" w:color="auto" w:frame="1"/>
                <w:shd w:val="clear" w:color="auto" w:fill="FFFFFF"/>
              </w:rPr>
              <w:t xml:space="preserve">If you become aware of imminent </w:t>
            </w:r>
            <w:r w:rsidR="005E2552" w:rsidRPr="00A57A9B">
              <w:rPr>
                <w:b/>
                <w:bCs/>
                <w:sz w:val="18"/>
                <w:szCs w:val="18"/>
                <w:bdr w:val="none" w:sz="0" w:space="0" w:color="auto" w:frame="1"/>
                <w:shd w:val="clear" w:color="auto" w:fill="FFFFFF"/>
              </w:rPr>
              <w:t>danger,</w:t>
            </w:r>
            <w:r w:rsidRPr="00A57A9B">
              <w:rPr>
                <w:b/>
                <w:bCs/>
                <w:sz w:val="18"/>
                <w:szCs w:val="18"/>
                <w:bdr w:val="none" w:sz="0" w:space="0" w:color="auto" w:frame="1"/>
                <w:shd w:val="clear" w:color="auto" w:fill="FFFFFF"/>
              </w:rPr>
              <w:t xml:space="preserve"> call the police on 000</w:t>
            </w:r>
            <w:r w:rsidRPr="00A57A9B">
              <w:rPr>
                <w:sz w:val="18"/>
                <w:szCs w:val="18"/>
                <w:bdr w:val="none" w:sz="0" w:space="0" w:color="auto" w:frame="1"/>
                <w:shd w:val="clear" w:color="auto" w:fill="FFFFFF"/>
              </w:rPr>
              <w:t xml:space="preserve">. </w:t>
            </w:r>
            <w:r w:rsidRPr="00A57A9B">
              <w:rPr>
                <w:sz w:val="18"/>
                <w:szCs w:val="18"/>
              </w:rPr>
              <w:t xml:space="preserve"> </w:t>
            </w:r>
          </w:p>
        </w:tc>
      </w:tr>
      <w:tr w:rsidR="00844B3A" w:rsidRPr="00A57A9B" w14:paraId="7623B123" w14:textId="77777777" w:rsidTr="0070108E">
        <w:trPr>
          <w:trHeight w:val="680"/>
        </w:trPr>
        <w:tc>
          <w:tcPr>
            <w:tcW w:w="1271" w:type="dxa"/>
          </w:tcPr>
          <w:p w14:paraId="1ADB5B36" w14:textId="0AFE7A66" w:rsidR="00844B3A" w:rsidRPr="00A57A9B" w:rsidRDefault="000D0EF0" w:rsidP="00844B3A">
            <w:pPr>
              <w:spacing w:before="120"/>
              <w:rPr>
                <w:sz w:val="18"/>
                <w:szCs w:val="18"/>
              </w:rPr>
            </w:pPr>
            <w:r w:rsidRPr="00A57A9B">
              <w:rPr>
                <w:noProof/>
                <w:sz w:val="18"/>
                <w:szCs w:val="18"/>
              </w:rPr>
              <w:drawing>
                <wp:anchor distT="0" distB="0" distL="114300" distR="114300" simplePos="0" relativeHeight="251659264" behindDoc="0" locked="0" layoutInCell="1" allowOverlap="1" wp14:anchorId="5FAA5E1D" wp14:editId="70386A53">
                  <wp:simplePos x="0" y="0"/>
                  <wp:positionH relativeFrom="margin">
                    <wp:align>center</wp:align>
                  </wp:positionH>
                  <wp:positionV relativeFrom="margin">
                    <wp:align>center</wp:align>
                  </wp:positionV>
                  <wp:extent cx="720000" cy="720000"/>
                  <wp:effectExtent l="0" t="0" r="0" b="0"/>
                  <wp:wrapSquare wrapText="bothSides"/>
                  <wp:docPr id="3" name="Graphic 3" descr="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a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tc>
        <w:tc>
          <w:tcPr>
            <w:tcW w:w="8351" w:type="dxa"/>
          </w:tcPr>
          <w:p w14:paraId="1B9C0C5C" w14:textId="77777777" w:rsidR="00844B3A" w:rsidRPr="00A57A9B" w:rsidRDefault="00844B3A" w:rsidP="00A57A9B">
            <w:pPr>
              <w:pStyle w:val="ListParagraph"/>
              <w:numPr>
                <w:ilvl w:val="0"/>
                <w:numId w:val="4"/>
              </w:numPr>
              <w:spacing w:before="120"/>
              <w:ind w:left="320" w:hanging="283"/>
              <w:rPr>
                <w:sz w:val="18"/>
                <w:szCs w:val="18"/>
              </w:rPr>
            </w:pPr>
            <w:r w:rsidRPr="00A57A9B">
              <w:rPr>
                <w:b/>
                <w:bCs/>
                <w:sz w:val="18"/>
                <w:szCs w:val="18"/>
                <w:bdr w:val="none" w:sz="0" w:space="0" w:color="auto" w:frame="1"/>
                <w:shd w:val="clear" w:color="auto" w:fill="FFFFFF"/>
              </w:rPr>
              <w:t>Individuals</w:t>
            </w:r>
            <w:r w:rsidRPr="00A57A9B">
              <w:rPr>
                <w:b/>
                <w:bCs/>
                <w:sz w:val="18"/>
                <w:szCs w:val="18"/>
              </w:rPr>
              <w:t xml:space="preserve"> know their own risk, </w:t>
            </w:r>
            <w:proofErr w:type="gramStart"/>
            <w:r w:rsidRPr="00A57A9B">
              <w:rPr>
                <w:b/>
                <w:bCs/>
                <w:sz w:val="18"/>
                <w:szCs w:val="18"/>
              </w:rPr>
              <w:t>situation</w:t>
            </w:r>
            <w:proofErr w:type="gramEnd"/>
            <w:r w:rsidRPr="00A57A9B">
              <w:rPr>
                <w:b/>
                <w:bCs/>
                <w:sz w:val="18"/>
                <w:szCs w:val="18"/>
              </w:rPr>
              <w:t xml:space="preserve"> and concerns</w:t>
            </w:r>
            <w:r w:rsidRPr="00A57A9B">
              <w:rPr>
                <w:sz w:val="18"/>
                <w:szCs w:val="18"/>
              </w:rPr>
              <w:t xml:space="preserve">. </w:t>
            </w:r>
          </w:p>
          <w:p w14:paraId="4C92DFA4" w14:textId="2510B687" w:rsidR="00844B3A" w:rsidRPr="00A57A9B" w:rsidRDefault="00844B3A" w:rsidP="00844B3A">
            <w:pPr>
              <w:spacing w:before="120"/>
              <w:rPr>
                <w:sz w:val="18"/>
                <w:szCs w:val="18"/>
              </w:rPr>
            </w:pPr>
            <w:r w:rsidRPr="00A57A9B">
              <w:rPr>
                <w:sz w:val="18"/>
                <w:szCs w:val="18"/>
              </w:rPr>
              <w:t xml:space="preserve">A sensitive, grounded conversation guided by the employee experiencing domestic and family violence is important before a </w:t>
            </w:r>
            <w:r w:rsidR="005E2552" w:rsidRPr="00A57A9B">
              <w:rPr>
                <w:sz w:val="18"/>
                <w:szCs w:val="18"/>
              </w:rPr>
              <w:t xml:space="preserve">workplace </w:t>
            </w:r>
            <w:r w:rsidRPr="00A57A9B">
              <w:rPr>
                <w:sz w:val="18"/>
                <w:szCs w:val="18"/>
              </w:rPr>
              <w:t xml:space="preserve">safety plan is discussed. </w:t>
            </w:r>
          </w:p>
          <w:p w14:paraId="399A7597" w14:textId="77777777" w:rsidR="00844B3A" w:rsidRPr="00A57A9B" w:rsidRDefault="00844B3A" w:rsidP="00844B3A">
            <w:pPr>
              <w:spacing w:before="120"/>
              <w:rPr>
                <w:sz w:val="18"/>
                <w:szCs w:val="18"/>
              </w:rPr>
            </w:pPr>
            <w:r w:rsidRPr="00A57A9B">
              <w:rPr>
                <w:sz w:val="18"/>
                <w:szCs w:val="18"/>
              </w:rPr>
              <w:t>Listening and gathering advice from the employee and discussion about available support options and referrals is an important first step – if the employee is ready.</w:t>
            </w:r>
          </w:p>
          <w:p w14:paraId="759DE19E" w14:textId="77777777" w:rsidR="00844B3A" w:rsidRPr="00A57A9B" w:rsidRDefault="00844B3A" w:rsidP="00844B3A">
            <w:pPr>
              <w:spacing w:before="120"/>
              <w:rPr>
                <w:sz w:val="18"/>
                <w:szCs w:val="18"/>
              </w:rPr>
            </w:pPr>
            <w:r w:rsidRPr="00A57A9B">
              <w:rPr>
                <w:sz w:val="18"/>
                <w:szCs w:val="18"/>
              </w:rPr>
              <w:t>Resources to support risk awareness and sensitive engagement:</w:t>
            </w:r>
          </w:p>
          <w:p w14:paraId="44E55A57" w14:textId="06616A4E" w:rsidR="00844B3A" w:rsidRPr="00A57A9B" w:rsidRDefault="00B56E4C" w:rsidP="000D0EF0">
            <w:pPr>
              <w:pStyle w:val="PSC-Bullets2"/>
              <w:rPr>
                <w:rStyle w:val="Hyperlink"/>
                <w:color w:val="7030A0"/>
                <w:sz w:val="18"/>
                <w:szCs w:val="18"/>
                <w:shd w:val="clear" w:color="auto" w:fill="FFFFFF"/>
              </w:rPr>
            </w:pPr>
            <w:r>
              <w:fldChar w:fldCharType="begin"/>
            </w:r>
            <w:r>
              <w:instrText>HYPERLINK "https://dvnswsm.org.au/wp-content/uploads/2023/02/Concepts-of-Safety-Report-with-appendix-20.June_.2018-eCopy.pdf"</w:instrText>
            </w:r>
            <w:r>
              <w:fldChar w:fldCharType="separate"/>
            </w:r>
            <w:r w:rsidR="00844B3A" w:rsidRPr="00A57A9B">
              <w:rPr>
                <w:rStyle w:val="Hyperlink"/>
                <w:color w:val="7030A0"/>
                <w:sz w:val="18"/>
                <w:szCs w:val="18"/>
                <w:shd w:val="clear" w:color="auto" w:fill="FFFFFF"/>
              </w:rPr>
              <w:t>Concepts of safety report 2018</w:t>
            </w:r>
            <w:r>
              <w:rPr>
                <w:rStyle w:val="Hyperlink"/>
                <w:color w:val="7030A0"/>
                <w:sz w:val="18"/>
                <w:szCs w:val="18"/>
                <w:shd w:val="clear" w:color="auto" w:fill="FFFFFF"/>
              </w:rPr>
              <w:fldChar w:fldCharType="end"/>
            </w:r>
          </w:p>
          <w:p w14:paraId="2DC7A3D5" w14:textId="77777777" w:rsidR="00844B3A" w:rsidRPr="00A57A9B" w:rsidRDefault="00B56E4C" w:rsidP="000D0EF0">
            <w:pPr>
              <w:pStyle w:val="PSC-Bullets2"/>
              <w:rPr>
                <w:rStyle w:val="Hyperlink"/>
                <w:color w:val="7030A0"/>
                <w:sz w:val="18"/>
                <w:szCs w:val="18"/>
                <w:shd w:val="clear" w:color="auto" w:fill="FFFFFF"/>
              </w:rPr>
            </w:pPr>
            <w:r>
              <w:fldChar w:fldCharType="begin"/>
            </w:r>
            <w:r>
              <w:instrText>HYPERLINK "https://www.1800respect.org.au/introduction-to-responding"</w:instrText>
            </w:r>
            <w:r>
              <w:fldChar w:fldCharType="separate"/>
            </w:r>
            <w:r w:rsidR="00844B3A" w:rsidRPr="00A57A9B">
              <w:rPr>
                <w:rStyle w:val="Hyperlink"/>
                <w:color w:val="7030A0"/>
                <w:sz w:val="18"/>
                <w:szCs w:val="18"/>
                <w:shd w:val="clear" w:color="auto" w:fill="FFFFFF"/>
              </w:rPr>
              <w:t>Introduction to responding | 1800RESPECT</w:t>
            </w:r>
            <w:r>
              <w:rPr>
                <w:rStyle w:val="Hyperlink"/>
                <w:color w:val="7030A0"/>
                <w:sz w:val="18"/>
                <w:szCs w:val="18"/>
                <w:shd w:val="clear" w:color="auto" w:fill="FFFFFF"/>
              </w:rPr>
              <w:fldChar w:fldCharType="end"/>
            </w:r>
          </w:p>
          <w:p w14:paraId="5EE4EF41" w14:textId="77777777" w:rsidR="00844B3A" w:rsidRPr="00A57A9B" w:rsidRDefault="00B56E4C" w:rsidP="000D0EF0">
            <w:pPr>
              <w:pStyle w:val="PSC-Bullets2"/>
              <w:rPr>
                <w:rStyle w:val="Hyperlink"/>
                <w:color w:val="7030A0"/>
                <w:sz w:val="18"/>
                <w:szCs w:val="18"/>
                <w:shd w:val="clear" w:color="auto" w:fill="FFFFFF"/>
              </w:rPr>
            </w:pPr>
            <w:hyperlink r:id="rId20" w:history="1">
              <w:r w:rsidR="00844B3A" w:rsidRPr="00A57A9B">
                <w:rPr>
                  <w:rStyle w:val="Hyperlink"/>
                  <w:color w:val="7030A0"/>
                  <w:sz w:val="18"/>
                  <w:szCs w:val="18"/>
                  <w:shd w:val="clear" w:color="auto" w:fill="FFFFFF"/>
                </w:rPr>
                <w:t>Conversation guide for team leaders</w:t>
              </w:r>
            </w:hyperlink>
          </w:p>
          <w:p w14:paraId="6C46E09C" w14:textId="0FBB7864" w:rsidR="00844B3A" w:rsidRPr="00A57A9B" w:rsidRDefault="00844B3A" w:rsidP="00844B3A">
            <w:pPr>
              <w:spacing w:before="120"/>
              <w:rPr>
                <w:sz w:val="18"/>
                <w:szCs w:val="18"/>
              </w:rPr>
            </w:pPr>
            <w:r w:rsidRPr="00A57A9B">
              <w:rPr>
                <w:sz w:val="18"/>
                <w:szCs w:val="18"/>
                <w:highlight w:val="yellow"/>
              </w:rPr>
              <w:t xml:space="preserve">[Insert agency preferred links to capability information/options </w:t>
            </w:r>
            <w:proofErr w:type="gramStart"/>
            <w:r w:rsidRPr="00A57A9B">
              <w:rPr>
                <w:sz w:val="18"/>
                <w:szCs w:val="18"/>
                <w:highlight w:val="yellow"/>
              </w:rPr>
              <w:t>e.g.</w:t>
            </w:r>
            <w:proofErr w:type="gramEnd"/>
            <w:r w:rsidRPr="00A57A9B">
              <w:rPr>
                <w:sz w:val="18"/>
                <w:szCs w:val="18"/>
                <w:highlight w:val="yellow"/>
              </w:rPr>
              <w:t xml:space="preserve"> for diverse groups, unconscious bias training etc.]</w:t>
            </w:r>
          </w:p>
        </w:tc>
      </w:tr>
      <w:tr w:rsidR="00844B3A" w:rsidRPr="00A57A9B" w14:paraId="45DE7F28" w14:textId="77777777" w:rsidTr="0070108E">
        <w:trPr>
          <w:trHeight w:val="680"/>
        </w:trPr>
        <w:tc>
          <w:tcPr>
            <w:tcW w:w="1271" w:type="dxa"/>
          </w:tcPr>
          <w:p w14:paraId="524F7E48" w14:textId="06D408FD" w:rsidR="00844B3A" w:rsidRPr="00A57A9B" w:rsidRDefault="00A57A9B" w:rsidP="00844B3A">
            <w:pPr>
              <w:spacing w:before="120"/>
              <w:rPr>
                <w:sz w:val="18"/>
                <w:szCs w:val="18"/>
              </w:rPr>
            </w:pPr>
            <w:r w:rsidRPr="00A57A9B">
              <w:rPr>
                <w:noProof/>
                <w:sz w:val="18"/>
                <w:szCs w:val="18"/>
              </w:rPr>
              <w:drawing>
                <wp:anchor distT="0" distB="0" distL="114300" distR="114300" simplePos="0" relativeHeight="251660288" behindDoc="0" locked="0" layoutInCell="1" allowOverlap="1" wp14:anchorId="0F6994AD" wp14:editId="54A1F9C3">
                  <wp:simplePos x="0" y="0"/>
                  <wp:positionH relativeFrom="margin">
                    <wp:align>center</wp:align>
                  </wp:positionH>
                  <wp:positionV relativeFrom="margin">
                    <wp:align>top</wp:align>
                  </wp:positionV>
                  <wp:extent cx="720000" cy="720000"/>
                  <wp:effectExtent l="0" t="0" r="0" b="0"/>
                  <wp:wrapSquare wrapText="bothSides"/>
                  <wp:docPr id="5" name="Graphic 5"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Lock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tc>
        <w:tc>
          <w:tcPr>
            <w:tcW w:w="8351" w:type="dxa"/>
          </w:tcPr>
          <w:p w14:paraId="18D5007C" w14:textId="77777777" w:rsidR="00844B3A" w:rsidRPr="00A57A9B" w:rsidRDefault="00844B3A" w:rsidP="00A57A9B">
            <w:pPr>
              <w:pStyle w:val="ListParagraph"/>
              <w:numPr>
                <w:ilvl w:val="0"/>
                <w:numId w:val="4"/>
              </w:numPr>
              <w:spacing w:before="120"/>
              <w:ind w:left="320" w:hanging="283"/>
              <w:rPr>
                <w:sz w:val="18"/>
                <w:szCs w:val="18"/>
              </w:rPr>
            </w:pPr>
            <w:r w:rsidRPr="00A57A9B">
              <w:rPr>
                <w:b/>
                <w:bCs/>
                <w:sz w:val="18"/>
                <w:szCs w:val="18"/>
                <w:bdr w:val="none" w:sz="0" w:space="0" w:color="auto" w:frame="1"/>
                <w:shd w:val="clear" w:color="auto" w:fill="FFFFFF"/>
              </w:rPr>
              <w:t>Privacy</w:t>
            </w:r>
            <w:r w:rsidRPr="00A57A9B">
              <w:rPr>
                <w:b/>
                <w:bCs/>
                <w:sz w:val="18"/>
                <w:szCs w:val="18"/>
              </w:rPr>
              <w:t xml:space="preserve"> and confidentiality are critical.</w:t>
            </w:r>
            <w:r w:rsidRPr="00A57A9B">
              <w:rPr>
                <w:sz w:val="18"/>
                <w:szCs w:val="18"/>
              </w:rPr>
              <w:t xml:space="preserve"> </w:t>
            </w:r>
          </w:p>
          <w:p w14:paraId="3E805017" w14:textId="20BF17C9" w:rsidR="00844B3A" w:rsidRPr="00A57A9B" w:rsidRDefault="00844B3A" w:rsidP="00844B3A">
            <w:pPr>
              <w:spacing w:before="120"/>
              <w:rPr>
                <w:sz w:val="18"/>
                <w:szCs w:val="18"/>
              </w:rPr>
            </w:pPr>
            <w:r w:rsidRPr="00A57A9B">
              <w:rPr>
                <w:sz w:val="18"/>
                <w:szCs w:val="18"/>
              </w:rPr>
              <w:t>Maintaining confidentiality can impact an individual’s level of risk and safety.</w:t>
            </w:r>
            <w:r w:rsidRPr="00A57A9B">
              <w:rPr>
                <w:color w:val="C00000"/>
                <w:sz w:val="18"/>
                <w:szCs w:val="18"/>
              </w:rPr>
              <w:t xml:space="preserve"> </w:t>
            </w:r>
            <w:r w:rsidRPr="00A57A9B">
              <w:rPr>
                <w:sz w:val="18"/>
                <w:szCs w:val="18"/>
              </w:rPr>
              <w:t xml:space="preserve">Reassure the employee experiencing domestic and family violence of </w:t>
            </w:r>
            <w:r w:rsidR="006E5E41" w:rsidRPr="00A57A9B">
              <w:rPr>
                <w:sz w:val="18"/>
                <w:szCs w:val="18"/>
              </w:rPr>
              <w:t>confidentiality</w:t>
            </w:r>
            <w:r w:rsidR="0026611E" w:rsidRPr="00A57A9B">
              <w:rPr>
                <w:sz w:val="18"/>
                <w:szCs w:val="18"/>
              </w:rPr>
              <w:t xml:space="preserve">, </w:t>
            </w:r>
            <w:r w:rsidRPr="00A57A9B">
              <w:rPr>
                <w:sz w:val="18"/>
                <w:szCs w:val="18"/>
              </w:rPr>
              <w:t>while being aware of the duty of care in the workplace.</w:t>
            </w:r>
          </w:p>
          <w:p w14:paraId="5B8D614A" w14:textId="77777777" w:rsidR="00844B3A" w:rsidRPr="00A57A9B" w:rsidRDefault="00844B3A" w:rsidP="00844B3A">
            <w:pPr>
              <w:spacing w:before="120"/>
              <w:rPr>
                <w:sz w:val="18"/>
                <w:szCs w:val="18"/>
              </w:rPr>
            </w:pPr>
            <w:r w:rsidRPr="00A57A9B">
              <w:rPr>
                <w:sz w:val="18"/>
                <w:szCs w:val="18"/>
              </w:rPr>
              <w:t>Privacy policies:</w:t>
            </w:r>
          </w:p>
          <w:p w14:paraId="4EAC5FA8" w14:textId="59DA330A" w:rsidR="00844B3A" w:rsidRPr="00A57A9B" w:rsidRDefault="00844B3A" w:rsidP="00844B3A">
            <w:pPr>
              <w:spacing w:before="120"/>
              <w:rPr>
                <w:sz w:val="18"/>
                <w:szCs w:val="18"/>
              </w:rPr>
            </w:pPr>
            <w:r w:rsidRPr="00A57A9B">
              <w:rPr>
                <w:sz w:val="18"/>
                <w:szCs w:val="18"/>
                <w:highlight w:val="yellow"/>
              </w:rPr>
              <w:t>[Insert agency preferred links]</w:t>
            </w:r>
          </w:p>
        </w:tc>
      </w:tr>
      <w:tr w:rsidR="00844B3A" w:rsidRPr="00A57A9B" w14:paraId="4E6857F6" w14:textId="77777777" w:rsidTr="0070108E">
        <w:trPr>
          <w:trHeight w:val="680"/>
        </w:trPr>
        <w:tc>
          <w:tcPr>
            <w:tcW w:w="1271" w:type="dxa"/>
          </w:tcPr>
          <w:p w14:paraId="03C0F42E" w14:textId="4F79CEC8" w:rsidR="00844B3A" w:rsidRPr="00A57A9B" w:rsidRDefault="00A57A9B" w:rsidP="00844B3A">
            <w:pPr>
              <w:spacing w:before="120"/>
              <w:rPr>
                <w:sz w:val="18"/>
                <w:szCs w:val="18"/>
              </w:rPr>
            </w:pPr>
            <w:r w:rsidRPr="00A57A9B">
              <w:rPr>
                <w:noProof/>
                <w:sz w:val="18"/>
                <w:szCs w:val="18"/>
              </w:rPr>
              <w:drawing>
                <wp:anchor distT="0" distB="0" distL="114300" distR="114300" simplePos="0" relativeHeight="251661312" behindDoc="0" locked="0" layoutInCell="1" allowOverlap="1" wp14:anchorId="0EFEB922" wp14:editId="7A100BCF">
                  <wp:simplePos x="0" y="0"/>
                  <wp:positionH relativeFrom="margin">
                    <wp:align>center</wp:align>
                  </wp:positionH>
                  <wp:positionV relativeFrom="margin">
                    <wp:align>top</wp:align>
                  </wp:positionV>
                  <wp:extent cx="720000" cy="720000"/>
                  <wp:effectExtent l="0" t="0" r="0" b="0"/>
                  <wp:wrapSquare wrapText="bothSides"/>
                  <wp:docPr id="4"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User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tc>
        <w:tc>
          <w:tcPr>
            <w:tcW w:w="8351" w:type="dxa"/>
          </w:tcPr>
          <w:p w14:paraId="7EF4F804" w14:textId="77777777" w:rsidR="00844B3A" w:rsidRPr="00A57A9B" w:rsidRDefault="00844B3A" w:rsidP="00A57A9B">
            <w:pPr>
              <w:pStyle w:val="ListParagraph"/>
              <w:numPr>
                <w:ilvl w:val="0"/>
                <w:numId w:val="4"/>
              </w:numPr>
              <w:spacing w:before="120"/>
              <w:ind w:left="320" w:hanging="283"/>
              <w:rPr>
                <w:sz w:val="18"/>
                <w:szCs w:val="18"/>
              </w:rPr>
            </w:pPr>
            <w:r w:rsidRPr="00A57A9B">
              <w:rPr>
                <w:b/>
                <w:bCs/>
                <w:sz w:val="18"/>
                <w:szCs w:val="18"/>
                <w:bdr w:val="none" w:sz="0" w:space="0" w:color="auto" w:frame="1"/>
                <w:shd w:val="clear" w:color="auto" w:fill="FFFFFF"/>
              </w:rPr>
              <w:t>Focus</w:t>
            </w:r>
            <w:r w:rsidRPr="00A57A9B">
              <w:rPr>
                <w:b/>
                <w:sz w:val="18"/>
                <w:szCs w:val="18"/>
              </w:rPr>
              <w:t xml:space="preserve"> on the whole person</w:t>
            </w:r>
            <w:r w:rsidRPr="00A57A9B">
              <w:rPr>
                <w:sz w:val="18"/>
                <w:szCs w:val="18"/>
              </w:rPr>
              <w:t xml:space="preserve">. </w:t>
            </w:r>
          </w:p>
          <w:p w14:paraId="16DBAAD7" w14:textId="027EB9D6" w:rsidR="00844B3A" w:rsidRPr="00A57A9B" w:rsidRDefault="00844B3A" w:rsidP="00844B3A">
            <w:pPr>
              <w:spacing w:before="120"/>
              <w:rPr>
                <w:sz w:val="18"/>
                <w:szCs w:val="18"/>
              </w:rPr>
            </w:pPr>
            <w:r w:rsidRPr="00A57A9B">
              <w:rPr>
                <w:sz w:val="18"/>
                <w:szCs w:val="18"/>
              </w:rPr>
              <w:t>Intersectionality identifies an individual’s relevant characteristics and group memberships, and their own unique experience of discrimination</w:t>
            </w:r>
            <w:r w:rsidR="00DA4879" w:rsidRPr="00A57A9B">
              <w:rPr>
                <w:sz w:val="18"/>
                <w:szCs w:val="18"/>
              </w:rPr>
              <w:t>,</w:t>
            </w:r>
            <w:r w:rsidRPr="00A57A9B">
              <w:rPr>
                <w:sz w:val="18"/>
                <w:szCs w:val="18"/>
              </w:rPr>
              <w:t xml:space="preserve"> which may heighten their risk of domestic and family violence.</w:t>
            </w:r>
          </w:p>
          <w:p w14:paraId="0435B77A" w14:textId="77777777" w:rsidR="00844B3A" w:rsidRPr="00A57A9B" w:rsidRDefault="00844B3A" w:rsidP="00844B3A">
            <w:pPr>
              <w:spacing w:before="120"/>
              <w:rPr>
                <w:sz w:val="18"/>
                <w:szCs w:val="18"/>
              </w:rPr>
            </w:pPr>
            <w:r w:rsidRPr="00A57A9B">
              <w:rPr>
                <w:sz w:val="18"/>
                <w:szCs w:val="18"/>
              </w:rPr>
              <w:t xml:space="preserve">Domestic and family violence risk and safety needs will be different for each employee and considering the individual’s intersectionality is critical for developing the best workplace safety plan. </w:t>
            </w:r>
          </w:p>
          <w:p w14:paraId="1BCC6DBB" w14:textId="77777777" w:rsidR="00844B3A" w:rsidRPr="00A57A9B" w:rsidRDefault="00844B3A" w:rsidP="00844B3A">
            <w:pPr>
              <w:spacing w:before="120"/>
              <w:rPr>
                <w:sz w:val="18"/>
                <w:szCs w:val="18"/>
              </w:rPr>
            </w:pPr>
            <w:r w:rsidRPr="00A57A9B">
              <w:rPr>
                <w:sz w:val="18"/>
                <w:szCs w:val="18"/>
              </w:rPr>
              <w:t>Resources to help build an understanding of intersectionality:</w:t>
            </w:r>
          </w:p>
          <w:p w14:paraId="0C9A716F" w14:textId="5B67B34F" w:rsidR="00844B3A" w:rsidRPr="00A57A9B" w:rsidRDefault="00B56E4C" w:rsidP="000D0EF0">
            <w:pPr>
              <w:pStyle w:val="PSC-Bullets2"/>
              <w:rPr>
                <w:rStyle w:val="Hyperlink"/>
                <w:color w:val="7030A0"/>
                <w:sz w:val="18"/>
                <w:szCs w:val="18"/>
                <w:shd w:val="clear" w:color="auto" w:fill="FFFFFF"/>
              </w:rPr>
            </w:pPr>
            <w:hyperlink r:id="rId25" w:history="1">
              <w:r w:rsidR="00844B3A" w:rsidRPr="00A57A9B">
                <w:rPr>
                  <w:rStyle w:val="Hyperlink"/>
                  <w:color w:val="7030A0"/>
                  <w:sz w:val="18"/>
                  <w:szCs w:val="18"/>
                  <w:shd w:val="clear" w:color="auto" w:fill="FFFFFF"/>
                </w:rPr>
                <w:t>Vulnerable groups</w:t>
              </w:r>
              <w:r w:rsidR="00DA4879" w:rsidRPr="00A57A9B">
                <w:rPr>
                  <w:rStyle w:val="Hyperlink"/>
                  <w:color w:val="7030A0"/>
                  <w:sz w:val="18"/>
                  <w:szCs w:val="18"/>
                  <w:shd w:val="clear" w:color="auto" w:fill="FFFFFF"/>
                </w:rPr>
                <w:t>:</w:t>
              </w:r>
              <w:r w:rsidR="00844B3A" w:rsidRPr="00A57A9B">
                <w:rPr>
                  <w:rStyle w:val="Hyperlink"/>
                  <w:color w:val="7030A0"/>
                  <w:sz w:val="18"/>
                  <w:szCs w:val="18"/>
                  <w:shd w:val="clear" w:color="auto" w:fill="FFFFFF"/>
                </w:rPr>
                <w:t xml:space="preserve"> National Domestic and Family Violence Bench Book (aija.org.au)</w:t>
              </w:r>
            </w:hyperlink>
          </w:p>
          <w:p w14:paraId="1BFE6247" w14:textId="7989EE42" w:rsidR="00844B3A" w:rsidRPr="00A57A9B" w:rsidRDefault="00B56E4C" w:rsidP="000D0EF0">
            <w:pPr>
              <w:pStyle w:val="PSC-Bullets2"/>
              <w:rPr>
                <w:color w:val="7030A0"/>
                <w:sz w:val="18"/>
                <w:szCs w:val="18"/>
                <w:shd w:val="clear" w:color="auto" w:fill="FFFFFF"/>
              </w:rPr>
            </w:pPr>
            <w:hyperlink r:id="rId26" w:history="1">
              <w:r w:rsidR="00844B3A" w:rsidRPr="00A57A9B">
                <w:rPr>
                  <w:sz w:val="18"/>
                  <w:szCs w:val="18"/>
                </w:rPr>
                <w:t>Resources</w:t>
              </w:r>
              <w:r w:rsidR="00DA4879" w:rsidRPr="00A57A9B">
                <w:rPr>
                  <w:sz w:val="18"/>
                  <w:szCs w:val="18"/>
                </w:rPr>
                <w:t>:</w:t>
              </w:r>
              <w:r w:rsidR="00844B3A" w:rsidRPr="00A57A9B">
                <w:rPr>
                  <w:sz w:val="18"/>
                  <w:szCs w:val="18"/>
                </w:rPr>
                <w:t xml:space="preserve"> Australia's National Research Organisation for Women's Safety</w:t>
              </w:r>
            </w:hyperlink>
          </w:p>
          <w:p w14:paraId="1C64499A" w14:textId="3B865EFA" w:rsidR="00844B3A" w:rsidRPr="00A57A9B" w:rsidRDefault="00844B3A" w:rsidP="00844B3A">
            <w:pPr>
              <w:spacing w:before="120"/>
              <w:rPr>
                <w:sz w:val="18"/>
                <w:szCs w:val="18"/>
              </w:rPr>
            </w:pPr>
            <w:r w:rsidRPr="00A57A9B">
              <w:rPr>
                <w:sz w:val="18"/>
                <w:szCs w:val="18"/>
                <w:highlight w:val="yellow"/>
              </w:rPr>
              <w:t xml:space="preserve">[Insert agency preferred links for capability information/options </w:t>
            </w:r>
            <w:proofErr w:type="gramStart"/>
            <w:r w:rsidRPr="00A57A9B">
              <w:rPr>
                <w:sz w:val="18"/>
                <w:szCs w:val="18"/>
                <w:highlight w:val="yellow"/>
              </w:rPr>
              <w:t>e.g.</w:t>
            </w:r>
            <w:proofErr w:type="gramEnd"/>
            <w:r w:rsidRPr="00A57A9B">
              <w:rPr>
                <w:sz w:val="18"/>
                <w:szCs w:val="18"/>
                <w:highlight w:val="yellow"/>
              </w:rPr>
              <w:t xml:space="preserve"> Inclusion is within everyone’s ability training]</w:t>
            </w:r>
          </w:p>
        </w:tc>
      </w:tr>
      <w:tr w:rsidR="00844B3A" w:rsidRPr="00A57A9B" w14:paraId="62D758EF" w14:textId="77777777" w:rsidTr="0070108E">
        <w:trPr>
          <w:trHeight w:val="680"/>
        </w:trPr>
        <w:tc>
          <w:tcPr>
            <w:tcW w:w="1271" w:type="dxa"/>
          </w:tcPr>
          <w:p w14:paraId="140348FE" w14:textId="2F26E7B3" w:rsidR="00844B3A" w:rsidRPr="00A57A9B" w:rsidRDefault="00A57A9B" w:rsidP="00844B3A">
            <w:pPr>
              <w:spacing w:before="120"/>
              <w:rPr>
                <w:sz w:val="18"/>
                <w:szCs w:val="18"/>
              </w:rPr>
            </w:pPr>
            <w:r w:rsidRPr="00A57A9B">
              <w:rPr>
                <w:noProof/>
                <w:sz w:val="18"/>
                <w:szCs w:val="18"/>
              </w:rPr>
              <w:drawing>
                <wp:anchor distT="0" distB="0" distL="114300" distR="114300" simplePos="0" relativeHeight="251662336" behindDoc="0" locked="0" layoutInCell="1" allowOverlap="1" wp14:anchorId="02938E81" wp14:editId="4DFE4A6F">
                  <wp:simplePos x="0" y="0"/>
                  <wp:positionH relativeFrom="margin">
                    <wp:align>center</wp:align>
                  </wp:positionH>
                  <wp:positionV relativeFrom="margin">
                    <wp:align>top</wp:align>
                  </wp:positionV>
                  <wp:extent cx="720000" cy="720000"/>
                  <wp:effectExtent l="0" t="0" r="4445" b="0"/>
                  <wp:wrapSquare wrapText="bothSides"/>
                  <wp:docPr id="6" name="Graphic 6"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at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tc>
        <w:tc>
          <w:tcPr>
            <w:tcW w:w="8351" w:type="dxa"/>
          </w:tcPr>
          <w:p w14:paraId="13362030" w14:textId="451D9859" w:rsidR="00844B3A" w:rsidRPr="00A57A9B" w:rsidRDefault="00844B3A" w:rsidP="00A57A9B">
            <w:pPr>
              <w:pStyle w:val="ListParagraph"/>
              <w:numPr>
                <w:ilvl w:val="0"/>
                <w:numId w:val="4"/>
              </w:numPr>
              <w:spacing w:before="120"/>
              <w:ind w:left="320" w:hanging="283"/>
              <w:rPr>
                <w:sz w:val="18"/>
                <w:szCs w:val="18"/>
              </w:rPr>
            </w:pPr>
            <w:r w:rsidRPr="00A57A9B">
              <w:rPr>
                <w:b/>
                <w:bCs/>
                <w:sz w:val="18"/>
                <w:szCs w:val="18"/>
                <w:bdr w:val="none" w:sz="0" w:space="0" w:color="auto" w:frame="1"/>
                <w:shd w:val="clear" w:color="auto" w:fill="FFFFFF"/>
              </w:rPr>
              <w:t>Regular</w:t>
            </w:r>
            <w:r w:rsidRPr="00A57A9B">
              <w:rPr>
                <w:b/>
                <w:bCs/>
                <w:sz w:val="18"/>
                <w:szCs w:val="18"/>
              </w:rPr>
              <w:t xml:space="preserve"> communication and review of the </w:t>
            </w:r>
            <w:r w:rsidR="00DA4879" w:rsidRPr="00A57A9B">
              <w:rPr>
                <w:b/>
                <w:bCs/>
                <w:sz w:val="18"/>
                <w:szCs w:val="18"/>
              </w:rPr>
              <w:t xml:space="preserve">workplace </w:t>
            </w:r>
            <w:r w:rsidRPr="00A57A9B">
              <w:rPr>
                <w:b/>
                <w:bCs/>
                <w:sz w:val="18"/>
                <w:szCs w:val="18"/>
              </w:rPr>
              <w:t>safety plan are key risk management activities.</w:t>
            </w:r>
            <w:r w:rsidRPr="00A57A9B">
              <w:rPr>
                <w:sz w:val="18"/>
                <w:szCs w:val="18"/>
              </w:rPr>
              <w:t xml:space="preserve"> </w:t>
            </w:r>
          </w:p>
          <w:p w14:paraId="1E7D8F7B" w14:textId="77777777" w:rsidR="00844B3A" w:rsidRPr="00A57A9B" w:rsidRDefault="00844B3A" w:rsidP="00844B3A">
            <w:pPr>
              <w:spacing w:before="120"/>
              <w:rPr>
                <w:sz w:val="18"/>
                <w:szCs w:val="18"/>
              </w:rPr>
            </w:pPr>
            <w:r w:rsidRPr="00A57A9B">
              <w:rPr>
                <w:sz w:val="18"/>
                <w:szCs w:val="18"/>
              </w:rPr>
              <w:t>Any changes in circumstances should trigger a conversation and review as this can heighten risk. For example, when an employee becomes pregnant or starts working from another location, including their home. A request from the employee for a review is also a trigger.</w:t>
            </w:r>
          </w:p>
          <w:p w14:paraId="51F62472" w14:textId="243ABCD9" w:rsidR="00844B3A" w:rsidRPr="00A57A9B" w:rsidRDefault="00844B3A" w:rsidP="00844B3A">
            <w:pPr>
              <w:spacing w:before="120"/>
              <w:rPr>
                <w:sz w:val="18"/>
                <w:szCs w:val="18"/>
              </w:rPr>
            </w:pPr>
            <w:r w:rsidRPr="00A57A9B">
              <w:rPr>
                <w:sz w:val="18"/>
                <w:szCs w:val="18"/>
              </w:rPr>
              <w:t xml:space="preserve">Look after yourself and your team: check in with human resources and your </w:t>
            </w:r>
            <w:r w:rsidR="00DA4879" w:rsidRPr="00A57A9B">
              <w:rPr>
                <w:sz w:val="18"/>
                <w:szCs w:val="18"/>
              </w:rPr>
              <w:t>e</w:t>
            </w:r>
            <w:r w:rsidRPr="00A57A9B">
              <w:rPr>
                <w:sz w:val="18"/>
                <w:szCs w:val="18"/>
              </w:rPr>
              <w:t xml:space="preserve">mployee </w:t>
            </w:r>
            <w:r w:rsidR="00DA4879" w:rsidRPr="00A57A9B">
              <w:rPr>
                <w:sz w:val="18"/>
                <w:szCs w:val="18"/>
              </w:rPr>
              <w:t>a</w:t>
            </w:r>
            <w:r w:rsidRPr="00A57A9B">
              <w:rPr>
                <w:sz w:val="18"/>
                <w:szCs w:val="18"/>
              </w:rPr>
              <w:t xml:space="preserve">ssistance </w:t>
            </w:r>
            <w:r w:rsidR="00DA4879" w:rsidRPr="00A57A9B">
              <w:rPr>
                <w:sz w:val="18"/>
                <w:szCs w:val="18"/>
              </w:rPr>
              <w:t>p</w:t>
            </w:r>
            <w:r w:rsidRPr="00A57A9B">
              <w:rPr>
                <w:sz w:val="18"/>
                <w:szCs w:val="18"/>
              </w:rPr>
              <w:t>rogram</w:t>
            </w:r>
            <w:r w:rsidR="00DA4879" w:rsidRPr="00A57A9B">
              <w:rPr>
                <w:sz w:val="18"/>
                <w:szCs w:val="18"/>
              </w:rPr>
              <w:t xml:space="preserve"> </w:t>
            </w:r>
            <w:r w:rsidRPr="00A57A9B">
              <w:rPr>
                <w:sz w:val="18"/>
                <w:szCs w:val="18"/>
              </w:rPr>
              <w:t xml:space="preserve">if you, your </w:t>
            </w:r>
            <w:proofErr w:type="gramStart"/>
            <w:r w:rsidRPr="00A57A9B">
              <w:rPr>
                <w:sz w:val="18"/>
                <w:szCs w:val="18"/>
              </w:rPr>
              <w:t>team</w:t>
            </w:r>
            <w:proofErr w:type="gramEnd"/>
            <w:r w:rsidRPr="00A57A9B">
              <w:rPr>
                <w:sz w:val="18"/>
                <w:szCs w:val="18"/>
              </w:rPr>
              <w:t xml:space="preserve"> or an affected employee needs support:</w:t>
            </w:r>
          </w:p>
          <w:p w14:paraId="5D13FCD5" w14:textId="46EFF7A4" w:rsidR="00844B3A" w:rsidRPr="00A57A9B" w:rsidRDefault="00844B3A" w:rsidP="00844B3A">
            <w:pPr>
              <w:spacing w:before="120"/>
              <w:rPr>
                <w:sz w:val="18"/>
                <w:szCs w:val="18"/>
              </w:rPr>
            </w:pPr>
            <w:r w:rsidRPr="00A57A9B">
              <w:rPr>
                <w:sz w:val="18"/>
                <w:szCs w:val="18"/>
                <w:highlight w:val="yellow"/>
              </w:rPr>
              <w:t xml:space="preserve">[Insert agency preferred links to </w:t>
            </w:r>
            <w:r w:rsidR="00DA4879" w:rsidRPr="00A57A9B">
              <w:rPr>
                <w:sz w:val="18"/>
                <w:szCs w:val="18"/>
                <w:highlight w:val="yellow"/>
              </w:rPr>
              <w:t>human resources</w:t>
            </w:r>
            <w:r w:rsidRPr="00A57A9B">
              <w:rPr>
                <w:sz w:val="18"/>
                <w:szCs w:val="18"/>
                <w:highlight w:val="yellow"/>
              </w:rPr>
              <w:t xml:space="preserve"> and </w:t>
            </w:r>
            <w:r w:rsidR="00DA4879" w:rsidRPr="00A57A9B">
              <w:rPr>
                <w:sz w:val="18"/>
                <w:szCs w:val="18"/>
                <w:highlight w:val="yellow"/>
              </w:rPr>
              <w:t>employee assistance program</w:t>
            </w:r>
            <w:r w:rsidRPr="00A57A9B">
              <w:rPr>
                <w:sz w:val="18"/>
                <w:szCs w:val="18"/>
                <w:highlight w:val="yellow"/>
              </w:rPr>
              <w:t>]</w:t>
            </w:r>
          </w:p>
        </w:tc>
      </w:tr>
      <w:bookmarkEnd w:id="0"/>
    </w:tbl>
    <w:p w14:paraId="63A0409F" w14:textId="77777777" w:rsidR="00844B3A" w:rsidRDefault="00844B3A" w:rsidP="002474F6"/>
    <w:p w14:paraId="4EE64125" w14:textId="77777777" w:rsidR="00844B3A" w:rsidRDefault="00844B3A" w:rsidP="002474F6">
      <w:pPr>
        <w:sectPr w:rsidR="00844B3A" w:rsidSect="000D0EF0">
          <w:footerReference w:type="default" r:id="rId29"/>
          <w:footerReference w:type="first" r:id="rId30"/>
          <w:pgSz w:w="11900" w:h="16840"/>
          <w:pgMar w:top="1148" w:right="1134" w:bottom="1560" w:left="1134" w:header="417" w:footer="504" w:gutter="0"/>
          <w:pgNumType w:start="1"/>
          <w:cols w:space="708"/>
          <w:titlePg/>
          <w:docGrid w:linePitch="360"/>
        </w:sectPr>
      </w:pPr>
    </w:p>
    <w:p w14:paraId="6B7EEDDD" w14:textId="77777777" w:rsidR="003F3D03" w:rsidRPr="00442F61" w:rsidRDefault="003F3D03" w:rsidP="003F3D03">
      <w:pPr>
        <w:spacing w:before="360"/>
        <w:rPr>
          <w:b/>
          <w:bCs/>
          <w:sz w:val="24"/>
          <w:szCs w:val="28"/>
        </w:rPr>
      </w:pPr>
      <w:r w:rsidRPr="00442F61">
        <w:rPr>
          <w:b/>
          <w:bCs/>
          <w:sz w:val="24"/>
          <w:szCs w:val="28"/>
        </w:rPr>
        <w:lastRenderedPageBreak/>
        <w:t xml:space="preserve">Appendix A: example domestic and family violence workplace risk assessment </w:t>
      </w:r>
    </w:p>
    <w:p w14:paraId="7F7815D7" w14:textId="29CE0CF3" w:rsidR="003F3D03" w:rsidRDefault="003F3D03" w:rsidP="003F3D03">
      <w:pPr>
        <w:pStyle w:val="PSC-Heading1"/>
        <w:rPr>
          <w:b/>
          <w:bCs/>
          <w:color w:val="auto"/>
          <w:sz w:val="40"/>
          <w:szCs w:val="36"/>
        </w:rPr>
      </w:pPr>
      <w:r w:rsidRPr="0070108E">
        <w:rPr>
          <w:b/>
          <w:bCs/>
          <w:color w:val="auto"/>
          <w:sz w:val="40"/>
          <w:szCs w:val="36"/>
        </w:rPr>
        <w:t>Risk management plan: domestic and family violence in the workplace</w:t>
      </w:r>
    </w:p>
    <w:p w14:paraId="3CEAE24D" w14:textId="0554188A" w:rsidR="003F3D03" w:rsidRDefault="003F3D03" w:rsidP="00D4405D">
      <w:pPr>
        <w:spacing w:before="120"/>
        <w:rPr>
          <w:b/>
          <w:bCs/>
          <w:sz w:val="28"/>
          <w:szCs w:val="32"/>
        </w:rPr>
      </w:pPr>
      <w:r w:rsidRPr="0026611E">
        <w:rPr>
          <w:b/>
          <w:bCs/>
          <w:sz w:val="28"/>
          <w:szCs w:val="32"/>
          <w:highlight w:val="yellow"/>
        </w:rPr>
        <w:t>[INSERT DATE, AGENCY DETAILS]</w:t>
      </w:r>
    </w:p>
    <w:p w14:paraId="063E2633" w14:textId="25AB9D84" w:rsidR="00FA4A69" w:rsidRPr="00442F61" w:rsidRDefault="00FA4A69" w:rsidP="003F3D03">
      <w:pPr>
        <w:rPr>
          <w:b/>
          <w:bCs/>
          <w:sz w:val="28"/>
          <w:szCs w:val="32"/>
        </w:rPr>
      </w:pPr>
      <w:r w:rsidRPr="00FA4A69">
        <w:rPr>
          <w:b/>
          <w:bCs/>
          <w:sz w:val="28"/>
          <w:szCs w:val="32"/>
          <w:highlight w:val="cyan"/>
        </w:rPr>
        <w:t>[To be customised by agencies]</w:t>
      </w:r>
    </w:p>
    <w:p w14:paraId="19F86DEE" w14:textId="77777777" w:rsidR="003F3D03" w:rsidRPr="00CD52A6" w:rsidRDefault="003F3D03" w:rsidP="003F3D03">
      <w:pPr>
        <w:pStyle w:val="PSC-Heading2"/>
      </w:pPr>
      <w:r w:rsidRPr="00CD52A6">
        <w:t>Introduction</w:t>
      </w:r>
    </w:p>
    <w:p w14:paraId="6A9E01A6" w14:textId="77777777" w:rsidR="003F3D03" w:rsidRDefault="003F3D03" w:rsidP="003F3D03">
      <w:r w:rsidRPr="00FA4A69">
        <w:rPr>
          <w:highlight w:val="yellow"/>
        </w:rPr>
        <w:t xml:space="preserve">[Insert information about drivers, </w:t>
      </w:r>
      <w:proofErr w:type="gramStart"/>
      <w:r w:rsidRPr="00FA4A69">
        <w:rPr>
          <w:highlight w:val="yellow"/>
        </w:rPr>
        <w:t>commitment</w:t>
      </w:r>
      <w:proofErr w:type="gramEnd"/>
      <w:r w:rsidRPr="00FA4A69">
        <w:rPr>
          <w:highlight w:val="yellow"/>
        </w:rPr>
        <w:t xml:space="preserve"> and workforce]</w:t>
      </w:r>
    </w:p>
    <w:p w14:paraId="4AB2345E" w14:textId="77777777" w:rsidR="003F3D03" w:rsidRPr="00CD52A6" w:rsidRDefault="003F3D03" w:rsidP="003F3D03">
      <w:pPr>
        <w:pStyle w:val="PSC-Heading2"/>
      </w:pPr>
      <w:r w:rsidRPr="00CD52A6">
        <w:t>Executive summary</w:t>
      </w:r>
    </w:p>
    <w:p w14:paraId="318FC5AD" w14:textId="2D704279" w:rsidR="003F3D03" w:rsidRDefault="003F3D03" w:rsidP="003F3D03">
      <w:r w:rsidRPr="00FA4A69">
        <w:rPr>
          <w:highlight w:val="yellow"/>
        </w:rPr>
        <w:t>[Insert purpose and aim of document</w:t>
      </w:r>
      <w:r w:rsidR="00DA4879" w:rsidRPr="00FA4A69">
        <w:rPr>
          <w:highlight w:val="yellow"/>
        </w:rPr>
        <w:t>]</w:t>
      </w:r>
      <w:r>
        <w:t xml:space="preserve"> for example:</w:t>
      </w:r>
    </w:p>
    <w:p w14:paraId="739F5B48" w14:textId="77777777" w:rsidR="003F3D03" w:rsidRDefault="003F3D03" w:rsidP="003F3D03">
      <w:r>
        <w:t>The plan aims to define:</w:t>
      </w:r>
    </w:p>
    <w:p w14:paraId="437DC667" w14:textId="77777777" w:rsidR="003F3D03" w:rsidRDefault="003F3D03" w:rsidP="000D0EF0">
      <w:pPr>
        <w:pStyle w:val="PSC-Bullets2"/>
      </w:pPr>
      <w:r>
        <w:t xml:space="preserve">the process and activities that will be adopted to identify, analyse and evaluate risks relating to domestic and family </w:t>
      </w:r>
      <w:proofErr w:type="gramStart"/>
      <w:r>
        <w:t>violence</w:t>
      </w:r>
      <w:proofErr w:type="gramEnd"/>
    </w:p>
    <w:p w14:paraId="4B3130F6" w14:textId="77777777" w:rsidR="003F3D03" w:rsidRDefault="003F3D03" w:rsidP="000D0EF0">
      <w:pPr>
        <w:pStyle w:val="PSC-Bullets2"/>
      </w:pPr>
      <w:r>
        <w:t>how risk mitigation strategies will be developed and deployed to reduce the likelihood and/or impact of risks</w:t>
      </w:r>
    </w:p>
    <w:p w14:paraId="39303B83" w14:textId="77777777" w:rsidR="003F3D03" w:rsidRDefault="003F3D03" w:rsidP="000D0EF0">
      <w:pPr>
        <w:pStyle w:val="PSC-Bullets2"/>
      </w:pPr>
      <w:r>
        <w:t>how often risks will be reviewed, the process for review and who will be involved</w:t>
      </w:r>
    </w:p>
    <w:p w14:paraId="0A67EAE2" w14:textId="46B2DCEB" w:rsidR="003F3D03" w:rsidRDefault="003F3D03" w:rsidP="000D0EF0">
      <w:pPr>
        <w:pStyle w:val="PSC-Bullets2"/>
      </w:pPr>
      <w:r>
        <w:t>roles and responsibilities for risk management.</w:t>
      </w:r>
    </w:p>
    <w:p w14:paraId="4FAA8EDB" w14:textId="77777777" w:rsidR="003F3D03" w:rsidRPr="00CD52A6" w:rsidRDefault="003F3D03" w:rsidP="003F3D03">
      <w:pPr>
        <w:pStyle w:val="PSC-Heading2"/>
      </w:pPr>
      <w:r w:rsidRPr="00CD52A6">
        <w:t>Key deliverables</w:t>
      </w:r>
    </w:p>
    <w:p w14:paraId="5D374E95" w14:textId="56D20FB7" w:rsidR="003F3D03" w:rsidRDefault="003F3D03" w:rsidP="003F3D03">
      <w:r w:rsidRPr="00FA4A69">
        <w:rPr>
          <w:highlight w:val="yellow"/>
        </w:rPr>
        <w:t>[Insert deliverables</w:t>
      </w:r>
      <w:r w:rsidR="00DA4879" w:rsidRPr="00FA4A69">
        <w:rPr>
          <w:highlight w:val="yellow"/>
        </w:rPr>
        <w:t>]</w:t>
      </w:r>
      <w:r>
        <w:t xml:space="preserve"> for example:</w:t>
      </w:r>
    </w:p>
    <w:p w14:paraId="2DCEA0F7" w14:textId="77777777" w:rsidR="003F3D03" w:rsidRDefault="003F3D03" w:rsidP="003F3D03">
      <w:r>
        <w:t>The key deliverables of the plan include:</w:t>
      </w:r>
    </w:p>
    <w:p w14:paraId="6B0200B7" w14:textId="77777777" w:rsidR="003F3D03" w:rsidRPr="00DD2BF5" w:rsidRDefault="003F3D03" w:rsidP="000D0EF0">
      <w:pPr>
        <w:pStyle w:val="PSC-Bullets2"/>
      </w:pPr>
      <w:r w:rsidRPr="00442F61">
        <w:t>identified processes and activities that are in place to ensure staff can initiate action to prevent or reduce domestic and family violence risks and their impact in the workplace (in the office or working remotely)</w:t>
      </w:r>
    </w:p>
    <w:p w14:paraId="46E25647" w14:textId="53B1D258" w:rsidR="003F3D03" w:rsidRPr="00442F61" w:rsidRDefault="003F3D03" w:rsidP="000D0EF0">
      <w:pPr>
        <w:pStyle w:val="PSC-Bullets2"/>
      </w:pPr>
      <w:r w:rsidRPr="00DD2BF5">
        <w:t>the workforce is educated and provided with appropriate information in relation to their responsibilities regarding domestic and family violence in the workplace</w:t>
      </w:r>
      <w:r>
        <w:t>.</w:t>
      </w:r>
    </w:p>
    <w:p w14:paraId="7414CDE9" w14:textId="77777777" w:rsidR="003F3D03" w:rsidRPr="00CD52A6" w:rsidRDefault="003F3D03" w:rsidP="003F3D03">
      <w:pPr>
        <w:pStyle w:val="PSC-Heading2"/>
      </w:pPr>
      <w:r w:rsidRPr="00CD52A6">
        <w:t>Governance</w:t>
      </w:r>
    </w:p>
    <w:p w14:paraId="5D2C67F7" w14:textId="67DF6544" w:rsidR="003F3D03" w:rsidRPr="00442F61" w:rsidRDefault="003F3D03" w:rsidP="003F3D03">
      <w:r w:rsidRPr="00FA4A69">
        <w:rPr>
          <w:highlight w:val="yellow"/>
        </w:rPr>
        <w:t>[Insert governance arrangements</w:t>
      </w:r>
      <w:r w:rsidR="00DA4879" w:rsidRPr="00FA4A69">
        <w:rPr>
          <w:highlight w:val="yellow"/>
        </w:rPr>
        <w:t>]</w:t>
      </w:r>
      <w:r w:rsidRPr="00442F61">
        <w:t xml:space="preserve"> for example:</w:t>
      </w:r>
    </w:p>
    <w:p w14:paraId="6AA3EBA2" w14:textId="35948DED" w:rsidR="003E0A85" w:rsidRDefault="003F3D03" w:rsidP="00FA4A69">
      <w:pPr>
        <w:sectPr w:rsidR="003E0A85" w:rsidSect="003E0A85">
          <w:headerReference w:type="default" r:id="rId31"/>
          <w:footerReference w:type="first" r:id="rId32"/>
          <w:pgSz w:w="23811" w:h="16838" w:orient="landscape" w:code="8"/>
          <w:pgMar w:top="3261" w:right="1134" w:bottom="1134" w:left="1134" w:header="1417" w:footer="592" w:gutter="0"/>
          <w:cols w:space="708"/>
          <w:docGrid w:linePitch="360"/>
        </w:sectPr>
      </w:pPr>
      <w:r w:rsidRPr="00442F61">
        <w:t xml:space="preserve">Through the department’s Workplace Health </w:t>
      </w:r>
      <w:r>
        <w:t>and</w:t>
      </w:r>
      <w:r w:rsidRPr="00DD2BF5">
        <w:t xml:space="preserve"> Safety (WH&amp;S) Committee, the risk assessment table will be regularly reviewed and updated to reflect current working environments. This plan is a living document and any further identified risks are to be forwarded to Human Resource Services </w:t>
      </w:r>
      <w:r>
        <w:t xml:space="preserve">(HRS) </w:t>
      </w:r>
      <w:r w:rsidRPr="00442F61">
        <w:t>for consideration by the WH&amp;S Committee for inclusion in the risk table</w:t>
      </w:r>
      <w:r>
        <w:t>.</w:t>
      </w:r>
    </w:p>
    <w:p w14:paraId="5FD9C5C5" w14:textId="77777777" w:rsidR="003F3D03" w:rsidRPr="00012D2D" w:rsidRDefault="003F3D03" w:rsidP="003E0A85">
      <w:pPr>
        <w:pStyle w:val="Heading1"/>
      </w:pPr>
      <w:r w:rsidRPr="00012D2D">
        <w:lastRenderedPageBreak/>
        <w:t>Risk management table</w:t>
      </w:r>
    </w:p>
    <w:p w14:paraId="4A7FCF7E" w14:textId="77777777" w:rsidR="003F3D03" w:rsidRPr="00E31BAB" w:rsidRDefault="003F3D03" w:rsidP="000D0EF0">
      <w:pPr>
        <w:pStyle w:val="PSC-Bullets2"/>
        <w:rPr>
          <w:color w:val="2E74B5" w:themeColor="accent5" w:themeShade="BF"/>
        </w:rPr>
      </w:pPr>
      <w:r w:rsidRPr="00890B11">
        <w:t>The risks in this document have been assessed usin</w:t>
      </w:r>
      <w:r>
        <w:t xml:space="preserve">g </w:t>
      </w:r>
      <w:r w:rsidRPr="00FA4A69">
        <w:rPr>
          <w:highlight w:val="yellow"/>
        </w:rPr>
        <w:t>[Insert agency risk management framework link].</w:t>
      </w:r>
    </w:p>
    <w:p w14:paraId="2447E6BF" w14:textId="77777777" w:rsidR="003F3D03" w:rsidRPr="00C777AC" w:rsidRDefault="003F3D03" w:rsidP="000D0EF0">
      <w:pPr>
        <w:pStyle w:val="PSC-Bullets2"/>
      </w:pPr>
      <w:r w:rsidRPr="00C777AC">
        <w:t xml:space="preserve">This risk management table identifies the possible risks </w:t>
      </w:r>
      <w:r w:rsidRPr="00FF3176">
        <w:t>at a departmental level</w:t>
      </w:r>
      <w:r w:rsidRPr="00C777AC">
        <w:t xml:space="preserve"> as circumstances will differ depending on each situation.  </w:t>
      </w:r>
    </w:p>
    <w:p w14:paraId="756BFC49" w14:textId="14225CF0" w:rsidR="003F3D03" w:rsidRDefault="003F3D03" w:rsidP="000D0EF0">
      <w:pPr>
        <w:pStyle w:val="PSC-Bullets2"/>
        <w:rPr>
          <w:color w:val="2E74B5" w:themeColor="accent5" w:themeShade="BF"/>
        </w:rPr>
      </w:pPr>
      <w:r w:rsidRPr="00C777AC">
        <w:t>Risks and mitigation strategies pertaining to an individual matter will be identified in the</w:t>
      </w:r>
      <w:r>
        <w:t xml:space="preserve"> </w:t>
      </w:r>
      <w:r w:rsidR="00DA4879">
        <w:t>d</w:t>
      </w:r>
      <w:r w:rsidRPr="00FA4A69">
        <w:t>omestic and family violence workplace safety plan for individual employees</w:t>
      </w:r>
      <w:r w:rsidRPr="006C2BC0">
        <w:t xml:space="preserve"> </w:t>
      </w:r>
      <w:r w:rsidRPr="00FA4A69">
        <w:rPr>
          <w:highlight w:val="yellow"/>
        </w:rPr>
        <w:t xml:space="preserve">[Insert </w:t>
      </w:r>
      <w:r w:rsidR="00FA4A69">
        <w:rPr>
          <w:highlight w:val="yellow"/>
        </w:rPr>
        <w:t xml:space="preserve">interactive form </w:t>
      </w:r>
      <w:r w:rsidRPr="00FA4A69">
        <w:rPr>
          <w:highlight w:val="yellow"/>
        </w:rPr>
        <w:t>hyperlink]</w:t>
      </w:r>
      <w:r w:rsidR="00DA4879">
        <w:rPr>
          <w:highlight w:val="yellow"/>
        </w:rPr>
        <w:t>.</w:t>
      </w:r>
    </w:p>
    <w:tbl>
      <w:tblPr>
        <w:tblStyle w:val="TableGrid"/>
        <w:tblW w:w="5000" w:type="pct"/>
        <w:tblBorders>
          <w:top w:val="single" w:sz="4" w:space="0" w:color="F18800"/>
          <w:left w:val="single" w:sz="4" w:space="0" w:color="F18800"/>
          <w:bottom w:val="single" w:sz="4" w:space="0" w:color="F18800"/>
          <w:right w:val="single" w:sz="4" w:space="0" w:color="F18800"/>
          <w:insideH w:val="single" w:sz="4" w:space="0" w:color="F18800"/>
          <w:insideV w:val="single" w:sz="4" w:space="0" w:color="F18800"/>
        </w:tblBorders>
        <w:tblLook w:val="04A0" w:firstRow="1" w:lastRow="0" w:firstColumn="1" w:lastColumn="0" w:noHBand="0" w:noVBand="1"/>
      </w:tblPr>
      <w:tblGrid>
        <w:gridCol w:w="2770"/>
        <w:gridCol w:w="1451"/>
        <w:gridCol w:w="1744"/>
        <w:gridCol w:w="1568"/>
        <w:gridCol w:w="3846"/>
        <w:gridCol w:w="1262"/>
        <w:gridCol w:w="1408"/>
        <w:gridCol w:w="1425"/>
        <w:gridCol w:w="1055"/>
        <w:gridCol w:w="1344"/>
        <w:gridCol w:w="2420"/>
        <w:gridCol w:w="1240"/>
      </w:tblGrid>
      <w:tr w:rsidR="006E5F52" w:rsidRPr="009A5BB9" w14:paraId="48AADA17" w14:textId="77777777" w:rsidTr="00D4405D">
        <w:trPr>
          <w:tblHeader/>
        </w:trPr>
        <w:tc>
          <w:tcPr>
            <w:tcW w:w="1749" w:type="pct"/>
            <w:gridSpan w:val="4"/>
            <w:shd w:val="clear" w:color="auto" w:fill="FCCB58"/>
          </w:tcPr>
          <w:p w14:paraId="19100BE7" w14:textId="77777777" w:rsidR="006E5F52" w:rsidRPr="00D4405D" w:rsidRDefault="006E5F52" w:rsidP="006E5F52">
            <w:pPr>
              <w:spacing w:before="120" w:line="240" w:lineRule="auto"/>
              <w:jc w:val="center"/>
              <w:rPr>
                <w:b/>
                <w:bCs/>
                <w:color w:val="554596"/>
                <w:szCs w:val="20"/>
              </w:rPr>
            </w:pPr>
            <w:r w:rsidRPr="00D4405D">
              <w:rPr>
                <w:b/>
                <w:bCs/>
                <w:color w:val="554596"/>
                <w:szCs w:val="20"/>
              </w:rPr>
              <w:t>Risk details</w:t>
            </w:r>
          </w:p>
        </w:tc>
        <w:tc>
          <w:tcPr>
            <w:tcW w:w="893" w:type="pct"/>
            <w:vMerge w:val="restart"/>
            <w:shd w:val="clear" w:color="auto" w:fill="FCCB58"/>
          </w:tcPr>
          <w:p w14:paraId="17A563CE" w14:textId="77777777" w:rsidR="006E5F52" w:rsidRPr="00D4405D" w:rsidRDefault="006E5F52" w:rsidP="006E5F52">
            <w:pPr>
              <w:spacing w:before="120" w:line="240" w:lineRule="auto"/>
              <w:jc w:val="center"/>
              <w:rPr>
                <w:b/>
                <w:bCs/>
                <w:color w:val="554596"/>
                <w:szCs w:val="20"/>
              </w:rPr>
            </w:pPr>
            <w:r w:rsidRPr="00D4405D">
              <w:rPr>
                <w:b/>
                <w:bCs/>
                <w:color w:val="554596"/>
                <w:szCs w:val="20"/>
              </w:rPr>
              <w:t>Controls in place</w:t>
            </w:r>
          </w:p>
        </w:tc>
        <w:tc>
          <w:tcPr>
            <w:tcW w:w="1196" w:type="pct"/>
            <w:gridSpan w:val="4"/>
            <w:shd w:val="clear" w:color="auto" w:fill="FCCB58"/>
          </w:tcPr>
          <w:p w14:paraId="3EF282DE" w14:textId="77777777" w:rsidR="006E5F52" w:rsidRPr="00D4405D" w:rsidRDefault="006E5F52" w:rsidP="006E5F52">
            <w:pPr>
              <w:spacing w:before="120" w:line="240" w:lineRule="auto"/>
              <w:jc w:val="center"/>
              <w:rPr>
                <w:b/>
                <w:bCs/>
                <w:color w:val="554596"/>
                <w:szCs w:val="20"/>
              </w:rPr>
            </w:pPr>
            <w:r w:rsidRPr="00D4405D">
              <w:rPr>
                <w:b/>
                <w:bCs/>
                <w:color w:val="554596"/>
                <w:szCs w:val="20"/>
              </w:rPr>
              <w:t>Current risk rating</w:t>
            </w:r>
          </w:p>
        </w:tc>
        <w:tc>
          <w:tcPr>
            <w:tcW w:w="1162" w:type="pct"/>
            <w:gridSpan w:val="3"/>
            <w:shd w:val="clear" w:color="auto" w:fill="FCCB58"/>
          </w:tcPr>
          <w:p w14:paraId="78935EDA" w14:textId="77777777" w:rsidR="006E5F52" w:rsidRPr="00D4405D" w:rsidRDefault="006E5F52" w:rsidP="006E5F52">
            <w:pPr>
              <w:spacing w:before="120" w:line="240" w:lineRule="auto"/>
              <w:jc w:val="center"/>
              <w:rPr>
                <w:b/>
                <w:bCs/>
                <w:color w:val="554596"/>
                <w:szCs w:val="20"/>
              </w:rPr>
            </w:pPr>
            <w:r w:rsidRPr="00D4405D">
              <w:rPr>
                <w:b/>
                <w:bCs/>
                <w:color w:val="554596"/>
                <w:szCs w:val="20"/>
              </w:rPr>
              <w:t>Proposed risk activity</w:t>
            </w:r>
          </w:p>
        </w:tc>
      </w:tr>
      <w:tr w:rsidR="00D4405D" w:rsidRPr="009A5BB9" w14:paraId="430BBA08" w14:textId="77777777" w:rsidTr="00D4405D">
        <w:trPr>
          <w:tblHeader/>
        </w:trPr>
        <w:tc>
          <w:tcPr>
            <w:tcW w:w="643" w:type="pct"/>
            <w:shd w:val="clear" w:color="auto" w:fill="FDDD95"/>
          </w:tcPr>
          <w:p w14:paraId="5D7D78CC"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Risk description</w:t>
            </w:r>
          </w:p>
        </w:tc>
        <w:tc>
          <w:tcPr>
            <w:tcW w:w="337" w:type="pct"/>
            <w:shd w:val="clear" w:color="auto" w:fill="FDDD95"/>
          </w:tcPr>
          <w:p w14:paraId="31901F26"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Risk appetite category</w:t>
            </w:r>
          </w:p>
          <w:p w14:paraId="0107C402" w14:textId="77777777"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safety and wellbeing, people and culture, </w:t>
            </w:r>
            <w:r w:rsidRPr="00D4405D">
              <w:rPr>
                <w:color w:val="554596"/>
                <w:sz w:val="18"/>
                <w:szCs w:val="18"/>
                <w:highlight w:val="yellow"/>
              </w:rPr>
              <w:t>XX</w:t>
            </w:r>
            <w:r w:rsidRPr="00D4405D">
              <w:rPr>
                <w:color w:val="554596"/>
                <w:sz w:val="18"/>
                <w:szCs w:val="18"/>
              </w:rPr>
              <w:t>)</w:t>
            </w:r>
          </w:p>
        </w:tc>
        <w:tc>
          <w:tcPr>
            <w:tcW w:w="405" w:type="pct"/>
            <w:shd w:val="clear" w:color="auto" w:fill="FDDD95"/>
          </w:tcPr>
          <w:p w14:paraId="21F733FB"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Functional category</w:t>
            </w:r>
          </w:p>
          <w:p w14:paraId="2391E0F4" w14:textId="75955C02"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operational, </w:t>
            </w:r>
            <w:r w:rsidR="00DA4879" w:rsidRPr="00D4405D">
              <w:rPr>
                <w:color w:val="554596"/>
                <w:sz w:val="18"/>
                <w:szCs w:val="18"/>
                <w:highlight w:val="yellow"/>
              </w:rPr>
              <w:t>XX</w:t>
            </w:r>
            <w:r w:rsidRPr="00D4405D">
              <w:rPr>
                <w:color w:val="554596"/>
                <w:sz w:val="18"/>
                <w:szCs w:val="18"/>
              </w:rPr>
              <w:t>)</w:t>
            </w:r>
          </w:p>
        </w:tc>
        <w:tc>
          <w:tcPr>
            <w:tcW w:w="364" w:type="pct"/>
            <w:shd w:val="clear" w:color="auto" w:fill="FDDD95"/>
          </w:tcPr>
          <w:p w14:paraId="2E6FBB88"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Owner</w:t>
            </w:r>
          </w:p>
        </w:tc>
        <w:tc>
          <w:tcPr>
            <w:tcW w:w="893" w:type="pct"/>
            <w:vMerge/>
            <w:shd w:val="clear" w:color="auto" w:fill="auto"/>
          </w:tcPr>
          <w:p w14:paraId="0F7A2C29" w14:textId="77777777" w:rsidR="006E5F52" w:rsidRPr="00D4405D" w:rsidRDefault="006E5F52" w:rsidP="006E5F52">
            <w:pPr>
              <w:spacing w:before="120" w:line="240" w:lineRule="auto"/>
              <w:rPr>
                <w:b/>
                <w:bCs/>
                <w:color w:val="554596"/>
                <w:sz w:val="18"/>
                <w:szCs w:val="18"/>
              </w:rPr>
            </w:pPr>
          </w:p>
        </w:tc>
        <w:tc>
          <w:tcPr>
            <w:tcW w:w="293" w:type="pct"/>
            <w:shd w:val="clear" w:color="auto" w:fill="FDDD95"/>
          </w:tcPr>
          <w:p w14:paraId="5CFCD142"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Risk likelihood</w:t>
            </w:r>
          </w:p>
          <w:p w14:paraId="69F4C78C" w14:textId="77777777"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rare, unlikely, possible)</w:t>
            </w:r>
          </w:p>
        </w:tc>
        <w:tc>
          <w:tcPr>
            <w:tcW w:w="327" w:type="pct"/>
            <w:shd w:val="clear" w:color="auto" w:fill="FDDD95"/>
          </w:tcPr>
          <w:p w14:paraId="6E984409"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Risk consequence</w:t>
            </w:r>
          </w:p>
          <w:p w14:paraId="627708F9" w14:textId="77777777"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minor, moderate, </w:t>
            </w:r>
            <w:r w:rsidRPr="00D4405D">
              <w:rPr>
                <w:color w:val="554596"/>
                <w:sz w:val="18"/>
                <w:szCs w:val="18"/>
                <w:highlight w:val="yellow"/>
              </w:rPr>
              <w:t>XX</w:t>
            </w:r>
            <w:r w:rsidRPr="00D4405D">
              <w:rPr>
                <w:color w:val="554596"/>
                <w:sz w:val="18"/>
                <w:szCs w:val="18"/>
              </w:rPr>
              <w:t>)</w:t>
            </w:r>
          </w:p>
        </w:tc>
        <w:tc>
          <w:tcPr>
            <w:tcW w:w="331" w:type="pct"/>
            <w:shd w:val="clear" w:color="auto" w:fill="FDDD95"/>
          </w:tcPr>
          <w:p w14:paraId="0BA03478"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Current risk rating</w:t>
            </w:r>
          </w:p>
          <w:p w14:paraId="1C098450" w14:textId="77777777"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low, moderate, </w:t>
            </w:r>
            <w:r w:rsidRPr="00D4405D">
              <w:rPr>
                <w:color w:val="554596"/>
                <w:sz w:val="18"/>
                <w:szCs w:val="18"/>
                <w:highlight w:val="yellow"/>
              </w:rPr>
              <w:t>XX</w:t>
            </w:r>
            <w:r w:rsidRPr="00D4405D">
              <w:rPr>
                <w:color w:val="554596"/>
                <w:sz w:val="18"/>
                <w:szCs w:val="18"/>
              </w:rPr>
              <w:t>)</w:t>
            </w:r>
          </w:p>
        </w:tc>
        <w:tc>
          <w:tcPr>
            <w:tcW w:w="245" w:type="pct"/>
            <w:shd w:val="clear" w:color="auto" w:fill="FDDD95"/>
          </w:tcPr>
          <w:p w14:paraId="3425A4B0"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Target risk</w:t>
            </w:r>
          </w:p>
          <w:p w14:paraId="232BD38C" w14:textId="77777777"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low, moderate, </w:t>
            </w:r>
            <w:r w:rsidRPr="00D4405D">
              <w:rPr>
                <w:color w:val="554596"/>
                <w:sz w:val="18"/>
                <w:szCs w:val="18"/>
                <w:highlight w:val="yellow"/>
              </w:rPr>
              <w:t>XX</w:t>
            </w:r>
            <w:r w:rsidRPr="00D4405D">
              <w:rPr>
                <w:color w:val="554596"/>
                <w:sz w:val="18"/>
                <w:szCs w:val="18"/>
              </w:rPr>
              <w:t>)</w:t>
            </w:r>
          </w:p>
        </w:tc>
        <w:tc>
          <w:tcPr>
            <w:tcW w:w="312" w:type="pct"/>
            <w:shd w:val="clear" w:color="auto" w:fill="FDDD95"/>
          </w:tcPr>
          <w:p w14:paraId="635F7301"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Risk assessment</w:t>
            </w:r>
          </w:p>
          <w:p w14:paraId="5FCBE2B3" w14:textId="7DF7B674" w:rsidR="006E5F52" w:rsidRPr="00D4405D" w:rsidRDefault="006E5F52" w:rsidP="006E5F52">
            <w:pPr>
              <w:spacing w:before="120" w:line="240" w:lineRule="auto"/>
              <w:rPr>
                <w:color w:val="554596"/>
                <w:sz w:val="18"/>
                <w:szCs w:val="18"/>
              </w:rPr>
            </w:pPr>
            <w:r w:rsidRPr="00D4405D">
              <w:rPr>
                <w:color w:val="554596"/>
                <w:sz w:val="18"/>
                <w:szCs w:val="18"/>
              </w:rPr>
              <w:t>(</w:t>
            </w:r>
            <w:proofErr w:type="gramStart"/>
            <w:r w:rsidRPr="00D4405D">
              <w:rPr>
                <w:color w:val="554596"/>
                <w:sz w:val="18"/>
                <w:szCs w:val="18"/>
              </w:rPr>
              <w:t>e.g.</w:t>
            </w:r>
            <w:proofErr w:type="gramEnd"/>
            <w:r w:rsidRPr="00D4405D">
              <w:rPr>
                <w:color w:val="554596"/>
                <w:sz w:val="18"/>
                <w:szCs w:val="18"/>
              </w:rPr>
              <w:t xml:space="preserve"> accept and monitor, </w:t>
            </w:r>
            <w:r w:rsidR="00DA4879" w:rsidRPr="00D4405D">
              <w:rPr>
                <w:color w:val="554596"/>
                <w:sz w:val="18"/>
                <w:szCs w:val="18"/>
                <w:highlight w:val="yellow"/>
              </w:rPr>
              <w:t>XX</w:t>
            </w:r>
            <w:r w:rsidRPr="00D4405D">
              <w:rPr>
                <w:color w:val="554596"/>
                <w:sz w:val="18"/>
                <w:szCs w:val="18"/>
              </w:rPr>
              <w:t>)</w:t>
            </w:r>
          </w:p>
        </w:tc>
        <w:tc>
          <w:tcPr>
            <w:tcW w:w="562" w:type="pct"/>
            <w:shd w:val="clear" w:color="auto" w:fill="FDDD95"/>
          </w:tcPr>
          <w:p w14:paraId="2BC4D81A"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Proposed treatment activity</w:t>
            </w:r>
          </w:p>
        </w:tc>
        <w:tc>
          <w:tcPr>
            <w:tcW w:w="288" w:type="pct"/>
            <w:shd w:val="clear" w:color="auto" w:fill="FDDD95"/>
          </w:tcPr>
          <w:p w14:paraId="39A32693" w14:textId="77777777" w:rsidR="006E5F52" w:rsidRPr="00D4405D" w:rsidRDefault="006E5F52" w:rsidP="006E5F52">
            <w:pPr>
              <w:spacing w:before="120" w:line="240" w:lineRule="auto"/>
              <w:rPr>
                <w:b/>
                <w:bCs/>
                <w:color w:val="554596"/>
                <w:sz w:val="18"/>
                <w:szCs w:val="18"/>
              </w:rPr>
            </w:pPr>
            <w:r w:rsidRPr="00D4405D">
              <w:rPr>
                <w:b/>
                <w:bCs/>
                <w:color w:val="554596"/>
                <w:sz w:val="18"/>
                <w:szCs w:val="18"/>
              </w:rPr>
              <w:t>Completion date</w:t>
            </w:r>
          </w:p>
        </w:tc>
      </w:tr>
      <w:tr w:rsidR="006E5F52" w:rsidRPr="009A5BB9" w14:paraId="52E66A26" w14:textId="77777777" w:rsidTr="00D4405D">
        <w:tc>
          <w:tcPr>
            <w:tcW w:w="643" w:type="pct"/>
          </w:tcPr>
          <w:p w14:paraId="33EC9C93" w14:textId="09608F2B" w:rsidR="006E5F52" w:rsidRDefault="006E5F52" w:rsidP="006E5F52">
            <w:pPr>
              <w:spacing w:before="120" w:line="240" w:lineRule="auto"/>
              <w:rPr>
                <w:sz w:val="18"/>
                <w:szCs w:val="18"/>
              </w:rPr>
            </w:pPr>
            <w:r w:rsidRPr="009A5BB9">
              <w:rPr>
                <w:sz w:val="18"/>
                <w:szCs w:val="18"/>
              </w:rPr>
              <w:t xml:space="preserve">Failure of the organisation to appropriately manage </w:t>
            </w:r>
            <w:r>
              <w:rPr>
                <w:sz w:val="18"/>
                <w:szCs w:val="18"/>
              </w:rPr>
              <w:t>DFV in the workplace</w:t>
            </w:r>
            <w:r w:rsidR="00B327BE">
              <w:rPr>
                <w:sz w:val="18"/>
                <w:szCs w:val="18"/>
              </w:rPr>
              <w:t>. F</w:t>
            </w:r>
            <w:r>
              <w:rPr>
                <w:sz w:val="18"/>
                <w:szCs w:val="18"/>
              </w:rPr>
              <w:t>or example, due to lack of information regarding an employee’s situation,</w:t>
            </w:r>
            <w:r w:rsidRPr="009A5BB9">
              <w:rPr>
                <w:sz w:val="18"/>
                <w:szCs w:val="18"/>
              </w:rPr>
              <w:t xml:space="preserve"> resulting in avoidable </w:t>
            </w:r>
            <w:proofErr w:type="gramStart"/>
            <w:r w:rsidRPr="009A5BB9">
              <w:rPr>
                <w:sz w:val="18"/>
                <w:szCs w:val="18"/>
              </w:rPr>
              <w:t>harm</w:t>
            </w:r>
            <w:proofErr w:type="gramEnd"/>
          </w:p>
          <w:p w14:paraId="43708917" w14:textId="1A8EFF6D" w:rsidR="00B327BE" w:rsidRDefault="00B327BE" w:rsidP="006E5F52">
            <w:pPr>
              <w:spacing w:before="120" w:line="240" w:lineRule="auto"/>
              <w:rPr>
                <w:sz w:val="18"/>
                <w:szCs w:val="18"/>
              </w:rPr>
            </w:pPr>
            <w:r>
              <w:rPr>
                <w:sz w:val="18"/>
                <w:szCs w:val="18"/>
              </w:rPr>
              <w:t>OR</w:t>
            </w:r>
          </w:p>
          <w:p w14:paraId="21997774" w14:textId="21DD5220" w:rsidR="006E5F52" w:rsidRPr="009A5BB9" w:rsidRDefault="006E5F52" w:rsidP="006E5F52">
            <w:pPr>
              <w:spacing w:before="120" w:line="240" w:lineRule="auto"/>
              <w:rPr>
                <w:sz w:val="18"/>
                <w:szCs w:val="18"/>
              </w:rPr>
            </w:pPr>
            <w:r w:rsidRPr="009A5BB9">
              <w:rPr>
                <w:sz w:val="18"/>
                <w:szCs w:val="18"/>
              </w:rPr>
              <w:t xml:space="preserve">Failure of the organisation to appropriately manage a report of DFV due to </w:t>
            </w:r>
            <w:r w:rsidR="00B327BE">
              <w:rPr>
                <w:sz w:val="18"/>
                <w:szCs w:val="18"/>
              </w:rPr>
              <w:t xml:space="preserve">a </w:t>
            </w:r>
            <w:r w:rsidRPr="009A5BB9">
              <w:rPr>
                <w:sz w:val="18"/>
                <w:szCs w:val="18"/>
              </w:rPr>
              <w:t>manager</w:t>
            </w:r>
            <w:r w:rsidR="00DA4879">
              <w:rPr>
                <w:sz w:val="18"/>
                <w:szCs w:val="18"/>
              </w:rPr>
              <w:t>’s</w:t>
            </w:r>
            <w:r w:rsidRPr="009A5BB9">
              <w:rPr>
                <w:sz w:val="18"/>
                <w:szCs w:val="18"/>
              </w:rPr>
              <w:t xml:space="preserve"> inability to follow correct DFV case management procedures</w:t>
            </w:r>
            <w:r w:rsidR="00B327BE">
              <w:rPr>
                <w:sz w:val="18"/>
                <w:szCs w:val="18"/>
              </w:rPr>
              <w:t>,</w:t>
            </w:r>
            <w:r w:rsidRPr="009A5BB9">
              <w:rPr>
                <w:sz w:val="18"/>
                <w:szCs w:val="18"/>
              </w:rPr>
              <w:t xml:space="preserve"> resulting in avoidable harm</w:t>
            </w:r>
          </w:p>
        </w:tc>
        <w:tc>
          <w:tcPr>
            <w:tcW w:w="337" w:type="pct"/>
          </w:tcPr>
          <w:p w14:paraId="17885C02" w14:textId="77777777" w:rsidR="006E5F52" w:rsidRPr="009A5BB9" w:rsidRDefault="006E5F52" w:rsidP="000D0EF0">
            <w:pPr>
              <w:pStyle w:val="Tablebulletlist"/>
            </w:pPr>
            <w:r w:rsidRPr="009A5BB9">
              <w:t>Safety and Wellbeing</w:t>
            </w:r>
          </w:p>
          <w:p w14:paraId="653E7B69" w14:textId="77777777" w:rsidR="006E5F52" w:rsidRPr="009A5BB9" w:rsidRDefault="006E5F52" w:rsidP="000D0EF0">
            <w:pPr>
              <w:pStyle w:val="Tablebulletlist"/>
            </w:pPr>
            <w:r w:rsidRPr="009A5BB9">
              <w:t>People and Culture</w:t>
            </w:r>
          </w:p>
          <w:p w14:paraId="29115E50" w14:textId="77777777" w:rsidR="006E5F52" w:rsidRPr="009A5BB9" w:rsidRDefault="006E5F52" w:rsidP="006E5F52">
            <w:pPr>
              <w:spacing w:before="120" w:line="240" w:lineRule="auto"/>
              <w:rPr>
                <w:sz w:val="18"/>
                <w:szCs w:val="18"/>
              </w:rPr>
            </w:pPr>
          </w:p>
        </w:tc>
        <w:tc>
          <w:tcPr>
            <w:tcW w:w="405" w:type="pct"/>
          </w:tcPr>
          <w:p w14:paraId="1A5BDD82" w14:textId="77777777" w:rsidR="006E5F52" w:rsidRPr="009A5BB9" w:rsidRDefault="006E5F52" w:rsidP="006E5F52">
            <w:pPr>
              <w:spacing w:before="120" w:line="240" w:lineRule="auto"/>
              <w:rPr>
                <w:sz w:val="18"/>
                <w:szCs w:val="18"/>
              </w:rPr>
            </w:pPr>
            <w:r w:rsidRPr="009A5BB9">
              <w:rPr>
                <w:sz w:val="18"/>
                <w:szCs w:val="18"/>
              </w:rPr>
              <w:t xml:space="preserve">Operational </w:t>
            </w:r>
          </w:p>
        </w:tc>
        <w:tc>
          <w:tcPr>
            <w:tcW w:w="364" w:type="pct"/>
          </w:tcPr>
          <w:p w14:paraId="514D91C7" w14:textId="77777777" w:rsidR="006E5F52" w:rsidRPr="009A5BB9" w:rsidRDefault="006E5F52" w:rsidP="000D0EF0">
            <w:pPr>
              <w:pStyle w:val="Tablebulletlist"/>
            </w:pPr>
            <w:r w:rsidRPr="009A5BB9">
              <w:t xml:space="preserve">All staff   </w:t>
            </w:r>
          </w:p>
          <w:p w14:paraId="27DE590F" w14:textId="77777777" w:rsidR="006E5F52" w:rsidRPr="009A5BB9" w:rsidRDefault="006E5F52" w:rsidP="000D0EF0">
            <w:pPr>
              <w:pStyle w:val="Tablebulletlist"/>
            </w:pPr>
            <w:r w:rsidRPr="009A5BB9">
              <w:t>All managers</w:t>
            </w:r>
          </w:p>
          <w:p w14:paraId="180B5F28" w14:textId="77777777" w:rsidR="006E5F52" w:rsidRPr="009A5BB9" w:rsidRDefault="006E5F52" w:rsidP="000D0EF0">
            <w:pPr>
              <w:pStyle w:val="Tablebulletlist"/>
            </w:pPr>
            <w:r w:rsidRPr="009A5BB9">
              <w:t>HRS</w:t>
            </w:r>
          </w:p>
        </w:tc>
        <w:tc>
          <w:tcPr>
            <w:tcW w:w="893" w:type="pct"/>
          </w:tcPr>
          <w:p w14:paraId="074E38AF" w14:textId="34AC0F93" w:rsidR="006E5F52" w:rsidRPr="009A5BB9" w:rsidRDefault="006E5F52" w:rsidP="000D0EF0">
            <w:pPr>
              <w:pStyle w:val="Tablebulletlist"/>
            </w:pPr>
            <w:r w:rsidRPr="009A5BB9">
              <w:t xml:space="preserve">Mandatory Recognise, Respond, </w:t>
            </w:r>
            <w:proofErr w:type="gramStart"/>
            <w:r w:rsidRPr="009A5BB9">
              <w:t>Refer</w:t>
            </w:r>
            <w:proofErr w:type="gramEnd"/>
            <w:r w:rsidRPr="009A5BB9">
              <w:t xml:space="preserve"> online training undertaken by all staff </w:t>
            </w:r>
            <w:r w:rsidR="00B327BE">
              <w:t>with</w:t>
            </w:r>
            <w:r w:rsidRPr="009A5BB9">
              <w:t xml:space="preserve"> retraining </w:t>
            </w:r>
            <w:r w:rsidR="00B327BE">
              <w:t xml:space="preserve">to </w:t>
            </w:r>
            <w:r w:rsidRPr="009A5BB9">
              <w:t>occur every three years</w:t>
            </w:r>
          </w:p>
          <w:p w14:paraId="5EE1390F" w14:textId="47DE43AF" w:rsidR="006E5F52" w:rsidRPr="009A5BB9" w:rsidRDefault="006E5F52" w:rsidP="000D0EF0">
            <w:pPr>
              <w:pStyle w:val="Tablebulletlist"/>
            </w:pPr>
            <w:r w:rsidRPr="009A5BB9">
              <w:t xml:space="preserve">Ongoing awareness </w:t>
            </w:r>
            <w:r w:rsidR="00B327BE">
              <w:t>of</w:t>
            </w:r>
            <w:r w:rsidR="00B327BE" w:rsidRPr="009A5BB9">
              <w:t xml:space="preserve"> </w:t>
            </w:r>
            <w:r w:rsidRPr="009A5BB9">
              <w:t>DFV resources and tools available to staff, and to encourage staff to disclose</w:t>
            </w:r>
            <w:r w:rsidR="00B327BE">
              <w:t xml:space="preserve"> DFV</w:t>
            </w:r>
          </w:p>
          <w:p w14:paraId="0156EA17" w14:textId="77777777" w:rsidR="006E5F52" w:rsidRPr="009A5BB9" w:rsidRDefault="006E5F52" w:rsidP="006E5F52">
            <w:pPr>
              <w:spacing w:before="120" w:line="240" w:lineRule="auto"/>
              <w:rPr>
                <w:sz w:val="18"/>
                <w:szCs w:val="18"/>
              </w:rPr>
            </w:pPr>
            <w:r w:rsidRPr="009A5BB9">
              <w:rPr>
                <w:sz w:val="18"/>
                <w:szCs w:val="18"/>
              </w:rPr>
              <w:t>OR</w:t>
            </w:r>
          </w:p>
          <w:p w14:paraId="7E5F2E92" w14:textId="77777777" w:rsidR="006E5F52" w:rsidRPr="009A5BB9" w:rsidRDefault="006E5F52" w:rsidP="000D0EF0">
            <w:pPr>
              <w:pStyle w:val="Tablebulletlist"/>
            </w:pPr>
            <w:r w:rsidRPr="009A5BB9">
              <w:t>DFV manager training</w:t>
            </w:r>
          </w:p>
          <w:p w14:paraId="58595000" w14:textId="77777777" w:rsidR="00B327BE" w:rsidRPr="009A5BB9" w:rsidRDefault="00B327BE" w:rsidP="000D0EF0">
            <w:pPr>
              <w:pStyle w:val="Tablebulletlist"/>
            </w:pPr>
            <w:r w:rsidRPr="009A5BB9">
              <w:t xml:space="preserve">Mandatory Recognise, Respond, </w:t>
            </w:r>
            <w:proofErr w:type="gramStart"/>
            <w:r w:rsidRPr="009A5BB9">
              <w:t>Refer</w:t>
            </w:r>
            <w:proofErr w:type="gramEnd"/>
            <w:r w:rsidRPr="009A5BB9">
              <w:t xml:space="preserve"> online training undertaken by all staff </w:t>
            </w:r>
            <w:r>
              <w:t>with</w:t>
            </w:r>
            <w:r w:rsidRPr="009A5BB9">
              <w:t xml:space="preserve"> retraining </w:t>
            </w:r>
            <w:r>
              <w:t xml:space="preserve">to </w:t>
            </w:r>
            <w:r w:rsidRPr="009A5BB9">
              <w:t>occur every three years</w:t>
            </w:r>
          </w:p>
          <w:p w14:paraId="749F59CF" w14:textId="77777777" w:rsidR="006E5F52" w:rsidRPr="009A5BB9" w:rsidRDefault="006E5F52" w:rsidP="000D0EF0">
            <w:pPr>
              <w:pStyle w:val="Tablebulletlist"/>
            </w:pPr>
            <w:r w:rsidRPr="009A5BB9">
              <w:t>Individual HR account managers for each agency branch who have regular contact with staff</w:t>
            </w:r>
          </w:p>
          <w:p w14:paraId="20454918" w14:textId="7833A423" w:rsidR="006E5F52" w:rsidRPr="009A5BB9" w:rsidRDefault="00B327BE" w:rsidP="000D0EF0">
            <w:pPr>
              <w:pStyle w:val="Tablebulletlist"/>
            </w:pPr>
            <w:r w:rsidRPr="009A5BB9">
              <w:t xml:space="preserve">Ongoing internal communication promotion of DFV </w:t>
            </w:r>
            <w:r>
              <w:t xml:space="preserve">resources and </w:t>
            </w:r>
            <w:r w:rsidRPr="009A5BB9">
              <w:t xml:space="preserve">tools </w:t>
            </w:r>
            <w:r>
              <w:t xml:space="preserve">available to employees </w:t>
            </w:r>
            <w:r w:rsidRPr="009A5BB9">
              <w:t xml:space="preserve">via agency </w:t>
            </w:r>
            <w:r>
              <w:t>i</w:t>
            </w:r>
            <w:r w:rsidRPr="009A5BB9">
              <w:t>ntranet</w:t>
            </w:r>
          </w:p>
        </w:tc>
        <w:tc>
          <w:tcPr>
            <w:tcW w:w="293" w:type="pct"/>
          </w:tcPr>
          <w:p w14:paraId="1D11F0F7" w14:textId="77777777" w:rsidR="006E5F52" w:rsidRPr="009A5BB9" w:rsidRDefault="006E5F52" w:rsidP="006E5F52">
            <w:pPr>
              <w:spacing w:before="120" w:line="240" w:lineRule="auto"/>
              <w:rPr>
                <w:sz w:val="18"/>
                <w:szCs w:val="18"/>
              </w:rPr>
            </w:pPr>
            <w:r w:rsidRPr="009A5BB9">
              <w:rPr>
                <w:sz w:val="18"/>
                <w:szCs w:val="18"/>
              </w:rPr>
              <w:t>Rare</w:t>
            </w:r>
          </w:p>
        </w:tc>
        <w:tc>
          <w:tcPr>
            <w:tcW w:w="327" w:type="pct"/>
          </w:tcPr>
          <w:p w14:paraId="54560600" w14:textId="77777777" w:rsidR="006E5F52" w:rsidRPr="009A5BB9" w:rsidRDefault="006E5F52" w:rsidP="006E5F52">
            <w:pPr>
              <w:spacing w:before="120" w:line="240" w:lineRule="auto"/>
              <w:rPr>
                <w:sz w:val="18"/>
                <w:szCs w:val="18"/>
              </w:rPr>
            </w:pPr>
            <w:r w:rsidRPr="009A5BB9">
              <w:rPr>
                <w:sz w:val="18"/>
                <w:szCs w:val="18"/>
              </w:rPr>
              <w:t>Moderate</w:t>
            </w:r>
          </w:p>
        </w:tc>
        <w:tc>
          <w:tcPr>
            <w:tcW w:w="331" w:type="pct"/>
          </w:tcPr>
          <w:p w14:paraId="033118C7" w14:textId="77777777" w:rsidR="006E5F52" w:rsidRPr="009A5BB9" w:rsidRDefault="006E5F52" w:rsidP="006E5F52">
            <w:pPr>
              <w:spacing w:before="120" w:line="240" w:lineRule="auto"/>
              <w:rPr>
                <w:sz w:val="18"/>
                <w:szCs w:val="18"/>
              </w:rPr>
            </w:pPr>
            <w:r w:rsidRPr="009A5BB9">
              <w:rPr>
                <w:sz w:val="18"/>
                <w:szCs w:val="18"/>
              </w:rPr>
              <w:t>Low</w:t>
            </w:r>
          </w:p>
        </w:tc>
        <w:tc>
          <w:tcPr>
            <w:tcW w:w="245" w:type="pct"/>
          </w:tcPr>
          <w:p w14:paraId="0D90378E" w14:textId="77777777" w:rsidR="006E5F52" w:rsidRPr="009A5BB9" w:rsidRDefault="006E5F52" w:rsidP="006E5F52">
            <w:pPr>
              <w:spacing w:before="120" w:line="240" w:lineRule="auto"/>
              <w:rPr>
                <w:sz w:val="18"/>
                <w:szCs w:val="18"/>
              </w:rPr>
            </w:pPr>
            <w:r w:rsidRPr="009A5BB9">
              <w:rPr>
                <w:sz w:val="18"/>
                <w:szCs w:val="18"/>
              </w:rPr>
              <w:t>Moderate</w:t>
            </w:r>
          </w:p>
        </w:tc>
        <w:tc>
          <w:tcPr>
            <w:tcW w:w="312" w:type="pct"/>
          </w:tcPr>
          <w:p w14:paraId="70AFEAF9" w14:textId="77777777" w:rsidR="006E5F52" w:rsidRPr="009A5BB9" w:rsidRDefault="006E5F52" w:rsidP="006E5F52">
            <w:pPr>
              <w:spacing w:before="120" w:line="240" w:lineRule="auto"/>
              <w:rPr>
                <w:sz w:val="18"/>
                <w:szCs w:val="18"/>
              </w:rPr>
            </w:pPr>
            <w:r w:rsidRPr="009A5BB9">
              <w:rPr>
                <w:sz w:val="18"/>
                <w:szCs w:val="18"/>
              </w:rPr>
              <w:t>Accept and monitor</w:t>
            </w:r>
          </w:p>
        </w:tc>
        <w:tc>
          <w:tcPr>
            <w:tcW w:w="562" w:type="pct"/>
          </w:tcPr>
          <w:p w14:paraId="27D63FA1" w14:textId="702CB864" w:rsidR="006E5F52" w:rsidRPr="009A5BB9" w:rsidRDefault="006E5F52" w:rsidP="000D0EF0">
            <w:pPr>
              <w:pStyle w:val="Tablebulletlist"/>
            </w:pPr>
            <w:r w:rsidRPr="009A5BB9">
              <w:t>Risk is assessed as lower than target risk and therefore risk can be accepted with ongoing monitoring</w:t>
            </w:r>
          </w:p>
          <w:p w14:paraId="6153CFFD" w14:textId="7EAAC0E5" w:rsidR="006E5F52" w:rsidRPr="009A5BB9" w:rsidRDefault="006E5F52" w:rsidP="000D0EF0">
            <w:pPr>
              <w:pStyle w:val="Tablebulletlist"/>
            </w:pPr>
            <w:r w:rsidRPr="009A5BB9">
              <w:t>HRS to provide resources and tools that encourage staff to disclose DFV</w:t>
            </w:r>
          </w:p>
          <w:p w14:paraId="675F0835" w14:textId="5FD4D6F7" w:rsidR="006E5F52" w:rsidRPr="009A5BB9" w:rsidRDefault="006E5F52" w:rsidP="000D0EF0">
            <w:pPr>
              <w:pStyle w:val="Tablebulletlist"/>
            </w:pPr>
            <w:r w:rsidRPr="009A5BB9">
              <w:t>HRS to provide up</w:t>
            </w:r>
            <w:r w:rsidR="00B327BE">
              <w:t>-</w:t>
            </w:r>
            <w:r w:rsidRPr="009A5BB9">
              <w:t>to</w:t>
            </w:r>
            <w:r w:rsidR="00B327BE">
              <w:t>-</w:t>
            </w:r>
            <w:r w:rsidRPr="009A5BB9">
              <w:t>date information to ensure manager and HRS can appropriately manage cases</w:t>
            </w:r>
          </w:p>
        </w:tc>
        <w:tc>
          <w:tcPr>
            <w:tcW w:w="288" w:type="pct"/>
          </w:tcPr>
          <w:p w14:paraId="43CAB74A" w14:textId="77777777" w:rsidR="006E5F52" w:rsidRPr="009A5BB9" w:rsidRDefault="006E5F52" w:rsidP="006E5F52">
            <w:pPr>
              <w:spacing w:before="120" w:line="240" w:lineRule="auto"/>
              <w:rPr>
                <w:sz w:val="18"/>
                <w:szCs w:val="18"/>
              </w:rPr>
            </w:pPr>
            <w:r w:rsidRPr="009A5BB9">
              <w:rPr>
                <w:sz w:val="18"/>
                <w:szCs w:val="18"/>
              </w:rPr>
              <w:t>Ongoing</w:t>
            </w:r>
          </w:p>
        </w:tc>
      </w:tr>
      <w:tr w:rsidR="006E5F52" w:rsidRPr="009A5BB9" w14:paraId="63B5C9AB" w14:textId="77777777" w:rsidTr="00D4405D">
        <w:tc>
          <w:tcPr>
            <w:tcW w:w="643" w:type="pct"/>
          </w:tcPr>
          <w:p w14:paraId="6C830C98" w14:textId="0347B905" w:rsidR="006E5F52" w:rsidRPr="009A5BB9" w:rsidRDefault="006E5F52" w:rsidP="006E5F52">
            <w:pPr>
              <w:spacing w:before="120" w:line="240" w:lineRule="auto"/>
              <w:rPr>
                <w:sz w:val="18"/>
                <w:szCs w:val="18"/>
              </w:rPr>
            </w:pPr>
            <w:r w:rsidRPr="009A5BB9">
              <w:rPr>
                <w:sz w:val="18"/>
                <w:szCs w:val="18"/>
              </w:rPr>
              <w:t xml:space="preserve">Managers and employees do not have the capability, </w:t>
            </w:r>
            <w:proofErr w:type="gramStart"/>
            <w:r w:rsidRPr="009A5BB9">
              <w:rPr>
                <w:sz w:val="18"/>
                <w:szCs w:val="18"/>
              </w:rPr>
              <w:t>confidence</w:t>
            </w:r>
            <w:proofErr w:type="gramEnd"/>
            <w:r w:rsidRPr="009A5BB9">
              <w:rPr>
                <w:sz w:val="18"/>
                <w:szCs w:val="18"/>
              </w:rPr>
              <w:t xml:space="preserve"> or tools to deal with DFV issues in the workplace</w:t>
            </w:r>
            <w:r w:rsidR="00B327BE">
              <w:rPr>
                <w:sz w:val="18"/>
                <w:szCs w:val="18"/>
              </w:rPr>
              <w:t>,</w:t>
            </w:r>
            <w:r w:rsidRPr="009A5BB9">
              <w:rPr>
                <w:sz w:val="18"/>
                <w:szCs w:val="18"/>
              </w:rPr>
              <w:t xml:space="preserve"> leading to avoidable harm</w:t>
            </w:r>
          </w:p>
        </w:tc>
        <w:tc>
          <w:tcPr>
            <w:tcW w:w="337" w:type="pct"/>
          </w:tcPr>
          <w:p w14:paraId="7A87066C" w14:textId="77777777" w:rsidR="006E5F52" w:rsidRPr="009A5BB9" w:rsidRDefault="006E5F52" w:rsidP="000D0EF0">
            <w:pPr>
              <w:pStyle w:val="Tablebulletlist"/>
            </w:pPr>
            <w:r w:rsidRPr="009A5BB9">
              <w:t>Safety and Wellbeing</w:t>
            </w:r>
          </w:p>
          <w:p w14:paraId="290E49F5" w14:textId="77777777" w:rsidR="006E5F52" w:rsidRPr="009A5BB9" w:rsidRDefault="006E5F52" w:rsidP="000D0EF0">
            <w:pPr>
              <w:pStyle w:val="Tablebulletlist"/>
            </w:pPr>
            <w:r w:rsidRPr="009A5BB9">
              <w:t>People and Culture</w:t>
            </w:r>
          </w:p>
        </w:tc>
        <w:tc>
          <w:tcPr>
            <w:tcW w:w="405" w:type="pct"/>
          </w:tcPr>
          <w:p w14:paraId="24380510" w14:textId="77777777" w:rsidR="006E5F52" w:rsidRPr="009A5BB9" w:rsidRDefault="006E5F52" w:rsidP="006E5F52">
            <w:pPr>
              <w:spacing w:before="120" w:line="240" w:lineRule="auto"/>
              <w:rPr>
                <w:sz w:val="18"/>
                <w:szCs w:val="18"/>
              </w:rPr>
            </w:pPr>
            <w:r w:rsidRPr="009A5BB9">
              <w:rPr>
                <w:sz w:val="18"/>
                <w:szCs w:val="18"/>
              </w:rPr>
              <w:t xml:space="preserve">Operational </w:t>
            </w:r>
          </w:p>
        </w:tc>
        <w:tc>
          <w:tcPr>
            <w:tcW w:w="364" w:type="pct"/>
          </w:tcPr>
          <w:p w14:paraId="1426EE1D" w14:textId="77777777" w:rsidR="006E5F52" w:rsidRPr="009A5BB9" w:rsidRDefault="006E5F52" w:rsidP="000D0EF0">
            <w:pPr>
              <w:pStyle w:val="Tablebulletlist"/>
            </w:pPr>
            <w:r w:rsidRPr="009A5BB9">
              <w:t xml:space="preserve">All staff   </w:t>
            </w:r>
          </w:p>
          <w:p w14:paraId="348983F6" w14:textId="77777777" w:rsidR="006E5F52" w:rsidRPr="009A5BB9" w:rsidRDefault="006E5F52" w:rsidP="000D0EF0">
            <w:pPr>
              <w:pStyle w:val="Tablebulletlist"/>
            </w:pPr>
            <w:r w:rsidRPr="009A5BB9">
              <w:t>All managers</w:t>
            </w:r>
          </w:p>
          <w:p w14:paraId="1A983B67" w14:textId="77777777" w:rsidR="006E5F52" w:rsidRPr="009A5BB9" w:rsidRDefault="006E5F52" w:rsidP="000D0EF0">
            <w:pPr>
              <w:pStyle w:val="Tablebulletlist"/>
            </w:pPr>
            <w:r w:rsidRPr="009A5BB9">
              <w:t>HRS</w:t>
            </w:r>
          </w:p>
        </w:tc>
        <w:tc>
          <w:tcPr>
            <w:tcW w:w="893" w:type="pct"/>
          </w:tcPr>
          <w:p w14:paraId="5D2B9963" w14:textId="77777777" w:rsidR="006E5F52" w:rsidRPr="009A5BB9" w:rsidRDefault="006E5F52" w:rsidP="000D0EF0">
            <w:pPr>
              <w:pStyle w:val="Tablebulletlist"/>
            </w:pPr>
            <w:r w:rsidRPr="009A5BB9">
              <w:t>DFV manager training</w:t>
            </w:r>
          </w:p>
          <w:p w14:paraId="573B6CFD" w14:textId="77777777" w:rsidR="00B327BE" w:rsidRPr="009A5BB9" w:rsidRDefault="00B327BE" w:rsidP="000D0EF0">
            <w:pPr>
              <w:pStyle w:val="Tablebulletlist"/>
            </w:pPr>
            <w:r w:rsidRPr="009A5BB9">
              <w:t xml:space="preserve">Mandatory Recognise, Respond, </w:t>
            </w:r>
            <w:proofErr w:type="gramStart"/>
            <w:r w:rsidRPr="009A5BB9">
              <w:t>Refer</w:t>
            </w:r>
            <w:proofErr w:type="gramEnd"/>
            <w:r w:rsidRPr="009A5BB9">
              <w:t xml:space="preserve"> online training undertaken by all staff </w:t>
            </w:r>
            <w:r>
              <w:t>with</w:t>
            </w:r>
            <w:r w:rsidRPr="009A5BB9">
              <w:t xml:space="preserve"> retraining </w:t>
            </w:r>
            <w:r>
              <w:t xml:space="preserve">to </w:t>
            </w:r>
            <w:r w:rsidRPr="009A5BB9">
              <w:t>occur every three years</w:t>
            </w:r>
          </w:p>
          <w:p w14:paraId="0E1C87BF" w14:textId="39020727" w:rsidR="006E5F52" w:rsidRPr="009A5BB9" w:rsidRDefault="00B327BE" w:rsidP="000D0EF0">
            <w:pPr>
              <w:pStyle w:val="Tablebulletlist"/>
            </w:pPr>
            <w:r w:rsidRPr="009A5BB9">
              <w:t xml:space="preserve">Ongoing internal communication promotion of DFV </w:t>
            </w:r>
            <w:r>
              <w:t xml:space="preserve">resources and </w:t>
            </w:r>
            <w:r w:rsidRPr="009A5BB9">
              <w:t xml:space="preserve">tools </w:t>
            </w:r>
            <w:r>
              <w:t xml:space="preserve">available to employees </w:t>
            </w:r>
            <w:r w:rsidRPr="009A5BB9">
              <w:t xml:space="preserve">via agency </w:t>
            </w:r>
            <w:r>
              <w:t>i</w:t>
            </w:r>
            <w:r w:rsidRPr="009A5BB9">
              <w:t>ntranet</w:t>
            </w:r>
          </w:p>
        </w:tc>
        <w:tc>
          <w:tcPr>
            <w:tcW w:w="293" w:type="pct"/>
          </w:tcPr>
          <w:p w14:paraId="7790516C" w14:textId="77777777" w:rsidR="006E5F52" w:rsidRPr="009A5BB9" w:rsidRDefault="006E5F52" w:rsidP="006E5F52">
            <w:pPr>
              <w:spacing w:before="120" w:line="240" w:lineRule="auto"/>
              <w:rPr>
                <w:sz w:val="18"/>
                <w:szCs w:val="18"/>
              </w:rPr>
            </w:pPr>
            <w:r w:rsidRPr="009A5BB9">
              <w:rPr>
                <w:sz w:val="18"/>
                <w:szCs w:val="18"/>
              </w:rPr>
              <w:t>Rare</w:t>
            </w:r>
          </w:p>
        </w:tc>
        <w:tc>
          <w:tcPr>
            <w:tcW w:w="327" w:type="pct"/>
          </w:tcPr>
          <w:p w14:paraId="76908E6C" w14:textId="77777777" w:rsidR="006E5F52" w:rsidRPr="009A5BB9" w:rsidRDefault="006E5F52" w:rsidP="006E5F52">
            <w:pPr>
              <w:spacing w:before="120" w:line="240" w:lineRule="auto"/>
              <w:rPr>
                <w:sz w:val="18"/>
                <w:szCs w:val="18"/>
              </w:rPr>
            </w:pPr>
            <w:r w:rsidRPr="009A5BB9">
              <w:rPr>
                <w:sz w:val="18"/>
                <w:szCs w:val="18"/>
              </w:rPr>
              <w:t>Minor</w:t>
            </w:r>
          </w:p>
        </w:tc>
        <w:tc>
          <w:tcPr>
            <w:tcW w:w="331" w:type="pct"/>
          </w:tcPr>
          <w:p w14:paraId="22B4BE8C" w14:textId="77777777" w:rsidR="006E5F52" w:rsidRPr="009A5BB9" w:rsidRDefault="006E5F52" w:rsidP="006E5F52">
            <w:pPr>
              <w:spacing w:before="120" w:line="240" w:lineRule="auto"/>
              <w:rPr>
                <w:sz w:val="18"/>
                <w:szCs w:val="18"/>
              </w:rPr>
            </w:pPr>
            <w:r w:rsidRPr="009A5BB9">
              <w:rPr>
                <w:sz w:val="18"/>
                <w:szCs w:val="18"/>
              </w:rPr>
              <w:t>Low</w:t>
            </w:r>
          </w:p>
        </w:tc>
        <w:tc>
          <w:tcPr>
            <w:tcW w:w="245" w:type="pct"/>
          </w:tcPr>
          <w:p w14:paraId="0AFEB756" w14:textId="77777777" w:rsidR="006E5F52" w:rsidRPr="009A5BB9" w:rsidRDefault="006E5F52" w:rsidP="006E5F52">
            <w:pPr>
              <w:spacing w:before="120" w:line="240" w:lineRule="auto"/>
              <w:rPr>
                <w:sz w:val="18"/>
                <w:szCs w:val="18"/>
              </w:rPr>
            </w:pPr>
            <w:r w:rsidRPr="009A5BB9">
              <w:rPr>
                <w:sz w:val="18"/>
                <w:szCs w:val="18"/>
              </w:rPr>
              <w:t>Low</w:t>
            </w:r>
          </w:p>
        </w:tc>
        <w:tc>
          <w:tcPr>
            <w:tcW w:w="312" w:type="pct"/>
          </w:tcPr>
          <w:p w14:paraId="68CC13BD" w14:textId="77777777" w:rsidR="006E5F52" w:rsidRPr="009A5BB9" w:rsidRDefault="006E5F52" w:rsidP="006E5F52">
            <w:pPr>
              <w:spacing w:before="120" w:line="240" w:lineRule="auto"/>
              <w:rPr>
                <w:sz w:val="18"/>
                <w:szCs w:val="18"/>
              </w:rPr>
            </w:pPr>
            <w:r w:rsidRPr="009A5BB9">
              <w:rPr>
                <w:sz w:val="18"/>
                <w:szCs w:val="18"/>
              </w:rPr>
              <w:t>Accept and monitor</w:t>
            </w:r>
          </w:p>
        </w:tc>
        <w:tc>
          <w:tcPr>
            <w:tcW w:w="562" w:type="pct"/>
          </w:tcPr>
          <w:p w14:paraId="781E2E05" w14:textId="08F84CE9" w:rsidR="006E5F52" w:rsidRPr="009A5BB9" w:rsidRDefault="006E5F52" w:rsidP="006E5F52">
            <w:pPr>
              <w:spacing w:before="120" w:line="240" w:lineRule="auto"/>
              <w:rPr>
                <w:sz w:val="18"/>
                <w:szCs w:val="18"/>
              </w:rPr>
            </w:pPr>
            <w:r w:rsidRPr="009A5BB9">
              <w:rPr>
                <w:sz w:val="18"/>
                <w:szCs w:val="18"/>
              </w:rPr>
              <w:t xml:space="preserve">Agency to promote </w:t>
            </w:r>
            <w:r w:rsidR="00B327BE">
              <w:rPr>
                <w:sz w:val="18"/>
                <w:szCs w:val="18"/>
              </w:rPr>
              <w:t xml:space="preserve">DFV </w:t>
            </w:r>
            <w:r w:rsidRPr="009A5BB9">
              <w:rPr>
                <w:sz w:val="18"/>
                <w:szCs w:val="18"/>
              </w:rPr>
              <w:t>awareness in the workplace via internal communication channels, including resources and support services</w:t>
            </w:r>
          </w:p>
        </w:tc>
        <w:tc>
          <w:tcPr>
            <w:tcW w:w="288" w:type="pct"/>
          </w:tcPr>
          <w:p w14:paraId="38D87964" w14:textId="77777777" w:rsidR="006E5F52" w:rsidRPr="009A5BB9" w:rsidRDefault="006E5F52" w:rsidP="006E5F52">
            <w:pPr>
              <w:spacing w:before="120" w:line="240" w:lineRule="auto"/>
              <w:rPr>
                <w:sz w:val="18"/>
                <w:szCs w:val="18"/>
              </w:rPr>
            </w:pPr>
            <w:r w:rsidRPr="009A5BB9">
              <w:rPr>
                <w:sz w:val="18"/>
                <w:szCs w:val="18"/>
              </w:rPr>
              <w:t>Ongoing</w:t>
            </w:r>
          </w:p>
        </w:tc>
      </w:tr>
      <w:tr w:rsidR="006E5F52" w:rsidRPr="009A5BB9" w14:paraId="2D9C386D" w14:textId="77777777" w:rsidTr="00D4405D">
        <w:tc>
          <w:tcPr>
            <w:tcW w:w="643" w:type="pct"/>
          </w:tcPr>
          <w:p w14:paraId="500684E1" w14:textId="1BA52BA7" w:rsidR="006E5F52" w:rsidRPr="009A5BB9" w:rsidRDefault="006E5F52" w:rsidP="006E5F52">
            <w:pPr>
              <w:spacing w:before="120" w:line="240" w:lineRule="auto"/>
              <w:rPr>
                <w:sz w:val="18"/>
                <w:szCs w:val="18"/>
              </w:rPr>
            </w:pPr>
            <w:r>
              <w:rPr>
                <w:sz w:val="18"/>
                <w:szCs w:val="18"/>
              </w:rPr>
              <w:t>Breach of p</w:t>
            </w:r>
            <w:r w:rsidRPr="009A5BB9">
              <w:rPr>
                <w:sz w:val="18"/>
                <w:szCs w:val="18"/>
              </w:rPr>
              <w:t xml:space="preserve">rivacy </w:t>
            </w:r>
            <w:r>
              <w:rPr>
                <w:sz w:val="18"/>
                <w:szCs w:val="18"/>
              </w:rPr>
              <w:t>due to unauthorised access to and disclosure of</w:t>
            </w:r>
            <w:r w:rsidR="00B327BE">
              <w:rPr>
                <w:sz w:val="18"/>
                <w:szCs w:val="18"/>
              </w:rPr>
              <w:t xml:space="preserve"> </w:t>
            </w:r>
            <w:r>
              <w:rPr>
                <w:sz w:val="18"/>
                <w:szCs w:val="18"/>
              </w:rPr>
              <w:t xml:space="preserve">personal </w:t>
            </w:r>
            <w:r w:rsidRPr="009A5BB9">
              <w:rPr>
                <w:sz w:val="18"/>
                <w:szCs w:val="18"/>
              </w:rPr>
              <w:t>information</w:t>
            </w:r>
          </w:p>
          <w:p w14:paraId="25248AD3" w14:textId="77777777" w:rsidR="006E5F52" w:rsidRPr="009A5BB9" w:rsidRDefault="006E5F52" w:rsidP="006E5F52">
            <w:pPr>
              <w:spacing w:before="120" w:line="240" w:lineRule="auto"/>
              <w:rPr>
                <w:sz w:val="18"/>
                <w:szCs w:val="18"/>
              </w:rPr>
            </w:pPr>
          </w:p>
        </w:tc>
        <w:tc>
          <w:tcPr>
            <w:tcW w:w="337" w:type="pct"/>
          </w:tcPr>
          <w:p w14:paraId="05EE8763" w14:textId="77777777" w:rsidR="006E5F52" w:rsidRPr="009A5BB9" w:rsidRDefault="006E5F52" w:rsidP="006E5F52">
            <w:pPr>
              <w:spacing w:before="120" w:line="240" w:lineRule="auto"/>
              <w:rPr>
                <w:sz w:val="18"/>
                <w:szCs w:val="18"/>
              </w:rPr>
            </w:pPr>
            <w:r w:rsidRPr="009A5BB9">
              <w:rPr>
                <w:sz w:val="18"/>
                <w:szCs w:val="18"/>
              </w:rPr>
              <w:t>Information Management</w:t>
            </w:r>
          </w:p>
        </w:tc>
        <w:tc>
          <w:tcPr>
            <w:tcW w:w="405" w:type="pct"/>
          </w:tcPr>
          <w:p w14:paraId="2ACCA66D" w14:textId="77777777" w:rsidR="006E5F52" w:rsidRPr="009A5BB9" w:rsidRDefault="006E5F52" w:rsidP="006E5F52">
            <w:pPr>
              <w:spacing w:before="120" w:line="240" w:lineRule="auto"/>
              <w:rPr>
                <w:sz w:val="18"/>
                <w:szCs w:val="18"/>
              </w:rPr>
            </w:pPr>
            <w:r w:rsidRPr="009A5BB9">
              <w:rPr>
                <w:sz w:val="18"/>
                <w:szCs w:val="18"/>
              </w:rPr>
              <w:t xml:space="preserve">Operational </w:t>
            </w:r>
          </w:p>
        </w:tc>
        <w:tc>
          <w:tcPr>
            <w:tcW w:w="364" w:type="pct"/>
          </w:tcPr>
          <w:p w14:paraId="081965B0" w14:textId="77777777" w:rsidR="006E5F52" w:rsidRPr="009A5BB9" w:rsidRDefault="006E5F52" w:rsidP="000D0EF0">
            <w:pPr>
              <w:pStyle w:val="Tablebulletlist"/>
            </w:pPr>
            <w:r w:rsidRPr="009A5BB9">
              <w:t xml:space="preserve">All staff   </w:t>
            </w:r>
          </w:p>
          <w:p w14:paraId="515ECC5B" w14:textId="77777777" w:rsidR="006E5F52" w:rsidRPr="009A5BB9" w:rsidRDefault="006E5F52" w:rsidP="000D0EF0">
            <w:pPr>
              <w:pStyle w:val="Tablebulletlist"/>
            </w:pPr>
            <w:r w:rsidRPr="009A5BB9">
              <w:t>All managers</w:t>
            </w:r>
          </w:p>
          <w:p w14:paraId="3CD29A79" w14:textId="77777777" w:rsidR="006E5F52" w:rsidRPr="009A5BB9" w:rsidRDefault="006E5F52" w:rsidP="000D0EF0">
            <w:pPr>
              <w:pStyle w:val="Tablebulletlist"/>
              <w:numPr>
                <w:ilvl w:val="0"/>
                <w:numId w:val="0"/>
              </w:numPr>
              <w:ind w:left="211"/>
            </w:pPr>
          </w:p>
        </w:tc>
        <w:tc>
          <w:tcPr>
            <w:tcW w:w="893" w:type="pct"/>
          </w:tcPr>
          <w:p w14:paraId="767CDE82" w14:textId="77777777" w:rsidR="006E5F52" w:rsidRPr="009A5BB9" w:rsidRDefault="006E5F52" w:rsidP="000D0EF0">
            <w:pPr>
              <w:pStyle w:val="Tablebulletlist"/>
            </w:pPr>
            <w:r w:rsidRPr="009A5BB9">
              <w:t xml:space="preserve">Mandatory Code of Conduct training for all staff                                                            </w:t>
            </w:r>
          </w:p>
          <w:p w14:paraId="2F71172A" w14:textId="77777777" w:rsidR="006E5F52" w:rsidRPr="009A5BB9" w:rsidRDefault="006E5F52" w:rsidP="000D0EF0">
            <w:pPr>
              <w:pStyle w:val="Tablebulletlist"/>
            </w:pPr>
            <w:r w:rsidRPr="009A5BB9">
              <w:t xml:space="preserve">All staff bound by the Code of Conduct for the Queensland public service                                       </w:t>
            </w:r>
          </w:p>
          <w:p w14:paraId="20927C81" w14:textId="2A886283" w:rsidR="006E5F52" w:rsidRPr="009A5BB9" w:rsidRDefault="006E5F52" w:rsidP="000D0EF0">
            <w:pPr>
              <w:pStyle w:val="Tablebulletlist"/>
            </w:pPr>
            <w:r w:rsidRPr="009A5BB9">
              <w:t>DFV resources identify privacy</w:t>
            </w:r>
            <w:r w:rsidR="00B327BE">
              <w:t xml:space="preserve"> and </w:t>
            </w:r>
            <w:r w:rsidRPr="009A5BB9">
              <w:t xml:space="preserve">confidentiality requirements                                                          </w:t>
            </w:r>
          </w:p>
          <w:p w14:paraId="2EBF16F7" w14:textId="77777777" w:rsidR="006E5F52" w:rsidRPr="009A5BB9" w:rsidRDefault="006E5F52" w:rsidP="000D0EF0">
            <w:pPr>
              <w:pStyle w:val="Tablebulletlist"/>
            </w:pPr>
            <w:r w:rsidRPr="009A5BB9">
              <w:t xml:space="preserve">All staff bound by Information Security Policy                                                                                      </w:t>
            </w:r>
          </w:p>
          <w:p w14:paraId="73E0BAC0" w14:textId="77777777" w:rsidR="006E5F52" w:rsidRDefault="006E5F52" w:rsidP="000D0EF0">
            <w:pPr>
              <w:pStyle w:val="Tablebulletlist"/>
            </w:pPr>
            <w:r w:rsidRPr="009A5BB9">
              <w:t xml:space="preserve">Ongoing internal communication around information privacy requirements, including our individual roles and responsibilities         </w:t>
            </w:r>
          </w:p>
          <w:p w14:paraId="0F693A5C" w14:textId="77777777" w:rsidR="006E5F52" w:rsidRDefault="006E5F52" w:rsidP="000D0EF0">
            <w:pPr>
              <w:pStyle w:val="Tablebulletlist"/>
            </w:pPr>
            <w:r>
              <w:lastRenderedPageBreak/>
              <w:t>Implementation and regular review of system and records access, and security controls</w:t>
            </w:r>
          </w:p>
          <w:p w14:paraId="52F09065" w14:textId="4D3801F2" w:rsidR="006E5F52" w:rsidRDefault="006E5F52" w:rsidP="000D0EF0">
            <w:pPr>
              <w:pStyle w:val="Tablebulletlist"/>
            </w:pPr>
            <w:r>
              <w:t>Implementing and reviewing system audit logs etc</w:t>
            </w:r>
          </w:p>
          <w:p w14:paraId="71E05CA3" w14:textId="77777777" w:rsidR="006E5F52" w:rsidRPr="009A5BB9" w:rsidRDefault="006E5F52" w:rsidP="000D0EF0">
            <w:pPr>
              <w:pStyle w:val="Tablebulletlist"/>
            </w:pPr>
            <w:r>
              <w:t>Mandatory information privacy training for all staff</w:t>
            </w:r>
            <w:r w:rsidRPr="009A5BB9">
              <w:t xml:space="preserve">                                                                         </w:t>
            </w:r>
          </w:p>
        </w:tc>
        <w:tc>
          <w:tcPr>
            <w:tcW w:w="293" w:type="pct"/>
          </w:tcPr>
          <w:p w14:paraId="474ED346" w14:textId="77777777" w:rsidR="006E5F52" w:rsidRPr="009A5BB9" w:rsidRDefault="006E5F52" w:rsidP="006E5F52">
            <w:pPr>
              <w:spacing w:before="120" w:line="240" w:lineRule="auto"/>
              <w:rPr>
                <w:sz w:val="18"/>
                <w:szCs w:val="18"/>
              </w:rPr>
            </w:pPr>
            <w:r w:rsidRPr="009A5BB9">
              <w:rPr>
                <w:sz w:val="18"/>
                <w:szCs w:val="18"/>
              </w:rPr>
              <w:lastRenderedPageBreak/>
              <w:t>Unlikely</w:t>
            </w:r>
          </w:p>
        </w:tc>
        <w:tc>
          <w:tcPr>
            <w:tcW w:w="327" w:type="pct"/>
          </w:tcPr>
          <w:p w14:paraId="360BFA39" w14:textId="77777777" w:rsidR="006E5F52" w:rsidRPr="009A5BB9" w:rsidRDefault="006E5F52" w:rsidP="006E5F52">
            <w:pPr>
              <w:spacing w:before="120" w:line="240" w:lineRule="auto"/>
              <w:rPr>
                <w:sz w:val="18"/>
                <w:szCs w:val="18"/>
              </w:rPr>
            </w:pPr>
            <w:r w:rsidRPr="009A5BB9">
              <w:rPr>
                <w:sz w:val="18"/>
                <w:szCs w:val="18"/>
              </w:rPr>
              <w:t>Minor</w:t>
            </w:r>
          </w:p>
        </w:tc>
        <w:tc>
          <w:tcPr>
            <w:tcW w:w="331" w:type="pct"/>
          </w:tcPr>
          <w:p w14:paraId="048B35BA" w14:textId="77777777" w:rsidR="006E5F52" w:rsidRPr="009A5BB9" w:rsidRDefault="006E5F52" w:rsidP="006E5F52">
            <w:pPr>
              <w:spacing w:before="120" w:line="240" w:lineRule="auto"/>
              <w:rPr>
                <w:sz w:val="18"/>
                <w:szCs w:val="18"/>
              </w:rPr>
            </w:pPr>
            <w:r w:rsidRPr="009A5BB9">
              <w:rPr>
                <w:sz w:val="18"/>
                <w:szCs w:val="18"/>
              </w:rPr>
              <w:t>Low</w:t>
            </w:r>
          </w:p>
        </w:tc>
        <w:tc>
          <w:tcPr>
            <w:tcW w:w="245" w:type="pct"/>
          </w:tcPr>
          <w:p w14:paraId="6B98CBF4" w14:textId="77777777" w:rsidR="006E5F52" w:rsidRPr="009A5BB9" w:rsidRDefault="006E5F52" w:rsidP="006E5F52">
            <w:pPr>
              <w:spacing w:before="120" w:line="240" w:lineRule="auto"/>
              <w:rPr>
                <w:sz w:val="18"/>
                <w:szCs w:val="18"/>
              </w:rPr>
            </w:pPr>
            <w:r w:rsidRPr="009A5BB9">
              <w:rPr>
                <w:sz w:val="18"/>
                <w:szCs w:val="18"/>
              </w:rPr>
              <w:t>Low</w:t>
            </w:r>
          </w:p>
        </w:tc>
        <w:tc>
          <w:tcPr>
            <w:tcW w:w="312" w:type="pct"/>
          </w:tcPr>
          <w:p w14:paraId="5FD52FFF" w14:textId="77777777" w:rsidR="006E5F52" w:rsidRPr="009A5BB9" w:rsidRDefault="006E5F52" w:rsidP="006E5F52">
            <w:pPr>
              <w:spacing w:before="120" w:line="240" w:lineRule="auto"/>
              <w:rPr>
                <w:sz w:val="18"/>
                <w:szCs w:val="18"/>
              </w:rPr>
            </w:pPr>
            <w:r w:rsidRPr="009A5BB9">
              <w:rPr>
                <w:sz w:val="18"/>
                <w:szCs w:val="18"/>
              </w:rPr>
              <w:t>Accept and monitor</w:t>
            </w:r>
          </w:p>
        </w:tc>
        <w:tc>
          <w:tcPr>
            <w:tcW w:w="562" w:type="pct"/>
          </w:tcPr>
          <w:p w14:paraId="109F3A42" w14:textId="78AF9041" w:rsidR="006E5F52" w:rsidRPr="009A5BB9" w:rsidRDefault="006E5F52" w:rsidP="006E5F52">
            <w:pPr>
              <w:spacing w:before="120" w:line="240" w:lineRule="auto"/>
              <w:rPr>
                <w:sz w:val="18"/>
                <w:szCs w:val="18"/>
              </w:rPr>
            </w:pPr>
            <w:r w:rsidRPr="009A5BB9">
              <w:rPr>
                <w:sz w:val="18"/>
                <w:szCs w:val="18"/>
              </w:rPr>
              <w:t>No additional treatment actions required. Risk and associated controls will continue to be monitored</w:t>
            </w:r>
          </w:p>
        </w:tc>
        <w:tc>
          <w:tcPr>
            <w:tcW w:w="288" w:type="pct"/>
          </w:tcPr>
          <w:p w14:paraId="478AA9AD" w14:textId="77777777" w:rsidR="006E5F52" w:rsidRPr="009A5BB9" w:rsidRDefault="006E5F52" w:rsidP="006E5F52">
            <w:pPr>
              <w:spacing w:before="120" w:line="240" w:lineRule="auto"/>
              <w:rPr>
                <w:sz w:val="18"/>
                <w:szCs w:val="18"/>
              </w:rPr>
            </w:pPr>
            <w:r w:rsidRPr="009A5BB9">
              <w:rPr>
                <w:sz w:val="18"/>
                <w:szCs w:val="18"/>
              </w:rPr>
              <w:t>Ongoing</w:t>
            </w:r>
          </w:p>
        </w:tc>
      </w:tr>
      <w:tr w:rsidR="00B327BE" w:rsidRPr="009A5BB9" w14:paraId="0ABF7A89" w14:textId="77777777" w:rsidTr="00D4405D">
        <w:tc>
          <w:tcPr>
            <w:tcW w:w="643" w:type="pct"/>
          </w:tcPr>
          <w:p w14:paraId="5D2D7A9F" w14:textId="3256FDD0" w:rsidR="00B327BE" w:rsidRPr="009A5BB9" w:rsidRDefault="00B327BE" w:rsidP="00B327BE">
            <w:pPr>
              <w:spacing w:before="120" w:line="240" w:lineRule="auto"/>
              <w:rPr>
                <w:sz w:val="18"/>
                <w:szCs w:val="18"/>
              </w:rPr>
            </w:pPr>
            <w:r w:rsidRPr="009A5BB9">
              <w:rPr>
                <w:sz w:val="18"/>
                <w:szCs w:val="18"/>
              </w:rPr>
              <w:t>Inappropriate use of technology</w:t>
            </w:r>
            <w:r>
              <w:rPr>
                <w:sz w:val="18"/>
                <w:szCs w:val="18"/>
              </w:rPr>
              <w:t>,</w:t>
            </w:r>
            <w:r w:rsidRPr="009A5BB9">
              <w:rPr>
                <w:sz w:val="18"/>
                <w:szCs w:val="18"/>
              </w:rPr>
              <w:t xml:space="preserve"> such as email or phone</w:t>
            </w:r>
            <w:r>
              <w:rPr>
                <w:sz w:val="18"/>
                <w:szCs w:val="18"/>
              </w:rPr>
              <w:t>,</w:t>
            </w:r>
            <w:r w:rsidRPr="009A5BB9">
              <w:rPr>
                <w:sz w:val="18"/>
                <w:szCs w:val="18"/>
              </w:rPr>
              <w:t xml:space="preserve"> resulting in technology abuse. </w:t>
            </w:r>
          </w:p>
          <w:p w14:paraId="34C61B7A" w14:textId="77777777" w:rsidR="00B327BE" w:rsidRDefault="00B327BE" w:rsidP="00B327BE">
            <w:pPr>
              <w:spacing w:before="120" w:line="240" w:lineRule="auto"/>
              <w:rPr>
                <w:sz w:val="18"/>
                <w:szCs w:val="18"/>
              </w:rPr>
            </w:pPr>
          </w:p>
        </w:tc>
        <w:tc>
          <w:tcPr>
            <w:tcW w:w="337" w:type="pct"/>
          </w:tcPr>
          <w:p w14:paraId="73948FD9" w14:textId="77777777" w:rsidR="00B327BE" w:rsidRPr="009A5BB9" w:rsidRDefault="00B327BE" w:rsidP="000D0EF0">
            <w:pPr>
              <w:pStyle w:val="Tablebulletlist"/>
            </w:pPr>
            <w:r w:rsidRPr="009A5BB9">
              <w:t>Safety and Wellbeing</w:t>
            </w:r>
          </w:p>
          <w:p w14:paraId="255F7603" w14:textId="77777777" w:rsidR="00B327BE" w:rsidRPr="009A5BB9" w:rsidRDefault="00B327BE" w:rsidP="000D0EF0">
            <w:pPr>
              <w:pStyle w:val="Tablebulletlist"/>
            </w:pPr>
            <w:r w:rsidRPr="009A5BB9">
              <w:t>People and Culture</w:t>
            </w:r>
          </w:p>
          <w:p w14:paraId="6736CE1D" w14:textId="212C221B" w:rsidR="00B327BE" w:rsidRPr="00605EF7" w:rsidRDefault="00B327BE" w:rsidP="000D0EF0">
            <w:pPr>
              <w:pStyle w:val="Tablebulletlist"/>
              <w:numPr>
                <w:ilvl w:val="0"/>
                <w:numId w:val="0"/>
              </w:numPr>
              <w:ind w:left="211"/>
            </w:pPr>
          </w:p>
        </w:tc>
        <w:tc>
          <w:tcPr>
            <w:tcW w:w="405" w:type="pct"/>
          </w:tcPr>
          <w:p w14:paraId="3C8E150A" w14:textId="77777777" w:rsidR="00B327BE" w:rsidRPr="009A5BB9" w:rsidRDefault="00B327BE" w:rsidP="00B327BE">
            <w:pPr>
              <w:spacing w:before="120" w:line="240" w:lineRule="auto"/>
              <w:rPr>
                <w:sz w:val="18"/>
                <w:szCs w:val="18"/>
              </w:rPr>
            </w:pPr>
            <w:r>
              <w:rPr>
                <w:sz w:val="18"/>
                <w:szCs w:val="18"/>
              </w:rPr>
              <w:t>Operational</w:t>
            </w:r>
          </w:p>
        </w:tc>
        <w:tc>
          <w:tcPr>
            <w:tcW w:w="364" w:type="pct"/>
          </w:tcPr>
          <w:p w14:paraId="31C9E6B1" w14:textId="77777777" w:rsidR="00B327BE" w:rsidRPr="009A5BB9" w:rsidRDefault="00B327BE" w:rsidP="000D0EF0">
            <w:pPr>
              <w:pStyle w:val="Tablebulletlist"/>
            </w:pPr>
            <w:r>
              <w:t>All staff</w:t>
            </w:r>
          </w:p>
        </w:tc>
        <w:tc>
          <w:tcPr>
            <w:tcW w:w="893" w:type="pct"/>
          </w:tcPr>
          <w:p w14:paraId="29A3E7C6" w14:textId="77777777" w:rsidR="00B327BE" w:rsidRPr="009A5BB9" w:rsidRDefault="00B327BE" w:rsidP="000D0EF0">
            <w:pPr>
              <w:pStyle w:val="Tablebulletlist"/>
            </w:pPr>
            <w:r w:rsidRPr="009A5BB9">
              <w:t xml:space="preserve">All staff bound by the Code of Conduct for the Queensland public service                                       </w:t>
            </w:r>
          </w:p>
          <w:p w14:paraId="0FFF57BF" w14:textId="77777777" w:rsidR="00B327BE" w:rsidRPr="009A5BB9" w:rsidRDefault="00B327BE" w:rsidP="000D0EF0">
            <w:pPr>
              <w:pStyle w:val="Tablebulletlist"/>
            </w:pPr>
            <w:r w:rsidRPr="009A5BB9">
              <w:t xml:space="preserve">Mandatory Code of Conduct training for all staff                                                            </w:t>
            </w:r>
          </w:p>
          <w:p w14:paraId="51D5F26F" w14:textId="77777777" w:rsidR="00B327BE" w:rsidRPr="009A5BB9" w:rsidRDefault="00B327BE" w:rsidP="000D0EF0">
            <w:pPr>
              <w:pStyle w:val="Tablebulletlist"/>
            </w:pPr>
            <w:r w:rsidRPr="009A5BB9">
              <w:t>Ongoing internal communications of employee’s responsibility</w:t>
            </w:r>
          </w:p>
          <w:p w14:paraId="17C26112" w14:textId="77777777" w:rsidR="00B327BE" w:rsidRPr="009A5BB9" w:rsidRDefault="00B327BE" w:rsidP="000D0EF0">
            <w:pPr>
              <w:pStyle w:val="Tablebulletlist"/>
            </w:pPr>
            <w:r w:rsidRPr="009A5BB9">
              <w:t>Ongoing awareness around DFV resources and tools available to staff</w:t>
            </w:r>
          </w:p>
        </w:tc>
        <w:tc>
          <w:tcPr>
            <w:tcW w:w="293" w:type="pct"/>
          </w:tcPr>
          <w:p w14:paraId="1712B3BA" w14:textId="77777777" w:rsidR="00B327BE" w:rsidRPr="009A5BB9" w:rsidRDefault="00B327BE" w:rsidP="00B327BE">
            <w:pPr>
              <w:spacing w:before="120" w:line="240" w:lineRule="auto"/>
              <w:rPr>
                <w:sz w:val="18"/>
                <w:szCs w:val="18"/>
              </w:rPr>
            </w:pPr>
            <w:r>
              <w:rPr>
                <w:sz w:val="18"/>
                <w:szCs w:val="18"/>
              </w:rPr>
              <w:t>Rare</w:t>
            </w:r>
          </w:p>
        </w:tc>
        <w:tc>
          <w:tcPr>
            <w:tcW w:w="327" w:type="pct"/>
          </w:tcPr>
          <w:p w14:paraId="4385A549" w14:textId="77777777" w:rsidR="00B327BE" w:rsidRPr="009A5BB9" w:rsidRDefault="00B327BE" w:rsidP="00B327BE">
            <w:pPr>
              <w:spacing w:before="120" w:line="240" w:lineRule="auto"/>
              <w:rPr>
                <w:sz w:val="18"/>
                <w:szCs w:val="18"/>
              </w:rPr>
            </w:pPr>
            <w:r>
              <w:rPr>
                <w:sz w:val="18"/>
                <w:szCs w:val="18"/>
              </w:rPr>
              <w:t>Minor</w:t>
            </w:r>
          </w:p>
        </w:tc>
        <w:tc>
          <w:tcPr>
            <w:tcW w:w="331" w:type="pct"/>
          </w:tcPr>
          <w:p w14:paraId="7922BCA1" w14:textId="77777777" w:rsidR="00B327BE" w:rsidRPr="009A5BB9" w:rsidRDefault="00B327BE" w:rsidP="00B327BE">
            <w:pPr>
              <w:spacing w:before="120" w:line="240" w:lineRule="auto"/>
              <w:rPr>
                <w:sz w:val="18"/>
                <w:szCs w:val="18"/>
              </w:rPr>
            </w:pPr>
            <w:r>
              <w:rPr>
                <w:sz w:val="18"/>
                <w:szCs w:val="18"/>
              </w:rPr>
              <w:t>Low</w:t>
            </w:r>
          </w:p>
        </w:tc>
        <w:tc>
          <w:tcPr>
            <w:tcW w:w="245" w:type="pct"/>
          </w:tcPr>
          <w:p w14:paraId="44AB67E5" w14:textId="77777777" w:rsidR="00B327BE" w:rsidRPr="009A5BB9" w:rsidRDefault="00B327BE" w:rsidP="00B327BE">
            <w:pPr>
              <w:spacing w:before="120" w:line="240" w:lineRule="auto"/>
              <w:rPr>
                <w:sz w:val="18"/>
                <w:szCs w:val="18"/>
              </w:rPr>
            </w:pPr>
            <w:r>
              <w:rPr>
                <w:sz w:val="18"/>
                <w:szCs w:val="18"/>
              </w:rPr>
              <w:t>Low</w:t>
            </w:r>
          </w:p>
        </w:tc>
        <w:tc>
          <w:tcPr>
            <w:tcW w:w="312" w:type="pct"/>
          </w:tcPr>
          <w:p w14:paraId="7EBD9C52" w14:textId="77777777" w:rsidR="00B327BE" w:rsidRPr="009A5BB9" w:rsidRDefault="00B327BE" w:rsidP="00B327BE">
            <w:pPr>
              <w:spacing w:before="120" w:line="240" w:lineRule="auto"/>
              <w:rPr>
                <w:sz w:val="18"/>
                <w:szCs w:val="18"/>
              </w:rPr>
            </w:pPr>
            <w:r>
              <w:rPr>
                <w:sz w:val="18"/>
                <w:szCs w:val="18"/>
              </w:rPr>
              <w:t>Accept and monitor</w:t>
            </w:r>
          </w:p>
        </w:tc>
        <w:tc>
          <w:tcPr>
            <w:tcW w:w="562" w:type="pct"/>
          </w:tcPr>
          <w:p w14:paraId="4B22F7B7" w14:textId="35253370" w:rsidR="00B327BE" w:rsidRPr="009A5BB9" w:rsidRDefault="00B327BE" w:rsidP="00B327BE">
            <w:pPr>
              <w:spacing w:before="120" w:line="240" w:lineRule="auto"/>
              <w:rPr>
                <w:sz w:val="18"/>
                <w:szCs w:val="18"/>
              </w:rPr>
            </w:pPr>
            <w:r w:rsidRPr="009A5BB9">
              <w:rPr>
                <w:sz w:val="18"/>
                <w:szCs w:val="18"/>
              </w:rPr>
              <w:t>No additional treatment actions required. Risk and associated controls will continue to be monitored</w:t>
            </w:r>
          </w:p>
        </w:tc>
        <w:tc>
          <w:tcPr>
            <w:tcW w:w="288" w:type="pct"/>
          </w:tcPr>
          <w:p w14:paraId="17860020" w14:textId="77777777" w:rsidR="00B327BE" w:rsidRPr="009A5BB9" w:rsidRDefault="00B327BE" w:rsidP="00B327BE">
            <w:pPr>
              <w:spacing w:before="120" w:line="240" w:lineRule="auto"/>
              <w:rPr>
                <w:sz w:val="18"/>
                <w:szCs w:val="18"/>
              </w:rPr>
            </w:pPr>
            <w:r>
              <w:rPr>
                <w:sz w:val="18"/>
                <w:szCs w:val="18"/>
              </w:rPr>
              <w:t>Ongoing</w:t>
            </w:r>
          </w:p>
        </w:tc>
      </w:tr>
      <w:tr w:rsidR="00B327BE" w:rsidRPr="009A5BB9" w14:paraId="01310FE0" w14:textId="77777777" w:rsidTr="00D4405D">
        <w:tc>
          <w:tcPr>
            <w:tcW w:w="643" w:type="pct"/>
          </w:tcPr>
          <w:p w14:paraId="6ECC8201" w14:textId="6F33210F" w:rsidR="00B327BE" w:rsidRPr="009A5BB9" w:rsidRDefault="00B327BE" w:rsidP="00B327BE">
            <w:pPr>
              <w:spacing w:before="120" w:line="240" w:lineRule="auto"/>
              <w:rPr>
                <w:sz w:val="18"/>
                <w:szCs w:val="18"/>
              </w:rPr>
            </w:pPr>
            <w:r w:rsidRPr="009A5BB9">
              <w:rPr>
                <w:sz w:val="18"/>
                <w:szCs w:val="18"/>
              </w:rPr>
              <w:t xml:space="preserve">DFV </w:t>
            </w:r>
            <w:r>
              <w:rPr>
                <w:sz w:val="18"/>
                <w:szCs w:val="18"/>
              </w:rPr>
              <w:t xml:space="preserve">offence </w:t>
            </w:r>
            <w:r w:rsidRPr="009A5BB9">
              <w:rPr>
                <w:sz w:val="18"/>
                <w:szCs w:val="18"/>
              </w:rPr>
              <w:t xml:space="preserve">occurs at the workplace by another government employee through having access to </w:t>
            </w:r>
            <w:proofErr w:type="gramStart"/>
            <w:r w:rsidRPr="009A5BB9">
              <w:rPr>
                <w:sz w:val="18"/>
                <w:szCs w:val="18"/>
              </w:rPr>
              <w:t>building</w:t>
            </w:r>
            <w:proofErr w:type="gramEnd"/>
          </w:p>
          <w:p w14:paraId="36A44EF5" w14:textId="77777777" w:rsidR="00B327BE" w:rsidRPr="009A5BB9" w:rsidRDefault="00B327BE" w:rsidP="00B327BE">
            <w:pPr>
              <w:spacing w:before="120" w:line="240" w:lineRule="auto"/>
              <w:rPr>
                <w:sz w:val="18"/>
                <w:szCs w:val="18"/>
              </w:rPr>
            </w:pPr>
          </w:p>
          <w:p w14:paraId="5875EABD" w14:textId="77777777" w:rsidR="00B327BE" w:rsidRPr="009A5BB9" w:rsidRDefault="00B327BE" w:rsidP="00B327BE">
            <w:pPr>
              <w:spacing w:before="120" w:line="240" w:lineRule="auto"/>
              <w:rPr>
                <w:sz w:val="18"/>
                <w:szCs w:val="18"/>
              </w:rPr>
            </w:pPr>
          </w:p>
        </w:tc>
        <w:tc>
          <w:tcPr>
            <w:tcW w:w="337" w:type="pct"/>
          </w:tcPr>
          <w:p w14:paraId="3EBB376B" w14:textId="77777777" w:rsidR="00B327BE" w:rsidRPr="009A5BB9" w:rsidRDefault="00B327BE" w:rsidP="00B327BE">
            <w:pPr>
              <w:spacing w:before="120" w:line="240" w:lineRule="auto"/>
              <w:rPr>
                <w:sz w:val="18"/>
                <w:szCs w:val="18"/>
              </w:rPr>
            </w:pPr>
            <w:r w:rsidRPr="009A5BB9">
              <w:rPr>
                <w:sz w:val="18"/>
                <w:szCs w:val="18"/>
              </w:rPr>
              <w:t>Safety and Wellbeing</w:t>
            </w:r>
          </w:p>
        </w:tc>
        <w:tc>
          <w:tcPr>
            <w:tcW w:w="405" w:type="pct"/>
          </w:tcPr>
          <w:p w14:paraId="2F49C6C9" w14:textId="77777777" w:rsidR="00B327BE" w:rsidRPr="009A5BB9" w:rsidRDefault="00B327BE" w:rsidP="00B327BE">
            <w:pPr>
              <w:spacing w:before="120" w:line="240" w:lineRule="auto"/>
              <w:rPr>
                <w:sz w:val="18"/>
                <w:szCs w:val="18"/>
              </w:rPr>
            </w:pPr>
            <w:r w:rsidRPr="009A5BB9">
              <w:rPr>
                <w:sz w:val="18"/>
                <w:szCs w:val="18"/>
              </w:rPr>
              <w:t xml:space="preserve">Operational </w:t>
            </w:r>
          </w:p>
        </w:tc>
        <w:tc>
          <w:tcPr>
            <w:tcW w:w="364" w:type="pct"/>
          </w:tcPr>
          <w:p w14:paraId="3C5BC85D" w14:textId="77777777" w:rsidR="00B327BE" w:rsidRPr="009A5BB9" w:rsidRDefault="00B327BE" w:rsidP="000D0EF0">
            <w:pPr>
              <w:pStyle w:val="Tablebulletlist"/>
            </w:pPr>
            <w:r w:rsidRPr="009A5BB9">
              <w:t xml:space="preserve">Facilities </w:t>
            </w:r>
          </w:p>
          <w:p w14:paraId="28226C3B" w14:textId="77777777" w:rsidR="00B327BE" w:rsidRPr="009A5BB9" w:rsidRDefault="00B327BE" w:rsidP="000D0EF0">
            <w:pPr>
              <w:pStyle w:val="Tablebulletlist"/>
            </w:pPr>
            <w:r w:rsidRPr="009A5BB9">
              <w:t xml:space="preserve">All staff   </w:t>
            </w:r>
          </w:p>
          <w:p w14:paraId="4B9EE21C" w14:textId="77777777" w:rsidR="00B327BE" w:rsidRPr="009A5BB9" w:rsidRDefault="00B327BE" w:rsidP="000D0EF0">
            <w:pPr>
              <w:pStyle w:val="Tablebulletlist"/>
            </w:pPr>
            <w:r w:rsidRPr="009A5BB9">
              <w:t>All managers</w:t>
            </w:r>
          </w:p>
          <w:p w14:paraId="29551B5F" w14:textId="77777777" w:rsidR="00B327BE" w:rsidRPr="009A5BB9" w:rsidRDefault="00B327BE" w:rsidP="00B327BE">
            <w:pPr>
              <w:spacing w:before="120" w:line="240" w:lineRule="auto"/>
              <w:rPr>
                <w:sz w:val="18"/>
                <w:szCs w:val="18"/>
              </w:rPr>
            </w:pPr>
          </w:p>
        </w:tc>
        <w:tc>
          <w:tcPr>
            <w:tcW w:w="893" w:type="pct"/>
          </w:tcPr>
          <w:p w14:paraId="4107E520" w14:textId="77777777" w:rsidR="00B327BE" w:rsidRPr="009A5BB9" w:rsidRDefault="00B327BE" w:rsidP="000D0EF0">
            <w:pPr>
              <w:pStyle w:val="Tablebulletlist"/>
            </w:pPr>
            <w:r w:rsidRPr="009A5BB9">
              <w:t>1 William Street, Brisbane – camera in every lift and lobby area</w:t>
            </w:r>
          </w:p>
          <w:p w14:paraId="66EDDFC1" w14:textId="77777777" w:rsidR="00B327BE" w:rsidRPr="009A5BB9" w:rsidRDefault="00B327BE" w:rsidP="000D0EF0">
            <w:pPr>
              <w:pStyle w:val="Tablebulletlist"/>
            </w:pPr>
            <w:r w:rsidRPr="009A5BB9">
              <w:t>Protective Services undertake regular patrols of building</w:t>
            </w:r>
          </w:p>
          <w:p w14:paraId="4EADD4DE" w14:textId="17882055" w:rsidR="00B327BE" w:rsidRPr="009A5BB9" w:rsidRDefault="00B327BE" w:rsidP="000D0EF0">
            <w:pPr>
              <w:pStyle w:val="Tablebulletlist"/>
            </w:pPr>
            <w:r w:rsidRPr="009A5BB9">
              <w:t>Ongoing internal communication to employees regarding security, access cards, wearing of lanyards</w:t>
            </w:r>
            <w:r>
              <w:t xml:space="preserve"> and </w:t>
            </w:r>
            <w:r w:rsidRPr="009A5BB9">
              <w:t>government ID, suspicious behaviours,</w:t>
            </w:r>
            <w:r>
              <w:t xml:space="preserve"> and</w:t>
            </w:r>
            <w:r w:rsidRPr="009A5BB9">
              <w:t xml:space="preserve"> reporting requirements   </w:t>
            </w:r>
          </w:p>
          <w:p w14:paraId="7DCC15BF" w14:textId="77777777" w:rsidR="00B327BE" w:rsidRPr="009A5BB9" w:rsidRDefault="00B327BE" w:rsidP="000D0EF0">
            <w:pPr>
              <w:pStyle w:val="Tablebulletlist"/>
            </w:pPr>
            <w:r w:rsidRPr="009A5BB9">
              <w:t>Security and/or police are contacted</w:t>
            </w:r>
          </w:p>
          <w:p w14:paraId="196B3D12" w14:textId="77777777" w:rsidR="00B327BE" w:rsidRPr="009A5BB9" w:rsidRDefault="00B327BE" w:rsidP="00B327BE">
            <w:pPr>
              <w:spacing w:before="120" w:line="240" w:lineRule="auto"/>
              <w:rPr>
                <w:sz w:val="18"/>
                <w:szCs w:val="18"/>
              </w:rPr>
            </w:pPr>
            <w:r w:rsidRPr="009A5BB9">
              <w:rPr>
                <w:sz w:val="18"/>
                <w:szCs w:val="18"/>
              </w:rPr>
              <w:t>OR</w:t>
            </w:r>
          </w:p>
          <w:p w14:paraId="4212989B" w14:textId="1436FC33" w:rsidR="00B327BE" w:rsidRPr="009A5BB9" w:rsidRDefault="00B327BE" w:rsidP="000D0EF0">
            <w:pPr>
              <w:pStyle w:val="Tablebulletlist"/>
            </w:pPr>
            <w:r>
              <w:t>Develop i</w:t>
            </w:r>
            <w:r w:rsidRPr="009A5BB9">
              <w:t xml:space="preserve">ndividual risk assessment plan                                                                                                                        </w:t>
            </w:r>
          </w:p>
          <w:p w14:paraId="5E754D92" w14:textId="77777777" w:rsidR="00B327BE" w:rsidRPr="009A5BB9" w:rsidRDefault="00B327BE" w:rsidP="000D0EF0">
            <w:pPr>
              <w:pStyle w:val="Tablebulletlist"/>
            </w:pPr>
            <w:r w:rsidRPr="009A5BB9">
              <w:t xml:space="preserve">Relocate a staff member (different floor/location)                                                                                    </w:t>
            </w:r>
          </w:p>
          <w:p w14:paraId="552DBD05" w14:textId="77777777" w:rsidR="00B327BE" w:rsidRPr="009A5BB9" w:rsidRDefault="00B327BE" w:rsidP="000D0EF0">
            <w:pPr>
              <w:pStyle w:val="Tablebulletlist"/>
            </w:pPr>
            <w:r w:rsidRPr="009A5BB9">
              <w:t xml:space="preserve">Withdraw access card and use sign-in procedures                                                                        </w:t>
            </w:r>
          </w:p>
          <w:p w14:paraId="56B940A2" w14:textId="1C75E01C" w:rsidR="00B327BE" w:rsidRPr="009A5BB9" w:rsidRDefault="00B327BE" w:rsidP="000D0EF0">
            <w:pPr>
              <w:pStyle w:val="Tablebulletlist"/>
            </w:pPr>
            <w:r w:rsidRPr="009A5BB9">
              <w:t xml:space="preserve">Access cards </w:t>
            </w:r>
            <w:r>
              <w:t xml:space="preserve">to </w:t>
            </w:r>
            <w:r w:rsidRPr="009A5BB9">
              <w:t xml:space="preserve">be locked down to certain floors         </w:t>
            </w:r>
          </w:p>
          <w:p w14:paraId="1BF15C33" w14:textId="77777777" w:rsidR="00B327BE" w:rsidRPr="009A5BB9" w:rsidRDefault="00B327BE" w:rsidP="000D0EF0">
            <w:pPr>
              <w:pStyle w:val="Tablebulletlist"/>
            </w:pPr>
            <w:r w:rsidRPr="009A5BB9">
              <w:t xml:space="preserve">Security and/or police are contacted                                                               </w:t>
            </w:r>
          </w:p>
        </w:tc>
        <w:tc>
          <w:tcPr>
            <w:tcW w:w="293" w:type="pct"/>
          </w:tcPr>
          <w:p w14:paraId="156ABFBC" w14:textId="77777777" w:rsidR="00B327BE" w:rsidRPr="009A5BB9" w:rsidRDefault="00B327BE" w:rsidP="00B327BE">
            <w:pPr>
              <w:spacing w:before="120" w:line="240" w:lineRule="auto"/>
              <w:rPr>
                <w:sz w:val="18"/>
                <w:szCs w:val="18"/>
              </w:rPr>
            </w:pPr>
            <w:r w:rsidRPr="009A5BB9">
              <w:rPr>
                <w:sz w:val="18"/>
                <w:szCs w:val="18"/>
              </w:rPr>
              <w:t>Unlikely</w:t>
            </w:r>
          </w:p>
        </w:tc>
        <w:tc>
          <w:tcPr>
            <w:tcW w:w="327" w:type="pct"/>
          </w:tcPr>
          <w:p w14:paraId="3B4A5368" w14:textId="77777777" w:rsidR="00B327BE" w:rsidRPr="009A5BB9" w:rsidRDefault="00B327BE" w:rsidP="00B327BE">
            <w:pPr>
              <w:spacing w:before="120" w:line="240" w:lineRule="auto"/>
              <w:rPr>
                <w:sz w:val="18"/>
                <w:szCs w:val="18"/>
              </w:rPr>
            </w:pPr>
            <w:r w:rsidRPr="009A5BB9">
              <w:rPr>
                <w:sz w:val="18"/>
                <w:szCs w:val="18"/>
              </w:rPr>
              <w:t>Moderate</w:t>
            </w:r>
          </w:p>
        </w:tc>
        <w:tc>
          <w:tcPr>
            <w:tcW w:w="331" w:type="pct"/>
          </w:tcPr>
          <w:p w14:paraId="2D6E9AE5" w14:textId="77777777" w:rsidR="00B327BE" w:rsidRPr="009A5BB9" w:rsidRDefault="00B327BE" w:rsidP="00B327BE">
            <w:pPr>
              <w:spacing w:before="120" w:line="240" w:lineRule="auto"/>
              <w:rPr>
                <w:sz w:val="18"/>
                <w:szCs w:val="18"/>
              </w:rPr>
            </w:pPr>
            <w:r w:rsidRPr="009A5BB9">
              <w:rPr>
                <w:sz w:val="18"/>
                <w:szCs w:val="18"/>
              </w:rPr>
              <w:t>Moderate</w:t>
            </w:r>
          </w:p>
        </w:tc>
        <w:tc>
          <w:tcPr>
            <w:tcW w:w="245" w:type="pct"/>
          </w:tcPr>
          <w:p w14:paraId="0738FC11" w14:textId="77777777" w:rsidR="00B327BE" w:rsidRPr="009A5BB9" w:rsidRDefault="00B327BE" w:rsidP="00B327BE">
            <w:pPr>
              <w:spacing w:before="120" w:line="240" w:lineRule="auto"/>
              <w:rPr>
                <w:sz w:val="18"/>
                <w:szCs w:val="18"/>
              </w:rPr>
            </w:pPr>
            <w:r w:rsidRPr="009A5BB9">
              <w:rPr>
                <w:sz w:val="18"/>
                <w:szCs w:val="18"/>
              </w:rPr>
              <w:t>Moderate</w:t>
            </w:r>
          </w:p>
        </w:tc>
        <w:tc>
          <w:tcPr>
            <w:tcW w:w="312" w:type="pct"/>
          </w:tcPr>
          <w:p w14:paraId="302AC67C"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740D4043" w14:textId="712352C2" w:rsidR="00B327BE" w:rsidRPr="009A5BB9" w:rsidRDefault="00B327BE" w:rsidP="00B327BE">
            <w:pPr>
              <w:spacing w:before="120" w:line="240" w:lineRule="auto"/>
              <w:rPr>
                <w:sz w:val="18"/>
                <w:szCs w:val="18"/>
              </w:rPr>
            </w:pPr>
            <w:r w:rsidRPr="009A5BB9">
              <w:rPr>
                <w:sz w:val="18"/>
                <w:szCs w:val="18"/>
              </w:rPr>
              <w:t>Risk is currently assessed at the same level as the target risk. The risk will continue to be monitored</w:t>
            </w:r>
          </w:p>
        </w:tc>
        <w:tc>
          <w:tcPr>
            <w:tcW w:w="288" w:type="pct"/>
          </w:tcPr>
          <w:p w14:paraId="3B67338A" w14:textId="77777777" w:rsidR="00B327BE" w:rsidRPr="009A5BB9" w:rsidRDefault="00B327BE" w:rsidP="00B327BE">
            <w:pPr>
              <w:spacing w:before="120" w:line="240" w:lineRule="auto"/>
              <w:rPr>
                <w:sz w:val="18"/>
                <w:szCs w:val="18"/>
              </w:rPr>
            </w:pPr>
            <w:r w:rsidRPr="009A5BB9">
              <w:rPr>
                <w:sz w:val="18"/>
                <w:szCs w:val="18"/>
              </w:rPr>
              <w:t>Ongoing</w:t>
            </w:r>
          </w:p>
        </w:tc>
      </w:tr>
      <w:tr w:rsidR="00B327BE" w:rsidRPr="009A5BB9" w14:paraId="41DCBF51" w14:textId="77777777" w:rsidTr="00D4405D">
        <w:tc>
          <w:tcPr>
            <w:tcW w:w="643" w:type="pct"/>
          </w:tcPr>
          <w:p w14:paraId="523AB694" w14:textId="732ACC57" w:rsidR="00B327BE" w:rsidRPr="009A5BB9" w:rsidRDefault="00B327BE" w:rsidP="00B327BE">
            <w:pPr>
              <w:spacing w:before="120" w:line="240" w:lineRule="auto"/>
              <w:rPr>
                <w:sz w:val="18"/>
                <w:szCs w:val="18"/>
              </w:rPr>
            </w:pPr>
            <w:r w:rsidRPr="009A5BB9">
              <w:rPr>
                <w:sz w:val="18"/>
                <w:szCs w:val="18"/>
              </w:rPr>
              <w:t xml:space="preserve">DFV </w:t>
            </w:r>
            <w:r>
              <w:rPr>
                <w:sz w:val="18"/>
                <w:szCs w:val="18"/>
              </w:rPr>
              <w:t xml:space="preserve">offence </w:t>
            </w:r>
            <w:r w:rsidRPr="009A5BB9">
              <w:rPr>
                <w:sz w:val="18"/>
                <w:szCs w:val="18"/>
              </w:rPr>
              <w:t xml:space="preserve">occurs at the workplace by a person (non-government employee) due to unauthorised access to </w:t>
            </w:r>
            <w:proofErr w:type="gramStart"/>
            <w:r w:rsidRPr="009A5BB9">
              <w:rPr>
                <w:sz w:val="18"/>
                <w:szCs w:val="18"/>
              </w:rPr>
              <w:t>building</w:t>
            </w:r>
            <w:proofErr w:type="gramEnd"/>
          </w:p>
          <w:p w14:paraId="317B1A11" w14:textId="77777777" w:rsidR="00B327BE" w:rsidRPr="009A5BB9" w:rsidRDefault="00B327BE" w:rsidP="00B327BE">
            <w:pPr>
              <w:spacing w:before="120" w:line="240" w:lineRule="auto"/>
              <w:rPr>
                <w:sz w:val="18"/>
                <w:szCs w:val="18"/>
              </w:rPr>
            </w:pPr>
          </w:p>
        </w:tc>
        <w:tc>
          <w:tcPr>
            <w:tcW w:w="337" w:type="pct"/>
          </w:tcPr>
          <w:p w14:paraId="5AA3DC5C" w14:textId="77777777" w:rsidR="00B327BE" w:rsidRPr="009A5BB9" w:rsidRDefault="00B327BE" w:rsidP="00B327BE">
            <w:pPr>
              <w:spacing w:before="120" w:line="240" w:lineRule="auto"/>
              <w:rPr>
                <w:sz w:val="18"/>
                <w:szCs w:val="18"/>
              </w:rPr>
            </w:pPr>
            <w:r w:rsidRPr="009A5BB9">
              <w:rPr>
                <w:sz w:val="18"/>
                <w:szCs w:val="18"/>
              </w:rPr>
              <w:t>Safety and Wellbeing</w:t>
            </w:r>
          </w:p>
        </w:tc>
        <w:tc>
          <w:tcPr>
            <w:tcW w:w="405" w:type="pct"/>
          </w:tcPr>
          <w:p w14:paraId="5B499B9F" w14:textId="77777777" w:rsidR="00B327BE" w:rsidRPr="009A5BB9" w:rsidRDefault="00B327BE" w:rsidP="00B327BE">
            <w:pPr>
              <w:spacing w:before="120" w:line="240" w:lineRule="auto"/>
              <w:rPr>
                <w:sz w:val="18"/>
                <w:szCs w:val="18"/>
              </w:rPr>
            </w:pPr>
            <w:r w:rsidRPr="009A5BB9">
              <w:rPr>
                <w:sz w:val="18"/>
                <w:szCs w:val="18"/>
              </w:rPr>
              <w:t xml:space="preserve">Operational </w:t>
            </w:r>
          </w:p>
        </w:tc>
        <w:tc>
          <w:tcPr>
            <w:tcW w:w="364" w:type="pct"/>
          </w:tcPr>
          <w:p w14:paraId="31E419AD" w14:textId="77777777" w:rsidR="00B327BE" w:rsidRPr="009A5BB9" w:rsidRDefault="00B327BE" w:rsidP="000D0EF0">
            <w:pPr>
              <w:pStyle w:val="Tablebulletlist"/>
            </w:pPr>
            <w:r w:rsidRPr="009A5BB9">
              <w:t xml:space="preserve">Facilities </w:t>
            </w:r>
          </w:p>
          <w:p w14:paraId="16B9BF71" w14:textId="77777777" w:rsidR="00B327BE" w:rsidRPr="009A5BB9" w:rsidRDefault="00B327BE" w:rsidP="000D0EF0">
            <w:pPr>
              <w:pStyle w:val="Tablebulletlist"/>
            </w:pPr>
            <w:r w:rsidRPr="009A5BB9">
              <w:t xml:space="preserve">All staff   </w:t>
            </w:r>
          </w:p>
          <w:p w14:paraId="6EF2115D" w14:textId="77777777" w:rsidR="00B327BE" w:rsidRPr="009A5BB9" w:rsidRDefault="00B327BE" w:rsidP="000D0EF0">
            <w:pPr>
              <w:pStyle w:val="Tablebulletlist"/>
            </w:pPr>
            <w:r w:rsidRPr="009A5BB9">
              <w:t>All managers</w:t>
            </w:r>
          </w:p>
        </w:tc>
        <w:tc>
          <w:tcPr>
            <w:tcW w:w="893" w:type="pct"/>
          </w:tcPr>
          <w:p w14:paraId="57910948" w14:textId="77777777" w:rsidR="00B327BE" w:rsidRPr="009A5BB9" w:rsidRDefault="00B327BE" w:rsidP="000D0EF0">
            <w:pPr>
              <w:pStyle w:val="Tablebulletlist"/>
            </w:pPr>
            <w:r w:rsidRPr="009A5BB9">
              <w:t>1 William Street, Brisbane – camera in every lift and lobby area</w:t>
            </w:r>
          </w:p>
          <w:p w14:paraId="721DE998" w14:textId="77777777" w:rsidR="00B327BE" w:rsidRPr="009A5BB9" w:rsidRDefault="00B327BE" w:rsidP="000D0EF0">
            <w:pPr>
              <w:pStyle w:val="Tablebulletlist"/>
            </w:pPr>
            <w:r w:rsidRPr="009A5BB9">
              <w:t>Protective Services undertake regular patrols of building</w:t>
            </w:r>
          </w:p>
          <w:p w14:paraId="00974F47" w14:textId="4BEE2D26" w:rsidR="00B327BE" w:rsidRPr="009A5BB9" w:rsidRDefault="00B327BE" w:rsidP="000D0EF0">
            <w:pPr>
              <w:pStyle w:val="Tablebulletlist"/>
            </w:pPr>
            <w:r w:rsidRPr="009A5BB9">
              <w:t>Ongoing internal communication to employees regarding security, access cards, wearing of lanyards</w:t>
            </w:r>
            <w:r w:rsidR="000766E3">
              <w:t xml:space="preserve"> and </w:t>
            </w:r>
            <w:r w:rsidRPr="009A5BB9">
              <w:t>government ID, suspicious behaviours,</w:t>
            </w:r>
            <w:r w:rsidR="000766E3">
              <w:t xml:space="preserve"> and</w:t>
            </w:r>
            <w:r w:rsidRPr="009A5BB9">
              <w:t xml:space="preserve"> reporting requirements  </w:t>
            </w:r>
          </w:p>
          <w:p w14:paraId="47C90F5D" w14:textId="77777777" w:rsidR="00B327BE" w:rsidRPr="009A5BB9" w:rsidRDefault="00B327BE" w:rsidP="000D0EF0">
            <w:pPr>
              <w:pStyle w:val="Tablebulletlist"/>
            </w:pPr>
            <w:r w:rsidRPr="009A5BB9">
              <w:lastRenderedPageBreak/>
              <w:t>Security and/or police are contacted</w:t>
            </w:r>
          </w:p>
          <w:p w14:paraId="075F41F3" w14:textId="77777777" w:rsidR="00B327BE" w:rsidRPr="009A5BB9" w:rsidRDefault="00B327BE" w:rsidP="00B327BE">
            <w:pPr>
              <w:spacing w:before="120" w:line="240" w:lineRule="auto"/>
              <w:rPr>
                <w:sz w:val="18"/>
                <w:szCs w:val="18"/>
              </w:rPr>
            </w:pPr>
            <w:r w:rsidRPr="009A5BB9">
              <w:rPr>
                <w:sz w:val="18"/>
                <w:szCs w:val="18"/>
              </w:rPr>
              <w:t>OR</w:t>
            </w:r>
          </w:p>
          <w:p w14:paraId="6C71BA14" w14:textId="3D22788F" w:rsidR="00B327BE" w:rsidRPr="009A5BB9" w:rsidRDefault="000766E3" w:rsidP="000D0EF0">
            <w:pPr>
              <w:pStyle w:val="Tablebulletlist"/>
            </w:pPr>
            <w:r>
              <w:t>Develop i</w:t>
            </w:r>
            <w:r w:rsidR="00B327BE" w:rsidRPr="009A5BB9">
              <w:t xml:space="preserve">ndividual risk assessment plan                                                                                                                        </w:t>
            </w:r>
          </w:p>
          <w:p w14:paraId="61FC70F3" w14:textId="77777777" w:rsidR="00B327BE" w:rsidRPr="009A5BB9" w:rsidRDefault="00B327BE" w:rsidP="000D0EF0">
            <w:pPr>
              <w:pStyle w:val="Tablebulletlist"/>
            </w:pPr>
            <w:r w:rsidRPr="009A5BB9">
              <w:t xml:space="preserve">Relocate a staff member (different floor/location)                                                                                    </w:t>
            </w:r>
          </w:p>
          <w:p w14:paraId="2C85F278" w14:textId="77777777" w:rsidR="00B327BE" w:rsidRPr="009A5BB9" w:rsidRDefault="00B327BE" w:rsidP="000D0EF0">
            <w:pPr>
              <w:pStyle w:val="Tablebulletlist"/>
            </w:pPr>
            <w:r w:rsidRPr="009A5BB9">
              <w:t xml:space="preserve">Withdraw access card and use sign-in procedures                                                                        </w:t>
            </w:r>
          </w:p>
          <w:p w14:paraId="29B3B76B" w14:textId="6E77CE67" w:rsidR="00B327BE" w:rsidRPr="009A5BB9" w:rsidRDefault="00B327BE" w:rsidP="000D0EF0">
            <w:pPr>
              <w:pStyle w:val="Tablebulletlist"/>
            </w:pPr>
            <w:r w:rsidRPr="009A5BB9">
              <w:t xml:space="preserve">Access cards </w:t>
            </w:r>
            <w:r w:rsidR="000766E3">
              <w:t>to</w:t>
            </w:r>
            <w:r w:rsidR="000766E3" w:rsidRPr="009A5BB9">
              <w:t xml:space="preserve"> </w:t>
            </w:r>
            <w:r w:rsidRPr="009A5BB9">
              <w:t xml:space="preserve">be locked down to certain floors    </w:t>
            </w:r>
          </w:p>
          <w:p w14:paraId="6E9044D5" w14:textId="77777777" w:rsidR="00B327BE" w:rsidRPr="009A5BB9" w:rsidRDefault="00B327BE" w:rsidP="000D0EF0">
            <w:pPr>
              <w:pStyle w:val="Tablebulletlist"/>
            </w:pPr>
            <w:r w:rsidRPr="009A5BB9">
              <w:t xml:space="preserve">Security and/or police are contacted                                             </w:t>
            </w:r>
          </w:p>
        </w:tc>
        <w:tc>
          <w:tcPr>
            <w:tcW w:w="293" w:type="pct"/>
          </w:tcPr>
          <w:p w14:paraId="2FAD8BBA" w14:textId="77777777" w:rsidR="00B327BE" w:rsidRPr="009A5BB9" w:rsidRDefault="00B327BE" w:rsidP="00B327BE">
            <w:pPr>
              <w:spacing w:before="120" w:line="240" w:lineRule="auto"/>
              <w:rPr>
                <w:sz w:val="18"/>
                <w:szCs w:val="18"/>
              </w:rPr>
            </w:pPr>
            <w:r w:rsidRPr="009A5BB9">
              <w:rPr>
                <w:sz w:val="18"/>
                <w:szCs w:val="18"/>
              </w:rPr>
              <w:lastRenderedPageBreak/>
              <w:t>Unlikely</w:t>
            </w:r>
          </w:p>
        </w:tc>
        <w:tc>
          <w:tcPr>
            <w:tcW w:w="327" w:type="pct"/>
          </w:tcPr>
          <w:p w14:paraId="2FD62B39" w14:textId="77777777" w:rsidR="00B327BE" w:rsidRPr="009A5BB9" w:rsidRDefault="00B327BE" w:rsidP="00B327BE">
            <w:pPr>
              <w:spacing w:before="120" w:line="240" w:lineRule="auto"/>
              <w:rPr>
                <w:sz w:val="18"/>
                <w:szCs w:val="18"/>
              </w:rPr>
            </w:pPr>
            <w:r w:rsidRPr="009A5BB9">
              <w:rPr>
                <w:sz w:val="18"/>
                <w:szCs w:val="18"/>
              </w:rPr>
              <w:t>Moderate</w:t>
            </w:r>
          </w:p>
        </w:tc>
        <w:tc>
          <w:tcPr>
            <w:tcW w:w="331" w:type="pct"/>
          </w:tcPr>
          <w:p w14:paraId="4644FC94" w14:textId="77777777" w:rsidR="00B327BE" w:rsidRPr="009A5BB9" w:rsidRDefault="00B327BE" w:rsidP="00B327BE">
            <w:pPr>
              <w:spacing w:before="120" w:line="240" w:lineRule="auto"/>
              <w:rPr>
                <w:sz w:val="18"/>
                <w:szCs w:val="18"/>
              </w:rPr>
            </w:pPr>
            <w:r w:rsidRPr="009A5BB9">
              <w:rPr>
                <w:sz w:val="18"/>
                <w:szCs w:val="18"/>
              </w:rPr>
              <w:t>Moderate</w:t>
            </w:r>
          </w:p>
        </w:tc>
        <w:tc>
          <w:tcPr>
            <w:tcW w:w="245" w:type="pct"/>
          </w:tcPr>
          <w:p w14:paraId="5F9A8F8F" w14:textId="77777777" w:rsidR="00B327BE" w:rsidRPr="009A5BB9" w:rsidRDefault="00B327BE" w:rsidP="00B327BE">
            <w:pPr>
              <w:spacing w:before="120" w:line="240" w:lineRule="auto"/>
              <w:rPr>
                <w:sz w:val="18"/>
                <w:szCs w:val="18"/>
              </w:rPr>
            </w:pPr>
            <w:r w:rsidRPr="009A5BB9">
              <w:rPr>
                <w:sz w:val="18"/>
                <w:szCs w:val="18"/>
              </w:rPr>
              <w:t>Moderate</w:t>
            </w:r>
          </w:p>
        </w:tc>
        <w:tc>
          <w:tcPr>
            <w:tcW w:w="312" w:type="pct"/>
          </w:tcPr>
          <w:p w14:paraId="478239F7"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69F68A7A" w14:textId="05363810" w:rsidR="00B327BE" w:rsidRPr="009A5BB9" w:rsidRDefault="00B327BE" w:rsidP="00B327BE">
            <w:pPr>
              <w:spacing w:before="120" w:line="240" w:lineRule="auto"/>
              <w:rPr>
                <w:sz w:val="18"/>
                <w:szCs w:val="18"/>
              </w:rPr>
            </w:pPr>
            <w:r w:rsidRPr="009A5BB9">
              <w:rPr>
                <w:sz w:val="18"/>
                <w:szCs w:val="18"/>
              </w:rPr>
              <w:t>Risk is currently assessed at the same level as the target risk. The risk will continue to be monitored</w:t>
            </w:r>
          </w:p>
        </w:tc>
        <w:tc>
          <w:tcPr>
            <w:tcW w:w="288" w:type="pct"/>
          </w:tcPr>
          <w:p w14:paraId="322B4AAE" w14:textId="77777777" w:rsidR="00B327BE" w:rsidRPr="009A5BB9" w:rsidRDefault="00B327BE" w:rsidP="00B327BE">
            <w:pPr>
              <w:spacing w:before="120" w:line="240" w:lineRule="auto"/>
              <w:rPr>
                <w:sz w:val="18"/>
                <w:szCs w:val="18"/>
              </w:rPr>
            </w:pPr>
            <w:r w:rsidRPr="009A5BB9">
              <w:rPr>
                <w:sz w:val="18"/>
                <w:szCs w:val="18"/>
              </w:rPr>
              <w:t>Ongoing</w:t>
            </w:r>
          </w:p>
        </w:tc>
      </w:tr>
      <w:tr w:rsidR="00B327BE" w:rsidRPr="009A5BB9" w14:paraId="04FD849C" w14:textId="77777777" w:rsidTr="00D4405D">
        <w:trPr>
          <w:trHeight w:val="1587"/>
        </w:trPr>
        <w:tc>
          <w:tcPr>
            <w:tcW w:w="643" w:type="pct"/>
          </w:tcPr>
          <w:p w14:paraId="22C84DB0" w14:textId="19C18DE1" w:rsidR="00B327BE" w:rsidRPr="009A5BB9" w:rsidRDefault="00B327BE" w:rsidP="00B327BE">
            <w:pPr>
              <w:spacing w:before="120" w:line="240" w:lineRule="auto"/>
              <w:rPr>
                <w:sz w:val="18"/>
                <w:szCs w:val="18"/>
              </w:rPr>
            </w:pPr>
            <w:r w:rsidRPr="009A5BB9">
              <w:rPr>
                <w:sz w:val="18"/>
                <w:szCs w:val="18"/>
              </w:rPr>
              <w:t>New hire fails to disclose convictions and disciplinary action upon commencement of employment at the agency due to lack of understanding or deliberate deception</w:t>
            </w:r>
          </w:p>
        </w:tc>
        <w:tc>
          <w:tcPr>
            <w:tcW w:w="337" w:type="pct"/>
          </w:tcPr>
          <w:p w14:paraId="79593013" w14:textId="77777777" w:rsidR="00B327BE" w:rsidRPr="009A5BB9" w:rsidRDefault="00B327BE" w:rsidP="00B327BE">
            <w:pPr>
              <w:spacing w:before="120" w:line="240" w:lineRule="auto"/>
              <w:rPr>
                <w:sz w:val="18"/>
                <w:szCs w:val="18"/>
              </w:rPr>
            </w:pPr>
            <w:r w:rsidRPr="009A5BB9">
              <w:rPr>
                <w:sz w:val="18"/>
                <w:szCs w:val="18"/>
              </w:rPr>
              <w:t>People and Culture</w:t>
            </w:r>
          </w:p>
        </w:tc>
        <w:tc>
          <w:tcPr>
            <w:tcW w:w="405" w:type="pct"/>
          </w:tcPr>
          <w:p w14:paraId="6D96529E" w14:textId="316CAEB5" w:rsidR="00B327BE" w:rsidRPr="009A5BB9" w:rsidRDefault="00B327BE" w:rsidP="00B327BE">
            <w:pPr>
              <w:spacing w:before="120" w:line="240" w:lineRule="auto"/>
              <w:rPr>
                <w:sz w:val="18"/>
                <w:szCs w:val="18"/>
              </w:rPr>
            </w:pPr>
            <w:r w:rsidRPr="009A5BB9">
              <w:rPr>
                <w:sz w:val="18"/>
                <w:szCs w:val="18"/>
              </w:rPr>
              <w:t>Operational</w:t>
            </w:r>
          </w:p>
        </w:tc>
        <w:tc>
          <w:tcPr>
            <w:tcW w:w="364" w:type="pct"/>
          </w:tcPr>
          <w:p w14:paraId="3AEC7235" w14:textId="77777777" w:rsidR="00B327BE" w:rsidRPr="009A5BB9" w:rsidRDefault="00B327BE" w:rsidP="000D0EF0">
            <w:pPr>
              <w:pStyle w:val="Tablebulletlist"/>
            </w:pPr>
            <w:r w:rsidRPr="009A5BB9">
              <w:t>HRS</w:t>
            </w:r>
          </w:p>
          <w:p w14:paraId="1BE62A02" w14:textId="77777777" w:rsidR="00B327BE" w:rsidRPr="009A5BB9" w:rsidRDefault="00B327BE" w:rsidP="000D0EF0">
            <w:pPr>
              <w:pStyle w:val="Tablebulletlist"/>
            </w:pPr>
            <w:r w:rsidRPr="009A5BB9">
              <w:t>All managers</w:t>
            </w:r>
          </w:p>
          <w:p w14:paraId="67E63E87" w14:textId="77777777" w:rsidR="00B327BE" w:rsidRPr="009A5BB9" w:rsidRDefault="00B327BE" w:rsidP="000D0EF0">
            <w:pPr>
              <w:pStyle w:val="Tablebulletlist"/>
            </w:pPr>
            <w:r w:rsidRPr="009A5BB9">
              <w:t>New hire</w:t>
            </w:r>
          </w:p>
        </w:tc>
        <w:tc>
          <w:tcPr>
            <w:tcW w:w="893" w:type="pct"/>
          </w:tcPr>
          <w:p w14:paraId="06F9BCE7" w14:textId="3177118C" w:rsidR="00B327BE" w:rsidRPr="009A5BB9" w:rsidRDefault="00B327BE" w:rsidP="000D0EF0">
            <w:pPr>
              <w:pStyle w:val="Tablebulletlist"/>
            </w:pPr>
            <w:r w:rsidRPr="009A5BB9">
              <w:t xml:space="preserve">New employees to disclose relevant information on convictions and disciplinary action as part of criminal history check conducted by HRS </w:t>
            </w:r>
          </w:p>
          <w:p w14:paraId="35D0A70F" w14:textId="68A8450F" w:rsidR="00B327BE" w:rsidRPr="009A5BB9" w:rsidRDefault="00B327BE" w:rsidP="000D0EF0">
            <w:pPr>
              <w:pStyle w:val="Tablebulletlist"/>
            </w:pPr>
            <w:r w:rsidRPr="009A5BB9">
              <w:t>Department to advise new employees they must disclose this information before commencing employment</w:t>
            </w:r>
          </w:p>
        </w:tc>
        <w:tc>
          <w:tcPr>
            <w:tcW w:w="293" w:type="pct"/>
          </w:tcPr>
          <w:p w14:paraId="20A5CCAF" w14:textId="77777777" w:rsidR="00B327BE" w:rsidRPr="009A5BB9" w:rsidRDefault="00B327BE" w:rsidP="00B327BE">
            <w:pPr>
              <w:spacing w:before="120" w:line="240" w:lineRule="auto"/>
              <w:rPr>
                <w:sz w:val="18"/>
                <w:szCs w:val="18"/>
              </w:rPr>
            </w:pPr>
            <w:r w:rsidRPr="009A5BB9">
              <w:rPr>
                <w:sz w:val="18"/>
                <w:szCs w:val="18"/>
              </w:rPr>
              <w:t>Rare</w:t>
            </w:r>
          </w:p>
        </w:tc>
        <w:tc>
          <w:tcPr>
            <w:tcW w:w="327" w:type="pct"/>
          </w:tcPr>
          <w:p w14:paraId="13AA0E13" w14:textId="77777777" w:rsidR="00B327BE" w:rsidRPr="009A5BB9" w:rsidRDefault="00B327BE" w:rsidP="00B327BE">
            <w:pPr>
              <w:spacing w:before="120" w:line="240" w:lineRule="auto"/>
              <w:rPr>
                <w:sz w:val="18"/>
                <w:szCs w:val="18"/>
              </w:rPr>
            </w:pPr>
            <w:r w:rsidRPr="009A5BB9">
              <w:rPr>
                <w:sz w:val="18"/>
                <w:szCs w:val="18"/>
              </w:rPr>
              <w:t>Minor</w:t>
            </w:r>
          </w:p>
        </w:tc>
        <w:tc>
          <w:tcPr>
            <w:tcW w:w="331" w:type="pct"/>
          </w:tcPr>
          <w:p w14:paraId="7DEAA0BA" w14:textId="77777777" w:rsidR="00B327BE" w:rsidRPr="009A5BB9" w:rsidRDefault="00B327BE" w:rsidP="00B327BE">
            <w:pPr>
              <w:spacing w:before="120" w:line="240" w:lineRule="auto"/>
              <w:rPr>
                <w:sz w:val="18"/>
                <w:szCs w:val="18"/>
              </w:rPr>
            </w:pPr>
            <w:r w:rsidRPr="009A5BB9">
              <w:rPr>
                <w:sz w:val="18"/>
                <w:szCs w:val="18"/>
              </w:rPr>
              <w:t>Low</w:t>
            </w:r>
          </w:p>
        </w:tc>
        <w:tc>
          <w:tcPr>
            <w:tcW w:w="245" w:type="pct"/>
          </w:tcPr>
          <w:p w14:paraId="2D24F7C2" w14:textId="77777777" w:rsidR="00B327BE" w:rsidRPr="009A5BB9" w:rsidRDefault="00B327BE" w:rsidP="00B327BE">
            <w:pPr>
              <w:spacing w:before="120" w:line="240" w:lineRule="auto"/>
              <w:rPr>
                <w:sz w:val="18"/>
                <w:szCs w:val="18"/>
              </w:rPr>
            </w:pPr>
            <w:r w:rsidRPr="009A5BB9">
              <w:rPr>
                <w:sz w:val="18"/>
                <w:szCs w:val="18"/>
              </w:rPr>
              <w:t>Low</w:t>
            </w:r>
          </w:p>
        </w:tc>
        <w:tc>
          <w:tcPr>
            <w:tcW w:w="312" w:type="pct"/>
          </w:tcPr>
          <w:p w14:paraId="7E418E70"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34024B09" w14:textId="1A6E4843" w:rsidR="00B327BE" w:rsidRPr="009A5BB9" w:rsidRDefault="00B327BE" w:rsidP="00B327BE">
            <w:pPr>
              <w:spacing w:before="120" w:line="240" w:lineRule="auto"/>
              <w:rPr>
                <w:sz w:val="18"/>
                <w:szCs w:val="18"/>
              </w:rPr>
            </w:pPr>
            <w:r w:rsidRPr="009A5BB9">
              <w:rPr>
                <w:sz w:val="18"/>
                <w:szCs w:val="18"/>
              </w:rPr>
              <w:t>No additional treatment actions required.</w:t>
            </w:r>
            <w:r>
              <w:rPr>
                <w:sz w:val="18"/>
                <w:szCs w:val="18"/>
              </w:rPr>
              <w:t xml:space="preserve"> </w:t>
            </w:r>
            <w:r w:rsidRPr="009A5BB9">
              <w:rPr>
                <w:sz w:val="18"/>
                <w:szCs w:val="18"/>
              </w:rPr>
              <w:t>Risk and associated controls will continue to be monitored</w:t>
            </w:r>
          </w:p>
        </w:tc>
        <w:tc>
          <w:tcPr>
            <w:tcW w:w="288" w:type="pct"/>
          </w:tcPr>
          <w:p w14:paraId="570564EC" w14:textId="77777777" w:rsidR="00B327BE" w:rsidRPr="009A5BB9" w:rsidRDefault="00B327BE" w:rsidP="00B327BE">
            <w:pPr>
              <w:spacing w:before="120" w:line="240" w:lineRule="auto"/>
              <w:rPr>
                <w:sz w:val="18"/>
                <w:szCs w:val="18"/>
              </w:rPr>
            </w:pPr>
            <w:r w:rsidRPr="009A5BB9">
              <w:rPr>
                <w:sz w:val="18"/>
                <w:szCs w:val="18"/>
              </w:rPr>
              <w:t>Ongoing</w:t>
            </w:r>
          </w:p>
        </w:tc>
      </w:tr>
      <w:tr w:rsidR="00B327BE" w:rsidRPr="009A5BB9" w14:paraId="24C16727" w14:textId="77777777" w:rsidTr="00D4405D">
        <w:tc>
          <w:tcPr>
            <w:tcW w:w="643" w:type="pct"/>
          </w:tcPr>
          <w:p w14:paraId="0CD5041B" w14:textId="13D6F6D4" w:rsidR="00B327BE" w:rsidRPr="009A5BB9" w:rsidRDefault="00B327BE" w:rsidP="00B327BE">
            <w:pPr>
              <w:spacing w:before="120" w:line="240" w:lineRule="auto"/>
              <w:rPr>
                <w:sz w:val="18"/>
                <w:szCs w:val="18"/>
              </w:rPr>
            </w:pPr>
            <w:r w:rsidRPr="009A5BB9">
              <w:rPr>
                <w:sz w:val="18"/>
                <w:szCs w:val="18"/>
              </w:rPr>
              <w:t xml:space="preserve">Failure of employees to disclose charge or conviction for indictable offences that occur during employment with the agency (in accordance with section 181 of the </w:t>
            </w:r>
            <w:r w:rsidRPr="00605EF7">
              <w:rPr>
                <w:i/>
                <w:iCs/>
                <w:sz w:val="18"/>
                <w:szCs w:val="18"/>
              </w:rPr>
              <w:t>Public Service Act 2008</w:t>
            </w:r>
            <w:r w:rsidRPr="009A5BB9">
              <w:rPr>
                <w:sz w:val="18"/>
                <w:szCs w:val="18"/>
              </w:rPr>
              <w:t>) due to lack of awareness, understanding or deliberate deception</w:t>
            </w:r>
          </w:p>
        </w:tc>
        <w:tc>
          <w:tcPr>
            <w:tcW w:w="337" w:type="pct"/>
          </w:tcPr>
          <w:p w14:paraId="630B3275" w14:textId="77777777" w:rsidR="00B327BE" w:rsidRPr="009A5BB9" w:rsidRDefault="00B327BE" w:rsidP="00B327BE">
            <w:pPr>
              <w:spacing w:before="120" w:line="240" w:lineRule="auto"/>
              <w:rPr>
                <w:sz w:val="18"/>
                <w:szCs w:val="18"/>
              </w:rPr>
            </w:pPr>
            <w:r w:rsidRPr="009A5BB9">
              <w:rPr>
                <w:sz w:val="18"/>
                <w:szCs w:val="18"/>
              </w:rPr>
              <w:t>Safety and Wellbeing</w:t>
            </w:r>
          </w:p>
        </w:tc>
        <w:tc>
          <w:tcPr>
            <w:tcW w:w="405" w:type="pct"/>
          </w:tcPr>
          <w:p w14:paraId="3F9BAA9D" w14:textId="77777777" w:rsidR="00B327BE" w:rsidRPr="009A5BB9" w:rsidRDefault="00B327BE" w:rsidP="00B327BE">
            <w:pPr>
              <w:spacing w:before="120" w:line="240" w:lineRule="auto"/>
              <w:rPr>
                <w:sz w:val="18"/>
                <w:szCs w:val="18"/>
              </w:rPr>
            </w:pPr>
            <w:r w:rsidRPr="009A5BB9">
              <w:rPr>
                <w:sz w:val="18"/>
                <w:szCs w:val="18"/>
              </w:rPr>
              <w:t>Operational</w:t>
            </w:r>
          </w:p>
        </w:tc>
        <w:tc>
          <w:tcPr>
            <w:tcW w:w="364" w:type="pct"/>
          </w:tcPr>
          <w:p w14:paraId="51ED2964" w14:textId="77777777" w:rsidR="00B327BE" w:rsidRPr="009A5BB9" w:rsidRDefault="00B327BE" w:rsidP="000D0EF0">
            <w:pPr>
              <w:pStyle w:val="Tablebulletlist"/>
            </w:pPr>
            <w:r w:rsidRPr="009A5BB9">
              <w:t xml:space="preserve">All staff   </w:t>
            </w:r>
          </w:p>
          <w:p w14:paraId="1259D1CC" w14:textId="77777777" w:rsidR="00B327BE" w:rsidRPr="009A5BB9" w:rsidRDefault="00B327BE" w:rsidP="000D0EF0">
            <w:pPr>
              <w:pStyle w:val="Tablebulletlist"/>
            </w:pPr>
            <w:r w:rsidRPr="009A5BB9">
              <w:t>All managers</w:t>
            </w:r>
          </w:p>
          <w:p w14:paraId="109D2B9E" w14:textId="38C7D73E" w:rsidR="00B327BE" w:rsidRPr="009A5BB9" w:rsidRDefault="00B327BE" w:rsidP="000D0EF0">
            <w:pPr>
              <w:pStyle w:val="Tablebulletlist"/>
            </w:pPr>
            <w:r w:rsidRPr="009A5BB9">
              <w:t>HRS</w:t>
            </w:r>
          </w:p>
        </w:tc>
        <w:tc>
          <w:tcPr>
            <w:tcW w:w="893" w:type="pct"/>
          </w:tcPr>
          <w:p w14:paraId="789F18AC" w14:textId="77777777" w:rsidR="00B327BE" w:rsidRPr="009A5BB9" w:rsidRDefault="00B327BE" w:rsidP="000D0EF0">
            <w:pPr>
              <w:pStyle w:val="Tablebulletlist"/>
            </w:pPr>
            <w:r w:rsidRPr="009A5BB9">
              <w:t>Ongoing internal communications of employee’s responsibility</w:t>
            </w:r>
          </w:p>
          <w:p w14:paraId="0A827B3E" w14:textId="77777777" w:rsidR="00B327BE" w:rsidRDefault="00B327BE" w:rsidP="000D0EF0">
            <w:pPr>
              <w:pStyle w:val="Tablebulletlist"/>
            </w:pPr>
            <w:r w:rsidRPr="009A5BB9">
              <w:t>Manager induction training for all managers/supervisors</w:t>
            </w:r>
          </w:p>
          <w:p w14:paraId="4ABEBDA2" w14:textId="77777777" w:rsidR="00B327BE" w:rsidRPr="009A5BB9" w:rsidRDefault="00B327BE" w:rsidP="000D0EF0">
            <w:pPr>
              <w:pStyle w:val="Tablebulletlist"/>
            </w:pPr>
            <w:r>
              <w:t xml:space="preserve">Notification by Queensland Police Service to the CEO of an agency when an employee commits a DFV offence that is an indictable offence (in accordance with section 170 of the </w:t>
            </w:r>
            <w:r w:rsidRPr="00605EF7">
              <w:rPr>
                <w:i/>
                <w:iCs/>
              </w:rPr>
              <w:t>Public Service Act 2008</w:t>
            </w:r>
            <w:r>
              <w:t>)</w:t>
            </w:r>
          </w:p>
        </w:tc>
        <w:tc>
          <w:tcPr>
            <w:tcW w:w="293" w:type="pct"/>
          </w:tcPr>
          <w:p w14:paraId="127DCDF7" w14:textId="77777777" w:rsidR="00B327BE" w:rsidRPr="009A5BB9" w:rsidRDefault="00B327BE" w:rsidP="00B327BE">
            <w:pPr>
              <w:spacing w:before="120" w:line="240" w:lineRule="auto"/>
              <w:rPr>
                <w:sz w:val="18"/>
                <w:szCs w:val="18"/>
              </w:rPr>
            </w:pPr>
            <w:r w:rsidRPr="009A5BB9">
              <w:rPr>
                <w:sz w:val="18"/>
                <w:szCs w:val="18"/>
              </w:rPr>
              <w:t>Rare</w:t>
            </w:r>
          </w:p>
        </w:tc>
        <w:tc>
          <w:tcPr>
            <w:tcW w:w="327" w:type="pct"/>
          </w:tcPr>
          <w:p w14:paraId="7F533599" w14:textId="77777777" w:rsidR="00B327BE" w:rsidRPr="009A5BB9" w:rsidRDefault="00B327BE" w:rsidP="00B327BE">
            <w:pPr>
              <w:spacing w:before="120" w:line="240" w:lineRule="auto"/>
              <w:rPr>
                <w:sz w:val="18"/>
                <w:szCs w:val="18"/>
              </w:rPr>
            </w:pPr>
            <w:r w:rsidRPr="009A5BB9">
              <w:rPr>
                <w:sz w:val="18"/>
                <w:szCs w:val="18"/>
              </w:rPr>
              <w:t>Minor</w:t>
            </w:r>
          </w:p>
        </w:tc>
        <w:tc>
          <w:tcPr>
            <w:tcW w:w="331" w:type="pct"/>
          </w:tcPr>
          <w:p w14:paraId="363C299D" w14:textId="77777777" w:rsidR="00B327BE" w:rsidRPr="009A5BB9" w:rsidRDefault="00B327BE" w:rsidP="00B327BE">
            <w:pPr>
              <w:spacing w:before="120" w:line="240" w:lineRule="auto"/>
              <w:rPr>
                <w:sz w:val="18"/>
                <w:szCs w:val="18"/>
              </w:rPr>
            </w:pPr>
            <w:r w:rsidRPr="009A5BB9">
              <w:rPr>
                <w:sz w:val="18"/>
                <w:szCs w:val="18"/>
              </w:rPr>
              <w:t>Low</w:t>
            </w:r>
          </w:p>
        </w:tc>
        <w:tc>
          <w:tcPr>
            <w:tcW w:w="245" w:type="pct"/>
          </w:tcPr>
          <w:p w14:paraId="3D154FC4" w14:textId="77777777" w:rsidR="00B327BE" w:rsidRPr="009A5BB9" w:rsidRDefault="00B327BE" w:rsidP="00B327BE">
            <w:pPr>
              <w:spacing w:before="120" w:line="240" w:lineRule="auto"/>
              <w:rPr>
                <w:sz w:val="18"/>
                <w:szCs w:val="18"/>
              </w:rPr>
            </w:pPr>
            <w:r w:rsidRPr="009A5BB9">
              <w:rPr>
                <w:sz w:val="18"/>
                <w:szCs w:val="18"/>
              </w:rPr>
              <w:t>Low</w:t>
            </w:r>
          </w:p>
        </w:tc>
        <w:tc>
          <w:tcPr>
            <w:tcW w:w="312" w:type="pct"/>
          </w:tcPr>
          <w:p w14:paraId="75A1E2F9"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5E8D6351" w14:textId="65993026" w:rsidR="00B327BE" w:rsidRPr="009A5BB9" w:rsidRDefault="00B327BE" w:rsidP="00B327BE">
            <w:pPr>
              <w:spacing w:before="120" w:line="240" w:lineRule="auto"/>
              <w:rPr>
                <w:sz w:val="18"/>
                <w:szCs w:val="18"/>
              </w:rPr>
            </w:pPr>
            <w:r w:rsidRPr="009A5BB9">
              <w:rPr>
                <w:sz w:val="18"/>
                <w:szCs w:val="18"/>
              </w:rPr>
              <w:t>Continue to promote employee obligations around giving notice of charge or conviction for indictable offence</w:t>
            </w:r>
          </w:p>
        </w:tc>
        <w:tc>
          <w:tcPr>
            <w:tcW w:w="288" w:type="pct"/>
          </w:tcPr>
          <w:p w14:paraId="7127F3D0" w14:textId="77777777" w:rsidR="00B327BE" w:rsidRPr="009A5BB9" w:rsidRDefault="00B327BE" w:rsidP="00B327BE">
            <w:pPr>
              <w:spacing w:before="120" w:line="240" w:lineRule="auto"/>
              <w:rPr>
                <w:sz w:val="18"/>
                <w:szCs w:val="18"/>
              </w:rPr>
            </w:pPr>
            <w:r w:rsidRPr="009A5BB9">
              <w:rPr>
                <w:sz w:val="18"/>
                <w:szCs w:val="18"/>
              </w:rPr>
              <w:t xml:space="preserve">Ongoing </w:t>
            </w:r>
          </w:p>
        </w:tc>
      </w:tr>
      <w:tr w:rsidR="00B327BE" w:rsidRPr="009A5BB9" w14:paraId="0303B649" w14:textId="77777777" w:rsidTr="00D4405D">
        <w:tc>
          <w:tcPr>
            <w:tcW w:w="643" w:type="pct"/>
          </w:tcPr>
          <w:p w14:paraId="2A9F0EEC" w14:textId="40D91EB6" w:rsidR="00B327BE" w:rsidRPr="009A5BB9" w:rsidRDefault="00B327BE" w:rsidP="00B327BE">
            <w:pPr>
              <w:spacing w:before="120" w:line="240" w:lineRule="auto"/>
              <w:rPr>
                <w:sz w:val="18"/>
                <w:szCs w:val="18"/>
              </w:rPr>
            </w:pPr>
            <w:r w:rsidRPr="009A5BB9">
              <w:rPr>
                <w:sz w:val="18"/>
                <w:szCs w:val="18"/>
              </w:rPr>
              <w:t xml:space="preserve">Failure to provide a respectful workplace where each employee is treated fairly, regardless of work experience, gender, </w:t>
            </w:r>
            <w:proofErr w:type="gramStart"/>
            <w:r w:rsidRPr="009A5BB9">
              <w:rPr>
                <w:sz w:val="18"/>
                <w:szCs w:val="18"/>
              </w:rPr>
              <w:t>age</w:t>
            </w:r>
            <w:proofErr w:type="gramEnd"/>
            <w:r w:rsidRPr="009A5BB9">
              <w:rPr>
                <w:sz w:val="18"/>
                <w:szCs w:val="18"/>
              </w:rPr>
              <w:t xml:space="preserve"> or cultural background due to lack of managerial skills and development of leaders at all levels</w:t>
            </w:r>
          </w:p>
        </w:tc>
        <w:tc>
          <w:tcPr>
            <w:tcW w:w="337" w:type="pct"/>
          </w:tcPr>
          <w:p w14:paraId="330C3FB6" w14:textId="77777777" w:rsidR="00B327BE" w:rsidRPr="009A5BB9" w:rsidRDefault="00B327BE" w:rsidP="000D0EF0">
            <w:pPr>
              <w:pStyle w:val="Tablebulletlist"/>
            </w:pPr>
            <w:r w:rsidRPr="009A5BB9">
              <w:t>Safety and Wellbeing</w:t>
            </w:r>
          </w:p>
          <w:p w14:paraId="77F509FF" w14:textId="77777777" w:rsidR="00B327BE" w:rsidRPr="009A5BB9" w:rsidRDefault="00B327BE" w:rsidP="000D0EF0">
            <w:pPr>
              <w:pStyle w:val="Tablebulletlist"/>
            </w:pPr>
            <w:r w:rsidRPr="009A5BB9">
              <w:t>People and Culture</w:t>
            </w:r>
          </w:p>
        </w:tc>
        <w:tc>
          <w:tcPr>
            <w:tcW w:w="405" w:type="pct"/>
          </w:tcPr>
          <w:p w14:paraId="0E8D7686" w14:textId="77777777" w:rsidR="00B327BE" w:rsidRPr="009A5BB9" w:rsidRDefault="00B327BE" w:rsidP="00B327BE">
            <w:pPr>
              <w:spacing w:before="120" w:line="240" w:lineRule="auto"/>
              <w:rPr>
                <w:sz w:val="18"/>
                <w:szCs w:val="18"/>
              </w:rPr>
            </w:pPr>
            <w:r w:rsidRPr="009A5BB9">
              <w:rPr>
                <w:sz w:val="18"/>
                <w:szCs w:val="18"/>
              </w:rPr>
              <w:t xml:space="preserve">Operational </w:t>
            </w:r>
          </w:p>
        </w:tc>
        <w:tc>
          <w:tcPr>
            <w:tcW w:w="364" w:type="pct"/>
          </w:tcPr>
          <w:p w14:paraId="6408A1F5" w14:textId="77777777" w:rsidR="00B327BE" w:rsidRPr="009A5BB9" w:rsidRDefault="00B327BE" w:rsidP="000D0EF0">
            <w:pPr>
              <w:pStyle w:val="Tablebulletlist"/>
            </w:pPr>
            <w:r w:rsidRPr="009A5BB9">
              <w:t xml:space="preserve">All staff                       </w:t>
            </w:r>
          </w:p>
          <w:p w14:paraId="3A3A2572" w14:textId="77777777" w:rsidR="00B327BE" w:rsidRPr="009A5BB9" w:rsidRDefault="00B327BE" w:rsidP="000D0EF0">
            <w:pPr>
              <w:pStyle w:val="Tablebulletlist"/>
            </w:pPr>
            <w:r w:rsidRPr="009A5BB9">
              <w:t>HRS</w:t>
            </w:r>
          </w:p>
          <w:p w14:paraId="63BB6067" w14:textId="77777777" w:rsidR="00B327BE" w:rsidRPr="009A5BB9" w:rsidRDefault="00B327BE" w:rsidP="000D0EF0">
            <w:pPr>
              <w:pStyle w:val="Tablebulletlist"/>
            </w:pPr>
            <w:r w:rsidRPr="009A5BB9">
              <w:t>All managers</w:t>
            </w:r>
          </w:p>
        </w:tc>
        <w:tc>
          <w:tcPr>
            <w:tcW w:w="893" w:type="pct"/>
          </w:tcPr>
          <w:p w14:paraId="266E2F07" w14:textId="77777777" w:rsidR="00B327BE" w:rsidRPr="009A5BB9" w:rsidRDefault="00B327BE" w:rsidP="000D0EF0">
            <w:pPr>
              <w:pStyle w:val="Tablebulletlist"/>
            </w:pPr>
            <w:r w:rsidRPr="009A5BB9">
              <w:t xml:space="preserve">Respectful workplace toolkit for leaders and teams                                                                                                </w:t>
            </w:r>
          </w:p>
          <w:p w14:paraId="6C0EF0B0" w14:textId="77777777" w:rsidR="00B327BE" w:rsidRPr="009A5BB9" w:rsidRDefault="00B327BE" w:rsidP="000D0EF0">
            <w:pPr>
              <w:pStyle w:val="Tablebulletlist"/>
            </w:pPr>
            <w:r w:rsidRPr="009A5BB9">
              <w:t>Ongoing promotion of respectful workplace initiative via internal communication channels</w:t>
            </w:r>
          </w:p>
        </w:tc>
        <w:tc>
          <w:tcPr>
            <w:tcW w:w="293" w:type="pct"/>
          </w:tcPr>
          <w:p w14:paraId="14348547" w14:textId="77777777" w:rsidR="00B327BE" w:rsidRPr="009A5BB9" w:rsidRDefault="00B327BE" w:rsidP="00B327BE">
            <w:pPr>
              <w:spacing w:before="120" w:line="240" w:lineRule="auto"/>
              <w:rPr>
                <w:sz w:val="18"/>
                <w:szCs w:val="18"/>
              </w:rPr>
            </w:pPr>
            <w:r w:rsidRPr="009A5BB9">
              <w:rPr>
                <w:sz w:val="18"/>
                <w:szCs w:val="18"/>
              </w:rPr>
              <w:t>Rare</w:t>
            </w:r>
          </w:p>
        </w:tc>
        <w:tc>
          <w:tcPr>
            <w:tcW w:w="327" w:type="pct"/>
          </w:tcPr>
          <w:p w14:paraId="3DE9B9A7" w14:textId="77777777" w:rsidR="00B327BE" w:rsidRPr="009A5BB9" w:rsidRDefault="00B327BE" w:rsidP="00B327BE">
            <w:pPr>
              <w:spacing w:before="120" w:line="240" w:lineRule="auto"/>
              <w:rPr>
                <w:sz w:val="18"/>
                <w:szCs w:val="18"/>
              </w:rPr>
            </w:pPr>
            <w:r w:rsidRPr="009A5BB9">
              <w:rPr>
                <w:sz w:val="18"/>
                <w:szCs w:val="18"/>
              </w:rPr>
              <w:t>Minor</w:t>
            </w:r>
          </w:p>
        </w:tc>
        <w:tc>
          <w:tcPr>
            <w:tcW w:w="331" w:type="pct"/>
          </w:tcPr>
          <w:p w14:paraId="4A8412BC" w14:textId="77777777" w:rsidR="00B327BE" w:rsidRPr="009A5BB9" w:rsidRDefault="00B327BE" w:rsidP="00B327BE">
            <w:pPr>
              <w:spacing w:before="120" w:line="240" w:lineRule="auto"/>
              <w:rPr>
                <w:sz w:val="18"/>
                <w:szCs w:val="18"/>
              </w:rPr>
            </w:pPr>
            <w:r w:rsidRPr="009A5BB9">
              <w:rPr>
                <w:sz w:val="18"/>
                <w:szCs w:val="18"/>
              </w:rPr>
              <w:t>Low</w:t>
            </w:r>
          </w:p>
        </w:tc>
        <w:tc>
          <w:tcPr>
            <w:tcW w:w="245" w:type="pct"/>
          </w:tcPr>
          <w:p w14:paraId="47CF92AF" w14:textId="77777777" w:rsidR="00B327BE" w:rsidRPr="009A5BB9" w:rsidRDefault="00B327BE" w:rsidP="00B327BE">
            <w:pPr>
              <w:spacing w:before="120" w:line="240" w:lineRule="auto"/>
              <w:rPr>
                <w:sz w:val="18"/>
                <w:szCs w:val="18"/>
              </w:rPr>
            </w:pPr>
            <w:r w:rsidRPr="009A5BB9">
              <w:rPr>
                <w:sz w:val="18"/>
                <w:szCs w:val="18"/>
              </w:rPr>
              <w:t>Low</w:t>
            </w:r>
          </w:p>
        </w:tc>
        <w:tc>
          <w:tcPr>
            <w:tcW w:w="312" w:type="pct"/>
          </w:tcPr>
          <w:p w14:paraId="013B1BFE"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53AD9FA3" w14:textId="647BFE16" w:rsidR="00B327BE" w:rsidRPr="009A5BB9" w:rsidRDefault="00B327BE" w:rsidP="00B327BE">
            <w:pPr>
              <w:spacing w:before="120" w:line="240" w:lineRule="auto"/>
              <w:rPr>
                <w:sz w:val="18"/>
                <w:szCs w:val="18"/>
              </w:rPr>
            </w:pPr>
            <w:r w:rsidRPr="009A5BB9">
              <w:rPr>
                <w:sz w:val="18"/>
                <w:szCs w:val="18"/>
              </w:rPr>
              <w:t>Continue to build and promote respectful workplace tools and resources via internal communication channels</w:t>
            </w:r>
          </w:p>
        </w:tc>
        <w:tc>
          <w:tcPr>
            <w:tcW w:w="288" w:type="pct"/>
          </w:tcPr>
          <w:p w14:paraId="46D20B2E" w14:textId="77777777" w:rsidR="00B327BE" w:rsidRPr="009A5BB9" w:rsidRDefault="00B327BE" w:rsidP="00B327BE">
            <w:pPr>
              <w:spacing w:before="120" w:line="240" w:lineRule="auto"/>
              <w:rPr>
                <w:sz w:val="18"/>
                <w:szCs w:val="18"/>
              </w:rPr>
            </w:pPr>
            <w:r w:rsidRPr="009A5BB9">
              <w:rPr>
                <w:sz w:val="18"/>
                <w:szCs w:val="18"/>
              </w:rPr>
              <w:t>Ongoing</w:t>
            </w:r>
          </w:p>
        </w:tc>
      </w:tr>
      <w:tr w:rsidR="00B327BE" w:rsidRPr="009A5BB9" w14:paraId="02C3EC81" w14:textId="77777777" w:rsidTr="00D4405D">
        <w:tc>
          <w:tcPr>
            <w:tcW w:w="643" w:type="pct"/>
          </w:tcPr>
          <w:p w14:paraId="4074C870" w14:textId="03CF8742" w:rsidR="00B327BE" w:rsidRPr="009A5BB9" w:rsidRDefault="00B327BE" w:rsidP="00B327BE">
            <w:pPr>
              <w:spacing w:before="120" w:line="240" w:lineRule="auto"/>
              <w:rPr>
                <w:sz w:val="18"/>
                <w:szCs w:val="18"/>
              </w:rPr>
            </w:pPr>
            <w:r w:rsidRPr="009A5BB9">
              <w:rPr>
                <w:sz w:val="18"/>
                <w:szCs w:val="18"/>
              </w:rPr>
              <w:t>Failure of manager or employee to discuss work performance related to DFV situation due to lack of awareness/experience resulting in team deliverables not being met</w:t>
            </w:r>
          </w:p>
        </w:tc>
        <w:tc>
          <w:tcPr>
            <w:tcW w:w="337" w:type="pct"/>
          </w:tcPr>
          <w:p w14:paraId="5B3A5A30" w14:textId="77777777" w:rsidR="00B327BE" w:rsidRPr="009A5BB9" w:rsidRDefault="00B327BE" w:rsidP="00B327BE">
            <w:pPr>
              <w:spacing w:before="120" w:line="240" w:lineRule="auto"/>
              <w:rPr>
                <w:sz w:val="18"/>
                <w:szCs w:val="18"/>
              </w:rPr>
            </w:pPr>
            <w:r w:rsidRPr="009A5BB9">
              <w:rPr>
                <w:sz w:val="18"/>
                <w:szCs w:val="18"/>
              </w:rPr>
              <w:t>Safety and Wellbeing</w:t>
            </w:r>
          </w:p>
        </w:tc>
        <w:tc>
          <w:tcPr>
            <w:tcW w:w="405" w:type="pct"/>
          </w:tcPr>
          <w:p w14:paraId="68A2CAB0" w14:textId="77777777" w:rsidR="00B327BE" w:rsidRPr="009A5BB9" w:rsidRDefault="00B327BE" w:rsidP="00B327BE">
            <w:pPr>
              <w:spacing w:before="120" w:line="240" w:lineRule="auto"/>
              <w:rPr>
                <w:sz w:val="18"/>
                <w:szCs w:val="18"/>
              </w:rPr>
            </w:pPr>
            <w:r w:rsidRPr="009A5BB9">
              <w:rPr>
                <w:sz w:val="18"/>
                <w:szCs w:val="18"/>
              </w:rPr>
              <w:t xml:space="preserve">Operational </w:t>
            </w:r>
          </w:p>
        </w:tc>
        <w:tc>
          <w:tcPr>
            <w:tcW w:w="364" w:type="pct"/>
          </w:tcPr>
          <w:p w14:paraId="4846A751" w14:textId="77777777" w:rsidR="00B327BE" w:rsidRPr="009A5BB9" w:rsidRDefault="00B327BE" w:rsidP="000D0EF0">
            <w:pPr>
              <w:pStyle w:val="Tablebulletlist"/>
            </w:pPr>
            <w:r w:rsidRPr="009A5BB9">
              <w:t xml:space="preserve">All staff                       </w:t>
            </w:r>
          </w:p>
          <w:p w14:paraId="598D9F0C" w14:textId="77777777" w:rsidR="00B327BE" w:rsidRPr="009A5BB9" w:rsidRDefault="00B327BE" w:rsidP="000D0EF0">
            <w:pPr>
              <w:pStyle w:val="Tablebulletlist"/>
            </w:pPr>
            <w:r w:rsidRPr="009A5BB9">
              <w:t>HRS</w:t>
            </w:r>
          </w:p>
          <w:p w14:paraId="291B7A49" w14:textId="77777777" w:rsidR="00B327BE" w:rsidRPr="009A5BB9" w:rsidRDefault="00B327BE" w:rsidP="000D0EF0">
            <w:pPr>
              <w:pStyle w:val="Tablebulletlist"/>
            </w:pPr>
            <w:r w:rsidRPr="009A5BB9">
              <w:t>All managers</w:t>
            </w:r>
          </w:p>
        </w:tc>
        <w:tc>
          <w:tcPr>
            <w:tcW w:w="893" w:type="pct"/>
          </w:tcPr>
          <w:p w14:paraId="1E2EFDB7" w14:textId="77777777" w:rsidR="00B327BE" w:rsidRPr="009A5BB9" w:rsidRDefault="00B327BE" w:rsidP="000D0EF0">
            <w:pPr>
              <w:pStyle w:val="Tablebulletlist"/>
            </w:pPr>
            <w:r w:rsidRPr="009A5BB9">
              <w:t xml:space="preserve">Provision of a supportive and accepting culture for DFV disclosure through ongoing training, communications and activities to support cultural </w:t>
            </w:r>
            <w:proofErr w:type="gramStart"/>
            <w:r w:rsidRPr="009A5BB9">
              <w:t>change</w:t>
            </w:r>
            <w:proofErr w:type="gramEnd"/>
            <w:r w:rsidRPr="009A5BB9">
              <w:t xml:space="preserve">                                                     </w:t>
            </w:r>
          </w:p>
          <w:p w14:paraId="0BC81BFE" w14:textId="77777777" w:rsidR="00B327BE" w:rsidRPr="009A5BB9" w:rsidRDefault="00B327BE" w:rsidP="000D0EF0">
            <w:pPr>
              <w:pStyle w:val="Tablebulletlist"/>
            </w:pPr>
            <w:r w:rsidRPr="009A5BB9">
              <w:t xml:space="preserve">Individual risk assessment plan developed                                                                                                                                                                                                                                                                                                                                                                                                                                                                                                         </w:t>
            </w:r>
          </w:p>
          <w:p w14:paraId="16E68FD4" w14:textId="77777777" w:rsidR="00B327BE" w:rsidRPr="009A5BB9" w:rsidRDefault="00B327BE" w:rsidP="000D0EF0">
            <w:pPr>
              <w:pStyle w:val="Tablebulletlist"/>
            </w:pPr>
            <w:r w:rsidRPr="009A5BB9">
              <w:t xml:space="preserve">Flexible work arrangements and access to DFV leave                                                                        </w:t>
            </w:r>
          </w:p>
          <w:p w14:paraId="26288678" w14:textId="3BE2DC18" w:rsidR="00B327BE" w:rsidRPr="009A5BB9" w:rsidRDefault="00B327BE" w:rsidP="000D0EF0">
            <w:pPr>
              <w:pStyle w:val="Tablebulletlist"/>
            </w:pPr>
            <w:r w:rsidRPr="009A5BB9">
              <w:lastRenderedPageBreak/>
              <w:t xml:space="preserve">EAP (DFV </w:t>
            </w:r>
            <w:r w:rsidR="000766E3">
              <w:t>s</w:t>
            </w:r>
            <w:r w:rsidRPr="009A5BB9">
              <w:t xml:space="preserve">upport </w:t>
            </w:r>
            <w:r w:rsidR="000766E3">
              <w:t>l</w:t>
            </w:r>
            <w:r w:rsidRPr="009A5BB9">
              <w:t xml:space="preserve">ine for managers and employees)                     </w:t>
            </w:r>
          </w:p>
          <w:p w14:paraId="7BBB63E2" w14:textId="77777777" w:rsidR="00B327BE" w:rsidRPr="009A5BB9" w:rsidRDefault="00B327BE" w:rsidP="000D0EF0">
            <w:pPr>
              <w:pStyle w:val="Tablebulletlist"/>
            </w:pPr>
            <w:r w:rsidRPr="009A5BB9">
              <w:t>Other employees advised that additional assistance required at present</w:t>
            </w:r>
          </w:p>
        </w:tc>
        <w:tc>
          <w:tcPr>
            <w:tcW w:w="293" w:type="pct"/>
          </w:tcPr>
          <w:p w14:paraId="5EF3E171" w14:textId="77777777" w:rsidR="00B327BE" w:rsidRPr="009A5BB9" w:rsidRDefault="00B327BE" w:rsidP="00B327BE">
            <w:pPr>
              <w:spacing w:before="120" w:line="240" w:lineRule="auto"/>
              <w:rPr>
                <w:sz w:val="18"/>
                <w:szCs w:val="18"/>
              </w:rPr>
            </w:pPr>
            <w:r w:rsidRPr="009A5BB9">
              <w:rPr>
                <w:sz w:val="18"/>
                <w:szCs w:val="18"/>
              </w:rPr>
              <w:lastRenderedPageBreak/>
              <w:t xml:space="preserve">Rare </w:t>
            </w:r>
          </w:p>
        </w:tc>
        <w:tc>
          <w:tcPr>
            <w:tcW w:w="327" w:type="pct"/>
          </w:tcPr>
          <w:p w14:paraId="4D1C8E22" w14:textId="77777777" w:rsidR="00B327BE" w:rsidRPr="009A5BB9" w:rsidRDefault="00B327BE" w:rsidP="00B327BE">
            <w:pPr>
              <w:spacing w:before="120" w:line="240" w:lineRule="auto"/>
              <w:rPr>
                <w:sz w:val="18"/>
                <w:szCs w:val="18"/>
              </w:rPr>
            </w:pPr>
            <w:r w:rsidRPr="009A5BB9">
              <w:rPr>
                <w:sz w:val="18"/>
                <w:szCs w:val="18"/>
              </w:rPr>
              <w:t>Minor</w:t>
            </w:r>
          </w:p>
        </w:tc>
        <w:tc>
          <w:tcPr>
            <w:tcW w:w="331" w:type="pct"/>
          </w:tcPr>
          <w:p w14:paraId="5B857F46" w14:textId="77777777" w:rsidR="00B327BE" w:rsidRPr="009A5BB9" w:rsidRDefault="00B327BE" w:rsidP="00B327BE">
            <w:pPr>
              <w:spacing w:before="120" w:line="240" w:lineRule="auto"/>
              <w:rPr>
                <w:sz w:val="18"/>
                <w:szCs w:val="18"/>
              </w:rPr>
            </w:pPr>
            <w:r w:rsidRPr="009A5BB9">
              <w:rPr>
                <w:sz w:val="18"/>
                <w:szCs w:val="18"/>
              </w:rPr>
              <w:t>Low</w:t>
            </w:r>
          </w:p>
        </w:tc>
        <w:tc>
          <w:tcPr>
            <w:tcW w:w="245" w:type="pct"/>
          </w:tcPr>
          <w:p w14:paraId="2B7080DD" w14:textId="77777777" w:rsidR="00B327BE" w:rsidRPr="009A5BB9" w:rsidRDefault="00B327BE" w:rsidP="00B327BE">
            <w:pPr>
              <w:spacing w:before="120" w:line="240" w:lineRule="auto"/>
              <w:rPr>
                <w:sz w:val="18"/>
                <w:szCs w:val="18"/>
              </w:rPr>
            </w:pPr>
            <w:r w:rsidRPr="009A5BB9">
              <w:rPr>
                <w:sz w:val="18"/>
                <w:szCs w:val="18"/>
              </w:rPr>
              <w:t>Low</w:t>
            </w:r>
          </w:p>
        </w:tc>
        <w:tc>
          <w:tcPr>
            <w:tcW w:w="312" w:type="pct"/>
          </w:tcPr>
          <w:p w14:paraId="160C6F5C"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7618E46D" w14:textId="092268FA" w:rsidR="00B327BE" w:rsidRPr="009A5BB9" w:rsidRDefault="00B327BE" w:rsidP="00B327BE">
            <w:pPr>
              <w:spacing w:before="120" w:line="240" w:lineRule="auto"/>
              <w:rPr>
                <w:sz w:val="18"/>
                <w:szCs w:val="18"/>
              </w:rPr>
            </w:pPr>
            <w:r w:rsidRPr="009A5BB9">
              <w:rPr>
                <w:sz w:val="18"/>
                <w:szCs w:val="18"/>
              </w:rPr>
              <w:t xml:space="preserve">HRS, </w:t>
            </w:r>
            <w:proofErr w:type="gramStart"/>
            <w:r w:rsidRPr="009A5BB9">
              <w:rPr>
                <w:sz w:val="18"/>
                <w:szCs w:val="18"/>
              </w:rPr>
              <w:t>manager</w:t>
            </w:r>
            <w:proofErr w:type="gramEnd"/>
            <w:r>
              <w:rPr>
                <w:sz w:val="18"/>
                <w:szCs w:val="18"/>
              </w:rPr>
              <w:t xml:space="preserve"> </w:t>
            </w:r>
            <w:r w:rsidRPr="009A5BB9">
              <w:rPr>
                <w:sz w:val="18"/>
                <w:szCs w:val="18"/>
              </w:rPr>
              <w:t>and employee can work together to discuss a range of flexible work arrangements</w:t>
            </w:r>
          </w:p>
        </w:tc>
        <w:tc>
          <w:tcPr>
            <w:tcW w:w="288" w:type="pct"/>
          </w:tcPr>
          <w:p w14:paraId="340018CB" w14:textId="77777777" w:rsidR="00B327BE" w:rsidRPr="009A5BB9" w:rsidRDefault="00B327BE" w:rsidP="00B327BE">
            <w:pPr>
              <w:spacing w:before="120" w:line="240" w:lineRule="auto"/>
              <w:rPr>
                <w:sz w:val="18"/>
                <w:szCs w:val="18"/>
              </w:rPr>
            </w:pPr>
            <w:r w:rsidRPr="009A5BB9">
              <w:rPr>
                <w:sz w:val="18"/>
                <w:szCs w:val="18"/>
              </w:rPr>
              <w:t>Ongoing</w:t>
            </w:r>
          </w:p>
        </w:tc>
      </w:tr>
      <w:tr w:rsidR="00B327BE" w:rsidRPr="009A5BB9" w14:paraId="5E3C4DA8" w14:textId="77777777" w:rsidTr="00D4405D">
        <w:tc>
          <w:tcPr>
            <w:tcW w:w="643" w:type="pct"/>
          </w:tcPr>
          <w:p w14:paraId="3154D2A7" w14:textId="0821F3A6" w:rsidR="00B327BE" w:rsidRPr="009A5BB9" w:rsidRDefault="00B327BE" w:rsidP="00B327BE">
            <w:pPr>
              <w:spacing w:before="120" w:line="240" w:lineRule="auto"/>
              <w:rPr>
                <w:sz w:val="18"/>
                <w:szCs w:val="18"/>
              </w:rPr>
            </w:pPr>
            <w:r w:rsidRPr="009A5BB9">
              <w:rPr>
                <w:sz w:val="18"/>
                <w:szCs w:val="18"/>
              </w:rPr>
              <w:t xml:space="preserve">Non-disclosure of DFV: an employee may be at risk working remotely/offsite and subject to abuse due to employee not disclosing DFV </w:t>
            </w:r>
            <w:proofErr w:type="gramStart"/>
            <w:r w:rsidRPr="009A5BB9">
              <w:rPr>
                <w:sz w:val="18"/>
                <w:szCs w:val="18"/>
              </w:rPr>
              <w:t>situation</w:t>
            </w:r>
            <w:proofErr w:type="gramEnd"/>
          </w:p>
          <w:p w14:paraId="1E221695" w14:textId="77777777" w:rsidR="00B327BE" w:rsidRPr="009A5BB9" w:rsidRDefault="00B327BE" w:rsidP="00B327BE">
            <w:pPr>
              <w:spacing w:before="120" w:line="240" w:lineRule="auto"/>
              <w:rPr>
                <w:sz w:val="18"/>
                <w:szCs w:val="18"/>
              </w:rPr>
            </w:pPr>
            <w:r w:rsidRPr="009A5BB9">
              <w:rPr>
                <w:sz w:val="18"/>
                <w:szCs w:val="18"/>
              </w:rPr>
              <w:t>OR</w:t>
            </w:r>
          </w:p>
          <w:p w14:paraId="1CC9084E" w14:textId="198CDCF5" w:rsidR="00B327BE" w:rsidRPr="009A5BB9" w:rsidRDefault="00B327BE" w:rsidP="00B327BE">
            <w:pPr>
              <w:spacing w:before="120" w:line="240" w:lineRule="auto"/>
              <w:rPr>
                <w:sz w:val="18"/>
                <w:szCs w:val="18"/>
              </w:rPr>
            </w:pPr>
            <w:r w:rsidRPr="009A5BB9">
              <w:rPr>
                <w:sz w:val="18"/>
                <w:szCs w:val="18"/>
              </w:rPr>
              <w:t>Disclosure of DFV: an employee may be at risk working remotely/offsite and supervisor/manager has not dealt with the incident appropriately</w:t>
            </w:r>
          </w:p>
        </w:tc>
        <w:tc>
          <w:tcPr>
            <w:tcW w:w="337" w:type="pct"/>
          </w:tcPr>
          <w:p w14:paraId="67505853" w14:textId="77777777" w:rsidR="00B327BE" w:rsidRPr="009A5BB9" w:rsidRDefault="00B327BE" w:rsidP="00B327BE">
            <w:pPr>
              <w:spacing w:before="120" w:line="240" w:lineRule="auto"/>
              <w:rPr>
                <w:sz w:val="18"/>
                <w:szCs w:val="18"/>
              </w:rPr>
            </w:pPr>
            <w:r w:rsidRPr="009A5BB9">
              <w:rPr>
                <w:sz w:val="18"/>
                <w:szCs w:val="18"/>
              </w:rPr>
              <w:t>Safety and Wellbeing</w:t>
            </w:r>
          </w:p>
        </w:tc>
        <w:tc>
          <w:tcPr>
            <w:tcW w:w="405" w:type="pct"/>
          </w:tcPr>
          <w:p w14:paraId="105946A4" w14:textId="77777777" w:rsidR="00B327BE" w:rsidRPr="009A5BB9" w:rsidRDefault="00B327BE" w:rsidP="00B327BE">
            <w:pPr>
              <w:spacing w:before="120" w:line="240" w:lineRule="auto"/>
              <w:rPr>
                <w:sz w:val="18"/>
                <w:szCs w:val="18"/>
              </w:rPr>
            </w:pPr>
            <w:r w:rsidRPr="009A5BB9">
              <w:rPr>
                <w:sz w:val="18"/>
                <w:szCs w:val="18"/>
              </w:rPr>
              <w:t xml:space="preserve">Operational </w:t>
            </w:r>
          </w:p>
        </w:tc>
        <w:tc>
          <w:tcPr>
            <w:tcW w:w="364" w:type="pct"/>
          </w:tcPr>
          <w:p w14:paraId="4BF7B6ED" w14:textId="77777777" w:rsidR="00B327BE" w:rsidRPr="009A5BB9" w:rsidRDefault="00B327BE" w:rsidP="000D0EF0">
            <w:pPr>
              <w:pStyle w:val="Tablebulletlist"/>
            </w:pPr>
            <w:r w:rsidRPr="009A5BB9">
              <w:t xml:space="preserve">All staff                       </w:t>
            </w:r>
          </w:p>
          <w:p w14:paraId="79318885" w14:textId="77777777" w:rsidR="00B327BE" w:rsidRPr="009A5BB9" w:rsidRDefault="00B327BE" w:rsidP="000D0EF0">
            <w:pPr>
              <w:pStyle w:val="Tablebulletlist"/>
            </w:pPr>
            <w:r w:rsidRPr="009A5BB9">
              <w:t>HRS</w:t>
            </w:r>
          </w:p>
          <w:p w14:paraId="7C4F6221" w14:textId="77777777" w:rsidR="00B327BE" w:rsidRPr="009A5BB9" w:rsidRDefault="00B327BE" w:rsidP="000D0EF0">
            <w:pPr>
              <w:pStyle w:val="Tablebulletlist"/>
            </w:pPr>
            <w:r w:rsidRPr="009A5BB9">
              <w:t>All managers</w:t>
            </w:r>
          </w:p>
        </w:tc>
        <w:tc>
          <w:tcPr>
            <w:tcW w:w="893" w:type="pct"/>
          </w:tcPr>
          <w:p w14:paraId="0C748A19" w14:textId="4C055894" w:rsidR="00B327BE" w:rsidRDefault="00B327BE" w:rsidP="000D0EF0">
            <w:pPr>
              <w:pStyle w:val="Tablebulletlist"/>
            </w:pPr>
            <w:r w:rsidRPr="009A5BB9">
              <w:t>Ongoing awareness</w:t>
            </w:r>
            <w:r w:rsidR="000766E3">
              <w:t xml:space="preserve"> of</w:t>
            </w:r>
            <w:r w:rsidRPr="009A5BB9">
              <w:t xml:space="preserve"> DFV resources and tools available to staff, and to encourage staff to disclose</w:t>
            </w:r>
            <w:r w:rsidR="000766E3">
              <w:t xml:space="preserve"> DFV</w:t>
            </w:r>
          </w:p>
          <w:p w14:paraId="6DE2892B" w14:textId="77777777" w:rsidR="00B327BE" w:rsidRPr="009A5BB9" w:rsidRDefault="00B327BE" w:rsidP="00B327BE">
            <w:pPr>
              <w:spacing w:before="120" w:line="240" w:lineRule="auto"/>
              <w:rPr>
                <w:sz w:val="18"/>
                <w:szCs w:val="18"/>
              </w:rPr>
            </w:pPr>
            <w:r w:rsidRPr="009A5BB9">
              <w:rPr>
                <w:sz w:val="18"/>
                <w:szCs w:val="18"/>
              </w:rPr>
              <w:t>OR</w:t>
            </w:r>
          </w:p>
          <w:p w14:paraId="26B51748" w14:textId="7356D762" w:rsidR="00B327BE" w:rsidRPr="009A5BB9" w:rsidRDefault="000766E3" w:rsidP="000D0EF0">
            <w:pPr>
              <w:pStyle w:val="Tablebulletlist"/>
            </w:pPr>
            <w:r>
              <w:t>Develop i</w:t>
            </w:r>
            <w:r w:rsidR="00B327BE" w:rsidRPr="009A5BB9">
              <w:t xml:space="preserve">ndividual risk assessment plan </w:t>
            </w:r>
          </w:p>
          <w:p w14:paraId="0C4AE4EC" w14:textId="77777777" w:rsidR="00B327BE" w:rsidRDefault="00B327BE" w:rsidP="000D0EF0">
            <w:pPr>
              <w:pStyle w:val="Tablebulletlist"/>
            </w:pPr>
            <w:r w:rsidRPr="009A5BB9">
              <w:t>Provide alternative work arrangements</w:t>
            </w:r>
          </w:p>
          <w:p w14:paraId="303CFB51" w14:textId="1798AA42" w:rsidR="00B327BE" w:rsidRPr="009A5BB9" w:rsidRDefault="00B327BE" w:rsidP="000D0EF0">
            <w:pPr>
              <w:pStyle w:val="Tablebulletlist"/>
            </w:pPr>
            <w:r>
              <w:t xml:space="preserve">Conduct remote working </w:t>
            </w:r>
            <w:r w:rsidR="000766E3">
              <w:t>w</w:t>
            </w:r>
            <w:r>
              <w:t xml:space="preserve">orkplace </w:t>
            </w:r>
            <w:r w:rsidR="000766E3">
              <w:t>h</w:t>
            </w:r>
            <w:r>
              <w:t xml:space="preserve">ealth and </w:t>
            </w:r>
            <w:r w:rsidR="000766E3">
              <w:t>s</w:t>
            </w:r>
            <w:r>
              <w:t>afety self-assessment</w:t>
            </w:r>
          </w:p>
          <w:p w14:paraId="2E821424" w14:textId="77777777" w:rsidR="00B327BE" w:rsidRPr="009A5BB9" w:rsidRDefault="00B327BE" w:rsidP="000D0EF0">
            <w:pPr>
              <w:pStyle w:val="Tablebulletlist"/>
            </w:pPr>
            <w:r w:rsidRPr="009A5BB9">
              <w:t>DFV manager training</w:t>
            </w:r>
          </w:p>
          <w:p w14:paraId="4F4B6804" w14:textId="178D7384" w:rsidR="00B327BE" w:rsidRPr="009A5BB9" w:rsidRDefault="00B327BE" w:rsidP="000D0EF0">
            <w:pPr>
              <w:pStyle w:val="Tablebulletlist"/>
            </w:pPr>
            <w:r w:rsidRPr="009A5BB9">
              <w:t>Managers understand their duty of care and are trained to recognise the signs of DFV</w:t>
            </w:r>
            <w:r w:rsidR="000766E3">
              <w:t>,</w:t>
            </w:r>
            <w:r w:rsidRPr="009A5BB9">
              <w:t xml:space="preserve"> including when an employee is working from home or at another remote location</w:t>
            </w:r>
          </w:p>
          <w:p w14:paraId="1AE25179" w14:textId="56C86E95" w:rsidR="00B327BE" w:rsidRPr="009A5BB9" w:rsidRDefault="00B327BE" w:rsidP="000D0EF0">
            <w:pPr>
              <w:pStyle w:val="Tablebulletlist"/>
            </w:pPr>
            <w:r w:rsidRPr="009A5BB9">
              <w:t>Regular communication with employees via email, phone and on M</w:t>
            </w:r>
            <w:r w:rsidR="000766E3">
              <w:t>icrosoft</w:t>
            </w:r>
            <w:r w:rsidRPr="009A5BB9">
              <w:t xml:space="preserve"> teams</w:t>
            </w:r>
          </w:p>
        </w:tc>
        <w:tc>
          <w:tcPr>
            <w:tcW w:w="293" w:type="pct"/>
          </w:tcPr>
          <w:p w14:paraId="775C57A2" w14:textId="77777777" w:rsidR="00B327BE" w:rsidRPr="009A5BB9" w:rsidRDefault="00B327BE" w:rsidP="00B327BE">
            <w:pPr>
              <w:spacing w:before="120" w:line="240" w:lineRule="auto"/>
              <w:rPr>
                <w:sz w:val="18"/>
                <w:szCs w:val="18"/>
              </w:rPr>
            </w:pPr>
            <w:r w:rsidRPr="009A5BB9">
              <w:rPr>
                <w:sz w:val="18"/>
                <w:szCs w:val="18"/>
              </w:rPr>
              <w:t>Unlikel</w:t>
            </w:r>
            <w:r>
              <w:rPr>
                <w:sz w:val="18"/>
                <w:szCs w:val="18"/>
              </w:rPr>
              <w:t>y</w:t>
            </w:r>
          </w:p>
        </w:tc>
        <w:tc>
          <w:tcPr>
            <w:tcW w:w="327" w:type="pct"/>
          </w:tcPr>
          <w:p w14:paraId="2C9AE966" w14:textId="77777777" w:rsidR="00B327BE" w:rsidRPr="009A5BB9" w:rsidRDefault="00B327BE" w:rsidP="00B327BE">
            <w:pPr>
              <w:spacing w:before="120" w:line="240" w:lineRule="auto"/>
              <w:rPr>
                <w:sz w:val="18"/>
                <w:szCs w:val="18"/>
              </w:rPr>
            </w:pPr>
            <w:r w:rsidRPr="009A5BB9">
              <w:rPr>
                <w:sz w:val="18"/>
                <w:szCs w:val="18"/>
              </w:rPr>
              <w:t>Minor</w:t>
            </w:r>
          </w:p>
        </w:tc>
        <w:tc>
          <w:tcPr>
            <w:tcW w:w="331" w:type="pct"/>
          </w:tcPr>
          <w:p w14:paraId="4DF8B829" w14:textId="77777777" w:rsidR="00B327BE" w:rsidRPr="009A5BB9" w:rsidRDefault="00B327BE" w:rsidP="00B327BE">
            <w:pPr>
              <w:spacing w:before="120" w:line="240" w:lineRule="auto"/>
              <w:rPr>
                <w:sz w:val="18"/>
                <w:szCs w:val="18"/>
              </w:rPr>
            </w:pPr>
            <w:r w:rsidRPr="009A5BB9">
              <w:rPr>
                <w:sz w:val="18"/>
                <w:szCs w:val="18"/>
              </w:rPr>
              <w:t>Low</w:t>
            </w:r>
          </w:p>
        </w:tc>
        <w:tc>
          <w:tcPr>
            <w:tcW w:w="245" w:type="pct"/>
          </w:tcPr>
          <w:p w14:paraId="59BDC905" w14:textId="77777777" w:rsidR="00B327BE" w:rsidRPr="009A5BB9" w:rsidRDefault="00B327BE" w:rsidP="00B327BE">
            <w:pPr>
              <w:spacing w:before="120" w:line="240" w:lineRule="auto"/>
              <w:rPr>
                <w:sz w:val="18"/>
                <w:szCs w:val="18"/>
              </w:rPr>
            </w:pPr>
            <w:r w:rsidRPr="009A5BB9">
              <w:rPr>
                <w:sz w:val="18"/>
                <w:szCs w:val="18"/>
              </w:rPr>
              <w:t>Low</w:t>
            </w:r>
          </w:p>
        </w:tc>
        <w:tc>
          <w:tcPr>
            <w:tcW w:w="312" w:type="pct"/>
          </w:tcPr>
          <w:p w14:paraId="60D5B3A2"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0159407F" w14:textId="62472457" w:rsidR="00B327BE" w:rsidRPr="009A5BB9" w:rsidRDefault="00B327BE" w:rsidP="00B327BE">
            <w:pPr>
              <w:spacing w:before="120" w:line="240" w:lineRule="auto"/>
              <w:rPr>
                <w:sz w:val="18"/>
                <w:szCs w:val="18"/>
              </w:rPr>
            </w:pPr>
            <w:r w:rsidRPr="009A5BB9">
              <w:rPr>
                <w:sz w:val="18"/>
                <w:szCs w:val="18"/>
              </w:rPr>
              <w:t xml:space="preserve">HRS, </w:t>
            </w:r>
            <w:proofErr w:type="gramStart"/>
            <w:r w:rsidRPr="009A5BB9">
              <w:rPr>
                <w:sz w:val="18"/>
                <w:szCs w:val="18"/>
              </w:rPr>
              <w:t>manag</w:t>
            </w:r>
            <w:r>
              <w:rPr>
                <w:sz w:val="18"/>
                <w:szCs w:val="18"/>
              </w:rPr>
              <w:t>er</w:t>
            </w:r>
            <w:proofErr w:type="gramEnd"/>
            <w:r w:rsidRPr="009A5BB9">
              <w:rPr>
                <w:sz w:val="18"/>
                <w:szCs w:val="18"/>
              </w:rPr>
              <w:t xml:space="preserve"> and employee can work together to discuss other options, which may include working in the office which may be safer</w:t>
            </w:r>
          </w:p>
        </w:tc>
        <w:tc>
          <w:tcPr>
            <w:tcW w:w="288" w:type="pct"/>
          </w:tcPr>
          <w:p w14:paraId="580BF82A" w14:textId="77777777" w:rsidR="00B327BE" w:rsidRPr="009A5BB9" w:rsidRDefault="00B327BE" w:rsidP="00B327BE">
            <w:pPr>
              <w:spacing w:before="120" w:line="240" w:lineRule="auto"/>
              <w:rPr>
                <w:sz w:val="18"/>
                <w:szCs w:val="18"/>
              </w:rPr>
            </w:pPr>
            <w:r w:rsidRPr="009A5BB9">
              <w:rPr>
                <w:sz w:val="18"/>
                <w:szCs w:val="18"/>
              </w:rPr>
              <w:t>Ongoing</w:t>
            </w:r>
          </w:p>
        </w:tc>
      </w:tr>
      <w:tr w:rsidR="00B327BE" w:rsidRPr="009A5BB9" w14:paraId="569574AE" w14:textId="77777777" w:rsidTr="00D4405D">
        <w:tc>
          <w:tcPr>
            <w:tcW w:w="643" w:type="pct"/>
          </w:tcPr>
          <w:p w14:paraId="4A7C08A3" w14:textId="77777777" w:rsidR="00B327BE" w:rsidRPr="009A5BB9" w:rsidRDefault="00B327BE" w:rsidP="00B327BE">
            <w:pPr>
              <w:spacing w:before="120" w:line="240" w:lineRule="auto"/>
              <w:rPr>
                <w:sz w:val="18"/>
                <w:szCs w:val="18"/>
              </w:rPr>
            </w:pPr>
            <w:r w:rsidRPr="009A5BB9">
              <w:rPr>
                <w:sz w:val="18"/>
                <w:szCs w:val="18"/>
              </w:rPr>
              <w:t>Inability for employees with disability</w:t>
            </w:r>
            <w:r>
              <w:rPr>
                <w:sz w:val="18"/>
                <w:szCs w:val="18"/>
              </w:rPr>
              <w:t xml:space="preserve">, </w:t>
            </w:r>
            <w:r w:rsidRPr="009A5BB9">
              <w:rPr>
                <w:sz w:val="18"/>
                <w:szCs w:val="18"/>
              </w:rPr>
              <w:t>culturally and linguistically diverse</w:t>
            </w:r>
            <w:r>
              <w:rPr>
                <w:sz w:val="18"/>
                <w:szCs w:val="18"/>
              </w:rPr>
              <w:t xml:space="preserve"> employees, Aboriginal and Torres Strat Islander peoples, LGBTIQ+ community</w:t>
            </w:r>
            <w:r w:rsidRPr="009A5BB9">
              <w:rPr>
                <w:sz w:val="18"/>
                <w:szCs w:val="18"/>
              </w:rPr>
              <w:t xml:space="preserve"> to access specialist DFV support due to lack of awareness.</w:t>
            </w:r>
          </w:p>
        </w:tc>
        <w:tc>
          <w:tcPr>
            <w:tcW w:w="337" w:type="pct"/>
          </w:tcPr>
          <w:p w14:paraId="1364308E" w14:textId="77777777" w:rsidR="00B327BE" w:rsidRPr="009A5BB9" w:rsidRDefault="00B327BE" w:rsidP="00B327BE">
            <w:pPr>
              <w:spacing w:before="120" w:line="240" w:lineRule="auto"/>
              <w:rPr>
                <w:sz w:val="18"/>
                <w:szCs w:val="18"/>
              </w:rPr>
            </w:pPr>
            <w:r w:rsidRPr="009A5BB9">
              <w:rPr>
                <w:sz w:val="18"/>
                <w:szCs w:val="18"/>
              </w:rPr>
              <w:t>Safety and Wellbeing</w:t>
            </w:r>
          </w:p>
        </w:tc>
        <w:tc>
          <w:tcPr>
            <w:tcW w:w="405" w:type="pct"/>
          </w:tcPr>
          <w:p w14:paraId="05A77B2D" w14:textId="77777777" w:rsidR="00B327BE" w:rsidRPr="009A5BB9" w:rsidRDefault="00B327BE" w:rsidP="00B327BE">
            <w:pPr>
              <w:spacing w:before="120" w:line="240" w:lineRule="auto"/>
              <w:rPr>
                <w:sz w:val="18"/>
                <w:szCs w:val="18"/>
              </w:rPr>
            </w:pPr>
            <w:r w:rsidRPr="009A5BB9">
              <w:rPr>
                <w:sz w:val="18"/>
                <w:szCs w:val="18"/>
              </w:rPr>
              <w:t>Operational</w:t>
            </w:r>
          </w:p>
        </w:tc>
        <w:tc>
          <w:tcPr>
            <w:tcW w:w="364" w:type="pct"/>
          </w:tcPr>
          <w:p w14:paraId="052D1AAF" w14:textId="77777777" w:rsidR="00B327BE" w:rsidRPr="009A5BB9" w:rsidRDefault="00B327BE" w:rsidP="000D0EF0">
            <w:pPr>
              <w:pStyle w:val="Tablebulletlist"/>
            </w:pPr>
            <w:r w:rsidRPr="009A5BB9">
              <w:t xml:space="preserve">All staff                       </w:t>
            </w:r>
          </w:p>
          <w:p w14:paraId="2E655AEE" w14:textId="77777777" w:rsidR="00B327BE" w:rsidRPr="009A5BB9" w:rsidRDefault="00B327BE" w:rsidP="000D0EF0">
            <w:pPr>
              <w:pStyle w:val="Tablebulletlist"/>
            </w:pPr>
            <w:r w:rsidRPr="009A5BB9">
              <w:t>HRS</w:t>
            </w:r>
          </w:p>
          <w:p w14:paraId="015E2E83" w14:textId="77777777" w:rsidR="00B327BE" w:rsidRPr="009A5BB9" w:rsidRDefault="00B327BE" w:rsidP="000D0EF0">
            <w:pPr>
              <w:pStyle w:val="Tablebulletlist"/>
            </w:pPr>
            <w:r w:rsidRPr="009A5BB9">
              <w:t>All managers</w:t>
            </w:r>
          </w:p>
        </w:tc>
        <w:tc>
          <w:tcPr>
            <w:tcW w:w="893" w:type="pct"/>
          </w:tcPr>
          <w:p w14:paraId="152B0719" w14:textId="5E4A121E" w:rsidR="00B327BE" w:rsidRPr="009A5BB9" w:rsidRDefault="00B327BE" w:rsidP="000D0EF0">
            <w:pPr>
              <w:pStyle w:val="Tablebulletlist"/>
            </w:pPr>
            <w:r w:rsidRPr="009A5BB9">
              <w:t xml:space="preserve">Resources and referrals on agency </w:t>
            </w:r>
            <w:r w:rsidR="000766E3">
              <w:t>i</w:t>
            </w:r>
            <w:r w:rsidRPr="009A5BB9">
              <w:t>ntranet</w:t>
            </w:r>
          </w:p>
          <w:p w14:paraId="2EBC03B4" w14:textId="77777777" w:rsidR="00B327BE" w:rsidRPr="009A5BB9" w:rsidRDefault="00B327BE" w:rsidP="000D0EF0">
            <w:pPr>
              <w:pStyle w:val="Tablebulletlist"/>
            </w:pPr>
            <w:r w:rsidRPr="009A5BB9">
              <w:t xml:space="preserve">Flexible work arrangements and access to DFV leave                                                                        </w:t>
            </w:r>
          </w:p>
          <w:p w14:paraId="7DE6E984" w14:textId="2B904076" w:rsidR="00B327BE" w:rsidRPr="009A5BB9" w:rsidRDefault="00B327BE" w:rsidP="000D0EF0">
            <w:pPr>
              <w:pStyle w:val="Tablebulletlist"/>
            </w:pPr>
            <w:r w:rsidRPr="009A5BB9">
              <w:t xml:space="preserve">EAP (DFV </w:t>
            </w:r>
            <w:r w:rsidR="000766E3">
              <w:t>s</w:t>
            </w:r>
            <w:r w:rsidRPr="009A5BB9">
              <w:t xml:space="preserve">upport </w:t>
            </w:r>
            <w:r w:rsidR="000766E3">
              <w:t>l</w:t>
            </w:r>
            <w:r w:rsidRPr="009A5BB9">
              <w:t xml:space="preserve">ine for </w:t>
            </w:r>
            <w:proofErr w:type="gramStart"/>
            <w:r w:rsidRPr="009A5BB9">
              <w:t xml:space="preserve">managers)   </w:t>
            </w:r>
            <w:proofErr w:type="gramEnd"/>
            <w:r w:rsidRPr="009A5BB9">
              <w:t xml:space="preserve">           </w:t>
            </w:r>
          </w:p>
        </w:tc>
        <w:tc>
          <w:tcPr>
            <w:tcW w:w="293" w:type="pct"/>
          </w:tcPr>
          <w:p w14:paraId="1E995C56" w14:textId="77777777" w:rsidR="00B327BE" w:rsidRPr="009A5BB9" w:rsidRDefault="00B327BE" w:rsidP="00B327BE">
            <w:pPr>
              <w:spacing w:before="120" w:line="240" w:lineRule="auto"/>
              <w:rPr>
                <w:sz w:val="18"/>
                <w:szCs w:val="18"/>
              </w:rPr>
            </w:pPr>
            <w:r w:rsidRPr="009A5BB9">
              <w:rPr>
                <w:sz w:val="18"/>
                <w:szCs w:val="18"/>
              </w:rPr>
              <w:t>Possible</w:t>
            </w:r>
          </w:p>
        </w:tc>
        <w:tc>
          <w:tcPr>
            <w:tcW w:w="327" w:type="pct"/>
          </w:tcPr>
          <w:p w14:paraId="7C781659" w14:textId="77777777" w:rsidR="00B327BE" w:rsidRPr="009A5BB9" w:rsidRDefault="00B327BE" w:rsidP="00B327BE">
            <w:pPr>
              <w:spacing w:before="120" w:line="240" w:lineRule="auto"/>
              <w:rPr>
                <w:sz w:val="18"/>
                <w:szCs w:val="18"/>
              </w:rPr>
            </w:pPr>
            <w:r w:rsidRPr="009A5BB9">
              <w:rPr>
                <w:sz w:val="18"/>
                <w:szCs w:val="18"/>
              </w:rPr>
              <w:t>Minor</w:t>
            </w:r>
          </w:p>
        </w:tc>
        <w:tc>
          <w:tcPr>
            <w:tcW w:w="331" w:type="pct"/>
          </w:tcPr>
          <w:p w14:paraId="25FE3CA2" w14:textId="77777777" w:rsidR="00B327BE" w:rsidRPr="009A5BB9" w:rsidRDefault="00B327BE" w:rsidP="00B327BE">
            <w:pPr>
              <w:spacing w:before="120" w:line="240" w:lineRule="auto"/>
              <w:rPr>
                <w:sz w:val="18"/>
                <w:szCs w:val="18"/>
              </w:rPr>
            </w:pPr>
            <w:r w:rsidRPr="009A5BB9">
              <w:rPr>
                <w:sz w:val="18"/>
                <w:szCs w:val="18"/>
              </w:rPr>
              <w:t>Low</w:t>
            </w:r>
          </w:p>
        </w:tc>
        <w:tc>
          <w:tcPr>
            <w:tcW w:w="245" w:type="pct"/>
          </w:tcPr>
          <w:p w14:paraId="2568E6B3" w14:textId="77777777" w:rsidR="00B327BE" w:rsidRPr="009A5BB9" w:rsidRDefault="00B327BE" w:rsidP="00B327BE">
            <w:pPr>
              <w:spacing w:before="120" w:line="240" w:lineRule="auto"/>
              <w:rPr>
                <w:sz w:val="18"/>
                <w:szCs w:val="18"/>
              </w:rPr>
            </w:pPr>
            <w:r w:rsidRPr="009A5BB9">
              <w:rPr>
                <w:sz w:val="18"/>
                <w:szCs w:val="18"/>
              </w:rPr>
              <w:t>Low</w:t>
            </w:r>
          </w:p>
        </w:tc>
        <w:tc>
          <w:tcPr>
            <w:tcW w:w="312" w:type="pct"/>
          </w:tcPr>
          <w:p w14:paraId="44671E52" w14:textId="77777777" w:rsidR="00B327BE" w:rsidRPr="009A5BB9" w:rsidRDefault="00B327BE" w:rsidP="00B327BE">
            <w:pPr>
              <w:spacing w:before="120" w:line="240" w:lineRule="auto"/>
              <w:rPr>
                <w:sz w:val="18"/>
                <w:szCs w:val="18"/>
              </w:rPr>
            </w:pPr>
            <w:r w:rsidRPr="009A5BB9">
              <w:rPr>
                <w:sz w:val="18"/>
                <w:szCs w:val="18"/>
              </w:rPr>
              <w:t>Accept and monitor</w:t>
            </w:r>
          </w:p>
        </w:tc>
        <w:tc>
          <w:tcPr>
            <w:tcW w:w="562" w:type="pct"/>
          </w:tcPr>
          <w:p w14:paraId="4302F998" w14:textId="5805A903" w:rsidR="00B327BE" w:rsidRPr="009A5BB9" w:rsidRDefault="00B327BE" w:rsidP="00B327BE">
            <w:pPr>
              <w:spacing w:before="120" w:line="240" w:lineRule="auto"/>
              <w:rPr>
                <w:sz w:val="18"/>
                <w:szCs w:val="18"/>
              </w:rPr>
            </w:pPr>
            <w:r w:rsidRPr="009A5BB9">
              <w:rPr>
                <w:sz w:val="18"/>
                <w:szCs w:val="18"/>
              </w:rPr>
              <w:t>HRS will continue to develop and promote resources and referrals available</w:t>
            </w:r>
          </w:p>
        </w:tc>
        <w:tc>
          <w:tcPr>
            <w:tcW w:w="288" w:type="pct"/>
          </w:tcPr>
          <w:p w14:paraId="642E12D5" w14:textId="77777777" w:rsidR="00B327BE" w:rsidRPr="009A5BB9" w:rsidRDefault="00B327BE" w:rsidP="00B327BE">
            <w:pPr>
              <w:spacing w:before="120" w:line="240" w:lineRule="auto"/>
              <w:rPr>
                <w:sz w:val="18"/>
                <w:szCs w:val="18"/>
              </w:rPr>
            </w:pPr>
            <w:r w:rsidRPr="009A5BB9">
              <w:rPr>
                <w:sz w:val="18"/>
                <w:szCs w:val="18"/>
              </w:rPr>
              <w:t>Ongoing</w:t>
            </w:r>
          </w:p>
        </w:tc>
      </w:tr>
    </w:tbl>
    <w:p w14:paraId="2D672D15" w14:textId="6A3946EF" w:rsidR="00844B3A" w:rsidRDefault="00844B3A" w:rsidP="003E0A85"/>
    <w:sectPr w:rsidR="00844B3A" w:rsidSect="0070108E">
      <w:headerReference w:type="default" r:id="rId33"/>
      <w:pgSz w:w="23811" w:h="16838" w:orient="landscape" w:code="8"/>
      <w:pgMar w:top="1276" w:right="1134" w:bottom="1134" w:left="1134" w:header="850" w:footer="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9FB1" w14:textId="77777777" w:rsidR="00E5680A" w:rsidRDefault="00E5680A" w:rsidP="00AF64DD">
      <w:r>
        <w:separator/>
      </w:r>
    </w:p>
  </w:endnote>
  <w:endnote w:type="continuationSeparator" w:id="0">
    <w:p w14:paraId="10A329E0" w14:textId="77777777" w:rsidR="00E5680A" w:rsidRDefault="00E5680A" w:rsidP="00AF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21123"/>
      <w:docPartObj>
        <w:docPartGallery w:val="Page Numbers (Bottom of Page)"/>
        <w:docPartUnique/>
      </w:docPartObj>
    </w:sdtPr>
    <w:sdtEndPr>
      <w:rPr>
        <w:noProof/>
        <w:sz w:val="18"/>
        <w:szCs w:val="18"/>
      </w:rPr>
    </w:sdtEndPr>
    <w:sdtContent>
      <w:p w14:paraId="3E0314F8" w14:textId="215AC011" w:rsidR="00DA4879" w:rsidRPr="006E5F52" w:rsidRDefault="00DA4879" w:rsidP="006E5F52">
        <w:pPr>
          <w:pStyle w:val="Footer"/>
        </w:pPr>
        <w:r w:rsidRPr="006B214C">
          <w:rPr>
            <w:szCs w:val="20"/>
          </w:rPr>
          <w:fldChar w:fldCharType="begin"/>
        </w:r>
        <w:r w:rsidRPr="006B214C">
          <w:rPr>
            <w:szCs w:val="20"/>
          </w:rPr>
          <w:instrText xml:space="preserve"> PAGE   \* MERGEFORMAT </w:instrText>
        </w:r>
        <w:r w:rsidRPr="006B214C">
          <w:rPr>
            <w:szCs w:val="20"/>
          </w:rPr>
          <w:fldChar w:fldCharType="separate"/>
        </w:r>
        <w:r w:rsidRPr="006B214C">
          <w:rPr>
            <w:noProof/>
            <w:szCs w:val="20"/>
          </w:rPr>
          <w:t>2</w:t>
        </w:r>
        <w:r w:rsidRPr="006B214C">
          <w:rPr>
            <w:noProof/>
            <w:szCs w:val="20"/>
          </w:rPr>
          <w:fldChar w:fldCharType="end"/>
        </w:r>
        <w:r w:rsidRPr="006B214C">
          <w:rPr>
            <w:noProof/>
            <w:szCs w:val="20"/>
          </w:rPr>
          <w:t xml:space="preserve">  |  Guide for risk and workplace safety planning for employee</w:t>
        </w:r>
        <w:r>
          <w:rPr>
            <w:noProof/>
            <w:szCs w:val="20"/>
          </w:rPr>
          <w:t>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33235"/>
      <w:docPartObj>
        <w:docPartGallery w:val="Page Numbers (Bottom of Page)"/>
        <w:docPartUnique/>
      </w:docPartObj>
    </w:sdtPr>
    <w:sdtEndPr>
      <w:rPr>
        <w:noProof/>
        <w:sz w:val="18"/>
        <w:szCs w:val="18"/>
      </w:rPr>
    </w:sdtEndPr>
    <w:sdtContent>
      <w:p w14:paraId="2D6B2E18" w14:textId="77777777" w:rsidR="00DA4879" w:rsidRPr="00BB7EDD" w:rsidRDefault="00DA4879" w:rsidP="006E5F52">
        <w:pPr>
          <w:pStyle w:val="Footer"/>
          <w:rPr>
            <w:sz w:val="18"/>
            <w:szCs w:val="18"/>
          </w:rPr>
        </w:pPr>
        <w:r w:rsidRPr="00BB7EDD">
          <w:rPr>
            <w:sz w:val="18"/>
            <w:szCs w:val="18"/>
          </w:rPr>
          <w:fldChar w:fldCharType="begin"/>
        </w:r>
        <w:r w:rsidRPr="00BB7EDD">
          <w:rPr>
            <w:sz w:val="18"/>
            <w:szCs w:val="18"/>
          </w:rPr>
          <w:instrText xml:space="preserve"> PAGE   \* MERGEFORMAT </w:instrText>
        </w:r>
        <w:r w:rsidRPr="00BB7EDD">
          <w:rPr>
            <w:sz w:val="18"/>
            <w:szCs w:val="18"/>
          </w:rPr>
          <w:fldChar w:fldCharType="separate"/>
        </w:r>
        <w:r w:rsidRPr="00BB7EDD">
          <w:rPr>
            <w:noProof/>
            <w:sz w:val="18"/>
            <w:szCs w:val="18"/>
          </w:rPr>
          <w:t>2</w:t>
        </w:r>
        <w:r w:rsidRPr="00BB7EDD">
          <w:rPr>
            <w:noProof/>
            <w:sz w:val="18"/>
            <w:szCs w:val="18"/>
          </w:rPr>
          <w:fldChar w:fldCharType="end"/>
        </w:r>
        <w:r w:rsidRPr="00BB7EDD">
          <w:rPr>
            <w:noProof/>
            <w:sz w:val="18"/>
            <w:szCs w:val="18"/>
          </w:rPr>
          <w:t xml:space="preserve">  |  </w:t>
        </w:r>
        <w:r w:rsidRPr="00BB7EDD">
          <w:rPr>
            <w:b/>
            <w:bCs/>
            <w:noProof/>
            <w:sz w:val="18"/>
            <w:szCs w:val="18"/>
          </w:rPr>
          <w:t>Guide for risk and workplace safety planning for employees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883788"/>
      <w:docPartObj>
        <w:docPartGallery w:val="Page Numbers (Bottom of Page)"/>
        <w:docPartUnique/>
      </w:docPartObj>
    </w:sdtPr>
    <w:sdtEndPr>
      <w:rPr>
        <w:noProof/>
        <w:sz w:val="18"/>
        <w:szCs w:val="18"/>
      </w:rPr>
    </w:sdtEndPr>
    <w:sdtContent>
      <w:p w14:paraId="2C6EDE94" w14:textId="4535E8F2" w:rsidR="00DA4879" w:rsidRDefault="00DA4879">
        <w:pPr>
          <w:pStyle w:val="Footer"/>
        </w:pPr>
        <w:r w:rsidRPr="006B214C">
          <w:rPr>
            <w:szCs w:val="20"/>
          </w:rPr>
          <w:fldChar w:fldCharType="begin"/>
        </w:r>
        <w:r w:rsidRPr="006B214C">
          <w:rPr>
            <w:szCs w:val="20"/>
          </w:rPr>
          <w:instrText xml:space="preserve"> PAGE   \* MERGEFORMAT </w:instrText>
        </w:r>
        <w:r w:rsidRPr="006B214C">
          <w:rPr>
            <w:szCs w:val="20"/>
          </w:rPr>
          <w:fldChar w:fldCharType="separate"/>
        </w:r>
        <w:r>
          <w:rPr>
            <w:szCs w:val="20"/>
          </w:rPr>
          <w:t>1</w:t>
        </w:r>
        <w:r w:rsidRPr="006B214C">
          <w:rPr>
            <w:noProof/>
            <w:szCs w:val="20"/>
          </w:rPr>
          <w:fldChar w:fldCharType="end"/>
        </w:r>
        <w:r w:rsidRPr="006B214C">
          <w:rPr>
            <w:noProof/>
            <w:szCs w:val="20"/>
          </w:rPr>
          <w:t xml:space="preserve">  |  Guide for risk and workplace safety planning for employee</w:t>
        </w:r>
        <w:r>
          <w:rPr>
            <w:noProof/>
            <w:szCs w:val="20"/>
          </w:rPr>
          <w:t>s</w:t>
        </w:r>
        <w:r w:rsidR="00A65285">
          <w:rPr>
            <w:noProof/>
            <w:szCs w:val="20"/>
          </w:rPr>
          <w:t xml:space="preserve"> 2021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326591"/>
      <w:docPartObj>
        <w:docPartGallery w:val="Page Numbers (Bottom of Page)"/>
        <w:docPartUnique/>
      </w:docPartObj>
    </w:sdtPr>
    <w:sdtEndPr>
      <w:rPr>
        <w:noProof/>
        <w:sz w:val="18"/>
        <w:szCs w:val="18"/>
      </w:rPr>
    </w:sdtEndPr>
    <w:sdtContent>
      <w:p w14:paraId="6085D09C" w14:textId="77777777" w:rsidR="00DA4879" w:rsidRPr="006E5F52" w:rsidRDefault="00DA4879" w:rsidP="006E5F52">
        <w:pPr>
          <w:pStyle w:val="Footer"/>
          <w:rPr>
            <w:sz w:val="18"/>
            <w:szCs w:val="18"/>
          </w:rPr>
        </w:pPr>
        <w:r w:rsidRPr="006B214C">
          <w:rPr>
            <w:szCs w:val="20"/>
          </w:rPr>
          <w:fldChar w:fldCharType="begin"/>
        </w:r>
        <w:r w:rsidRPr="006B214C">
          <w:rPr>
            <w:szCs w:val="20"/>
          </w:rPr>
          <w:instrText xml:space="preserve"> PAGE   \* MERGEFORMAT </w:instrText>
        </w:r>
        <w:r w:rsidRPr="006B214C">
          <w:rPr>
            <w:szCs w:val="20"/>
          </w:rPr>
          <w:fldChar w:fldCharType="separate"/>
        </w:r>
        <w:r>
          <w:rPr>
            <w:szCs w:val="20"/>
          </w:rPr>
          <w:t>3</w:t>
        </w:r>
        <w:r w:rsidRPr="006B214C">
          <w:rPr>
            <w:noProof/>
            <w:szCs w:val="20"/>
          </w:rPr>
          <w:fldChar w:fldCharType="end"/>
        </w:r>
        <w:r w:rsidRPr="006B214C">
          <w:rPr>
            <w:noProof/>
            <w:szCs w:val="20"/>
          </w:rPr>
          <w:t xml:space="preserve">  |  Guide for risk and workplace safety planning for employees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C337" w14:textId="77777777" w:rsidR="00E5680A" w:rsidRDefault="00E5680A" w:rsidP="00AF64DD">
      <w:r>
        <w:separator/>
      </w:r>
    </w:p>
  </w:footnote>
  <w:footnote w:type="continuationSeparator" w:id="0">
    <w:p w14:paraId="3C95CB3B" w14:textId="77777777" w:rsidR="00E5680A" w:rsidRDefault="00E5680A" w:rsidP="00AF64DD">
      <w:r>
        <w:continuationSeparator/>
      </w:r>
    </w:p>
  </w:footnote>
  <w:footnote w:id="1">
    <w:p w14:paraId="7FB500ED" w14:textId="6573BFD5" w:rsidR="00DA4879" w:rsidRPr="0021329F" w:rsidRDefault="00DA4879" w:rsidP="00844B3A">
      <w:pPr>
        <w:pStyle w:val="FootnoteText"/>
        <w:rPr>
          <w:lang w:val="en-US"/>
        </w:rPr>
      </w:pPr>
      <w:r w:rsidRPr="0021329F">
        <w:rPr>
          <w:rStyle w:val="FootnoteReference"/>
          <w:sz w:val="18"/>
          <w:szCs w:val="18"/>
        </w:rPr>
        <w:footnoteRef/>
      </w:r>
      <w:r w:rsidRPr="0021329F">
        <w:rPr>
          <w:sz w:val="18"/>
          <w:szCs w:val="18"/>
        </w:rPr>
        <w:t xml:space="preserve"> </w:t>
      </w:r>
      <w:r w:rsidRPr="0021329F">
        <w:rPr>
          <w:bCs/>
          <w:sz w:val="16"/>
          <w:szCs w:val="16"/>
        </w:rPr>
        <w:t>Intersectionality identifies an individual’s relevant characteristics and group memberships</w:t>
      </w:r>
      <w:r>
        <w:rPr>
          <w:bCs/>
          <w:sz w:val="16"/>
          <w:szCs w:val="16"/>
        </w:rPr>
        <w:t>. F</w:t>
      </w:r>
      <w:r w:rsidRPr="0021329F">
        <w:rPr>
          <w:bCs/>
          <w:sz w:val="16"/>
          <w:szCs w:val="16"/>
        </w:rPr>
        <w:t>or example</w:t>
      </w:r>
      <w:r>
        <w:rPr>
          <w:bCs/>
          <w:sz w:val="16"/>
          <w:szCs w:val="16"/>
        </w:rPr>
        <w:t>:</w:t>
      </w:r>
      <w:r w:rsidRPr="0021329F">
        <w:rPr>
          <w:sz w:val="16"/>
          <w:szCs w:val="16"/>
        </w:rPr>
        <w:t xml:space="preserve"> </w:t>
      </w:r>
      <w:r w:rsidRPr="0021329F">
        <w:rPr>
          <w:rStyle w:val="Strong"/>
          <w:b w:val="0"/>
          <w:sz w:val="16"/>
          <w:szCs w:val="16"/>
        </w:rPr>
        <w:t>women, people with disability, Aboriginal and Torres Strait Islander peoples, culturally and linguistically diverse groups, LGBTIQ+ community, young people, older people, and rural and remote communities. Intersectionality shows that employees have their own unique experiences of discrimination</w:t>
      </w:r>
      <w:r>
        <w:rPr>
          <w:rStyle w:val="Strong"/>
          <w:b w:val="0"/>
          <w:sz w:val="16"/>
          <w:szCs w:val="16"/>
        </w:rPr>
        <w:t>,</w:t>
      </w:r>
      <w:r w:rsidRPr="0021329F">
        <w:rPr>
          <w:rStyle w:val="Strong"/>
          <w:b w:val="0"/>
          <w:sz w:val="16"/>
          <w:szCs w:val="16"/>
        </w:rPr>
        <w:t xml:space="preserve"> which can impact on their domestic and family violence risk and their opportunities to take action and access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F390" w14:textId="3ACE7962" w:rsidR="00DA4879" w:rsidRDefault="00DA4879">
    <w:pPr>
      <w:pStyle w:val="Header"/>
    </w:pPr>
    <w:r>
      <w:rPr>
        <w:noProof/>
      </w:rPr>
      <w:drawing>
        <wp:anchor distT="0" distB="0" distL="114300" distR="114300" simplePos="0" relativeHeight="251666432" behindDoc="1" locked="0" layoutInCell="1" allowOverlap="1" wp14:anchorId="719FDFED" wp14:editId="5F0BF344">
          <wp:simplePos x="0" y="0"/>
          <wp:positionH relativeFrom="page">
            <wp:align>right</wp:align>
          </wp:positionH>
          <wp:positionV relativeFrom="page">
            <wp:posOffset>-174625</wp:posOffset>
          </wp:positionV>
          <wp:extent cx="10700426" cy="1640925"/>
          <wp:effectExtent l="0" t="0" r="5715" b="0"/>
          <wp:wrapTopAndBottom/>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PC6947 DAFV2019 Word template A4L header.jpg"/>
                  <pic:cNvPicPr/>
                </pic:nvPicPr>
                <pic:blipFill>
                  <a:blip r:embed="rId1">
                    <a:extLst>
                      <a:ext uri="{28A0092B-C50C-407E-A947-70E740481C1C}">
                        <a14:useLocalDpi xmlns:a14="http://schemas.microsoft.com/office/drawing/2010/main" val="0"/>
                      </a:ext>
                    </a:extLst>
                  </a:blip>
                  <a:stretch>
                    <a:fillRect/>
                  </a:stretch>
                </pic:blipFill>
                <pic:spPr>
                  <a:xfrm>
                    <a:off x="0" y="0"/>
                    <a:ext cx="10700426" cy="1640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B923" w14:textId="63EFC7BF" w:rsidR="00DA4879" w:rsidRDefault="000D0EF0">
    <w:pPr>
      <w:pStyle w:val="Header"/>
    </w:pPr>
    <w:r>
      <w:rPr>
        <w:noProof/>
      </w:rPr>
      <w:drawing>
        <wp:anchor distT="0" distB="0" distL="114300" distR="114300" simplePos="0" relativeHeight="251668480" behindDoc="1" locked="1" layoutInCell="1" allowOverlap="1" wp14:anchorId="00CED46A" wp14:editId="0592FED0">
          <wp:simplePos x="0" y="0"/>
          <wp:positionH relativeFrom="page">
            <wp:posOffset>8255</wp:posOffset>
          </wp:positionH>
          <wp:positionV relativeFrom="page">
            <wp:posOffset>8890</wp:posOffset>
          </wp:positionV>
          <wp:extent cx="7559675" cy="10699115"/>
          <wp:effectExtent l="0" t="0" r="3175" b="0"/>
          <wp:wrapNone/>
          <wp:docPr id="2" name="Picture 2"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nburst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75CB" w14:textId="7BBF94AD" w:rsidR="00DA4879" w:rsidRDefault="00DA48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8BB0" w14:textId="3875014C" w:rsidR="00DA4879" w:rsidRDefault="00DA48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E16B" w14:textId="77777777" w:rsidR="00DA4879" w:rsidRDefault="00DA4879">
    <w:pPr>
      <w:pStyle w:val="Header"/>
    </w:pPr>
    <w:r>
      <w:rPr>
        <w:noProof/>
      </w:rPr>
      <w:drawing>
        <wp:anchor distT="0" distB="0" distL="114300" distR="114300" simplePos="0" relativeHeight="251665407" behindDoc="1" locked="0" layoutInCell="1" allowOverlap="1" wp14:anchorId="4F081E79" wp14:editId="0A9C68E7">
          <wp:simplePos x="0" y="0"/>
          <wp:positionH relativeFrom="page">
            <wp:posOffset>6824</wp:posOffset>
          </wp:positionH>
          <wp:positionV relativeFrom="page">
            <wp:posOffset>6824</wp:posOffset>
          </wp:positionV>
          <wp:extent cx="15105785" cy="2115403"/>
          <wp:effectExtent l="0" t="0" r="127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C6947 DAFV Word template A3L header.jpg"/>
                  <pic:cNvPicPr/>
                </pic:nvPicPr>
                <pic:blipFill rotWithShape="1">
                  <a:blip r:embed="rId1">
                    <a:alphaModFix/>
                    <a:extLst>
                      <a:ext uri="{28A0092B-C50C-407E-A947-70E740481C1C}">
                        <a14:useLocalDpi xmlns:a14="http://schemas.microsoft.com/office/drawing/2010/main" val="0"/>
                      </a:ext>
                    </a:extLst>
                  </a:blip>
                  <a:srcRect b="9376"/>
                  <a:stretch/>
                </pic:blipFill>
                <pic:spPr bwMode="auto">
                  <a:xfrm>
                    <a:off x="0" y="0"/>
                    <a:ext cx="15108231" cy="21157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317A" w14:textId="1994B61F" w:rsidR="00DA4879" w:rsidRDefault="00DA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7C7A"/>
    <w:multiLevelType w:val="hybridMultilevel"/>
    <w:tmpl w:val="9F1C960A"/>
    <w:lvl w:ilvl="0" w:tplc="83E8D326">
      <w:start w:val="1"/>
      <w:numFmt w:val="bullet"/>
      <w:pStyle w:val="PSC-Bullets2"/>
      <w:lvlText w:val="·"/>
      <w:lvlJc w:val="left"/>
      <w:pPr>
        <w:ind w:left="720" w:hanging="360"/>
      </w:pPr>
      <w:rPr>
        <w:rFonts w:ascii="Symbol" w:hAnsi="Symbol" w:cs="Symbol" w:hint="default"/>
        <w:b/>
        <w:i w:val="0"/>
        <w:color w:val="A4489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2E43121"/>
    <w:multiLevelType w:val="hybridMultilevel"/>
    <w:tmpl w:val="DE9EE1D6"/>
    <w:lvl w:ilvl="0" w:tplc="932ED4D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AB32B0"/>
    <w:multiLevelType w:val="hybridMultilevel"/>
    <w:tmpl w:val="95880074"/>
    <w:lvl w:ilvl="0" w:tplc="04090001">
      <w:start w:val="1"/>
      <w:numFmt w:val="bullet"/>
      <w:pStyle w:val="Table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5642530">
    <w:abstractNumId w:val="0"/>
  </w:num>
  <w:num w:numId="2" w16cid:durableId="1740202376">
    <w:abstractNumId w:val="0"/>
  </w:num>
  <w:num w:numId="3" w16cid:durableId="1632905207">
    <w:abstractNumId w:val="2"/>
  </w:num>
  <w:num w:numId="4" w16cid:durableId="154803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B3A"/>
    <w:rsid w:val="000766E3"/>
    <w:rsid w:val="000D0EF0"/>
    <w:rsid w:val="00104F6B"/>
    <w:rsid w:val="0017024D"/>
    <w:rsid w:val="00174668"/>
    <w:rsid w:val="001C4522"/>
    <w:rsid w:val="001D128C"/>
    <w:rsid w:val="001F1DCE"/>
    <w:rsid w:val="002474F6"/>
    <w:rsid w:val="002608F0"/>
    <w:rsid w:val="0026611E"/>
    <w:rsid w:val="002A2148"/>
    <w:rsid w:val="002B74F6"/>
    <w:rsid w:val="002E47FF"/>
    <w:rsid w:val="0032379A"/>
    <w:rsid w:val="0032592F"/>
    <w:rsid w:val="00371AED"/>
    <w:rsid w:val="0039182F"/>
    <w:rsid w:val="003E0A85"/>
    <w:rsid w:val="003F3D03"/>
    <w:rsid w:val="00400D82"/>
    <w:rsid w:val="00424180"/>
    <w:rsid w:val="004319AF"/>
    <w:rsid w:val="00456AE7"/>
    <w:rsid w:val="004C20E0"/>
    <w:rsid w:val="00506682"/>
    <w:rsid w:val="005C1C73"/>
    <w:rsid w:val="005C254B"/>
    <w:rsid w:val="005E2552"/>
    <w:rsid w:val="00602BF6"/>
    <w:rsid w:val="00614B54"/>
    <w:rsid w:val="00633E15"/>
    <w:rsid w:val="006934A4"/>
    <w:rsid w:val="006B214C"/>
    <w:rsid w:val="006E446C"/>
    <w:rsid w:val="006E5E41"/>
    <w:rsid w:val="006E5F52"/>
    <w:rsid w:val="0070108E"/>
    <w:rsid w:val="007B2CA8"/>
    <w:rsid w:val="007B4C33"/>
    <w:rsid w:val="007B76F1"/>
    <w:rsid w:val="00806BE8"/>
    <w:rsid w:val="00844B3A"/>
    <w:rsid w:val="008650E0"/>
    <w:rsid w:val="008A7A94"/>
    <w:rsid w:val="008E09A6"/>
    <w:rsid w:val="00922FF5"/>
    <w:rsid w:val="00971CA8"/>
    <w:rsid w:val="00A50337"/>
    <w:rsid w:val="00A57A9B"/>
    <w:rsid w:val="00A65285"/>
    <w:rsid w:val="00A971BD"/>
    <w:rsid w:val="00AF64DD"/>
    <w:rsid w:val="00B05CBF"/>
    <w:rsid w:val="00B327BE"/>
    <w:rsid w:val="00B56E4C"/>
    <w:rsid w:val="00BA70F6"/>
    <w:rsid w:val="00BB7EDD"/>
    <w:rsid w:val="00BC1F86"/>
    <w:rsid w:val="00C475D3"/>
    <w:rsid w:val="00D04293"/>
    <w:rsid w:val="00D4405D"/>
    <w:rsid w:val="00D63DCF"/>
    <w:rsid w:val="00D80227"/>
    <w:rsid w:val="00DA4879"/>
    <w:rsid w:val="00DE1E15"/>
    <w:rsid w:val="00DE1F4F"/>
    <w:rsid w:val="00E02527"/>
    <w:rsid w:val="00E10B97"/>
    <w:rsid w:val="00E34D82"/>
    <w:rsid w:val="00E46E83"/>
    <w:rsid w:val="00E4761D"/>
    <w:rsid w:val="00E54B09"/>
    <w:rsid w:val="00E5680A"/>
    <w:rsid w:val="00E66D5C"/>
    <w:rsid w:val="00EB7C60"/>
    <w:rsid w:val="00ED69E1"/>
    <w:rsid w:val="00F113A3"/>
    <w:rsid w:val="00F12102"/>
    <w:rsid w:val="00F33F4E"/>
    <w:rsid w:val="00F8669A"/>
    <w:rsid w:val="00FA4A69"/>
    <w:rsid w:val="00FB2529"/>
    <w:rsid w:val="00FB2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E2EA9"/>
  <w14:defaultImageDpi w14:val="32767"/>
  <w15:chartTrackingRefBased/>
  <w15:docId w15:val="{1819804A-57A0-46EC-9DED-A9D1D238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4B3A"/>
    <w:pPr>
      <w:spacing w:after="120" w:line="264" w:lineRule="auto"/>
    </w:pPr>
    <w:rPr>
      <w:rFonts w:ascii="Arial" w:hAnsi="Arial"/>
      <w:sz w:val="20"/>
    </w:rPr>
  </w:style>
  <w:style w:type="paragraph" w:styleId="Heading1">
    <w:name w:val="heading 1"/>
    <w:basedOn w:val="Normal"/>
    <w:next w:val="Normal"/>
    <w:link w:val="Heading1Char"/>
    <w:autoRedefine/>
    <w:uiPriority w:val="9"/>
    <w:qFormat/>
    <w:rsid w:val="003E0A85"/>
    <w:pPr>
      <w:keepNext/>
      <w:keepLines/>
      <w:ind w:left="851" w:hanging="851"/>
      <w:outlineLvl w:val="0"/>
    </w:pPr>
    <w:rPr>
      <w:rFonts w:eastAsiaTheme="majorEastAsia" w:cstheme="majorBidi"/>
      <w:color w:val="FFC000"/>
      <w:sz w:val="32"/>
      <w:szCs w:val="32"/>
    </w:rPr>
  </w:style>
  <w:style w:type="paragraph" w:styleId="Heading2">
    <w:name w:val="heading 2"/>
    <w:basedOn w:val="Normal"/>
    <w:next w:val="Normal"/>
    <w:link w:val="Heading2Char"/>
    <w:uiPriority w:val="9"/>
    <w:unhideWhenUsed/>
    <w:qFormat/>
    <w:rsid w:val="00F8669A"/>
    <w:pPr>
      <w:keepNext/>
      <w:keepLines/>
      <w:spacing w:before="40"/>
      <w:outlineLvl w:val="1"/>
    </w:pPr>
    <w:rPr>
      <w:rFonts w:eastAsiaTheme="majorEastAsia" w:cstheme="majorBidi"/>
      <w:color w:val="DA56C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4DD"/>
    <w:pPr>
      <w:tabs>
        <w:tab w:val="center" w:pos="4513"/>
        <w:tab w:val="right" w:pos="9026"/>
      </w:tabs>
    </w:pPr>
  </w:style>
  <w:style w:type="character" w:customStyle="1" w:styleId="HeaderChar">
    <w:name w:val="Header Char"/>
    <w:basedOn w:val="DefaultParagraphFont"/>
    <w:link w:val="Header"/>
    <w:uiPriority w:val="99"/>
    <w:rsid w:val="00AF64DD"/>
  </w:style>
  <w:style w:type="paragraph" w:styleId="Footer">
    <w:name w:val="footer"/>
    <w:basedOn w:val="Normal"/>
    <w:link w:val="FooterChar"/>
    <w:uiPriority w:val="99"/>
    <w:unhideWhenUsed/>
    <w:rsid w:val="00AF64DD"/>
    <w:pPr>
      <w:tabs>
        <w:tab w:val="center" w:pos="4513"/>
        <w:tab w:val="right" w:pos="9026"/>
      </w:tabs>
    </w:pPr>
  </w:style>
  <w:style w:type="character" w:customStyle="1" w:styleId="FooterChar">
    <w:name w:val="Footer Char"/>
    <w:basedOn w:val="DefaultParagraphFont"/>
    <w:link w:val="Footer"/>
    <w:uiPriority w:val="99"/>
    <w:rsid w:val="00AF64DD"/>
  </w:style>
  <w:style w:type="paragraph" w:styleId="Revision">
    <w:name w:val="Revision"/>
    <w:hidden/>
    <w:uiPriority w:val="99"/>
    <w:semiHidden/>
    <w:rsid w:val="002474F6"/>
  </w:style>
  <w:style w:type="character" w:customStyle="1" w:styleId="Heading1Char">
    <w:name w:val="Heading 1 Char"/>
    <w:basedOn w:val="DefaultParagraphFont"/>
    <w:link w:val="Heading1"/>
    <w:uiPriority w:val="9"/>
    <w:rsid w:val="003E0A85"/>
    <w:rPr>
      <w:rFonts w:ascii="Arial" w:eastAsiaTheme="majorEastAsia" w:hAnsi="Arial" w:cstheme="majorBidi"/>
      <w:color w:val="FFC000"/>
      <w:sz w:val="32"/>
      <w:szCs w:val="32"/>
    </w:rPr>
  </w:style>
  <w:style w:type="character" w:styleId="PageNumber">
    <w:name w:val="page number"/>
    <w:basedOn w:val="DefaultParagraphFont"/>
    <w:uiPriority w:val="99"/>
    <w:semiHidden/>
    <w:unhideWhenUsed/>
    <w:rsid w:val="002474F6"/>
  </w:style>
  <w:style w:type="paragraph" w:styleId="NoSpacing">
    <w:name w:val="No Spacing"/>
    <w:basedOn w:val="Normal"/>
    <w:link w:val="NoSpacingChar"/>
    <w:uiPriority w:val="1"/>
    <w:qFormat/>
    <w:rsid w:val="00F8669A"/>
    <w:rPr>
      <w:rFonts w:eastAsiaTheme="minorEastAsia"/>
      <w:szCs w:val="22"/>
      <w:lang w:val="en-US" w:eastAsia="zh-CN"/>
    </w:rPr>
  </w:style>
  <w:style w:type="character" w:customStyle="1" w:styleId="NoSpacingChar">
    <w:name w:val="No Spacing Char"/>
    <w:basedOn w:val="DefaultParagraphFont"/>
    <w:link w:val="NoSpacing"/>
    <w:uiPriority w:val="1"/>
    <w:rsid w:val="00F8669A"/>
    <w:rPr>
      <w:rFonts w:ascii="Arial Unicode MS" w:eastAsiaTheme="minorEastAsia" w:hAnsi="Arial Unicode MS"/>
      <w:sz w:val="20"/>
      <w:szCs w:val="22"/>
      <w:lang w:val="en-US" w:eastAsia="zh-CN"/>
    </w:rPr>
  </w:style>
  <w:style w:type="character" w:customStyle="1" w:styleId="Heading2Char">
    <w:name w:val="Heading 2 Char"/>
    <w:basedOn w:val="DefaultParagraphFont"/>
    <w:link w:val="Heading2"/>
    <w:uiPriority w:val="9"/>
    <w:rsid w:val="00F8669A"/>
    <w:rPr>
      <w:rFonts w:ascii="Arial Unicode MS" w:eastAsiaTheme="majorEastAsia" w:hAnsi="Arial Unicode MS" w:cstheme="majorBidi"/>
      <w:color w:val="DA56CD"/>
      <w:sz w:val="26"/>
      <w:szCs w:val="26"/>
    </w:rPr>
  </w:style>
  <w:style w:type="paragraph" w:styleId="BalloonText">
    <w:name w:val="Balloon Text"/>
    <w:basedOn w:val="Normal"/>
    <w:link w:val="BalloonTextChar"/>
    <w:uiPriority w:val="99"/>
    <w:semiHidden/>
    <w:unhideWhenUsed/>
    <w:rsid w:val="001702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024D"/>
    <w:rPr>
      <w:rFonts w:ascii="Times New Roman" w:hAnsi="Times New Roman" w:cs="Times New Roman"/>
      <w:sz w:val="18"/>
      <w:szCs w:val="18"/>
    </w:rPr>
  </w:style>
  <w:style w:type="paragraph" w:customStyle="1" w:styleId="PSC-Heading2">
    <w:name w:val="PSC - Heading 2"/>
    <w:basedOn w:val="Normal"/>
    <w:qFormat/>
    <w:rsid w:val="00844B3A"/>
    <w:pPr>
      <w:spacing w:before="240"/>
    </w:pPr>
    <w:rPr>
      <w:rFonts w:cs="Arial"/>
      <w:color w:val="554596"/>
      <w:sz w:val="28"/>
      <w:lang w:val="en-AU"/>
    </w:rPr>
  </w:style>
  <w:style w:type="paragraph" w:customStyle="1" w:styleId="PSC-Bullets2">
    <w:name w:val="PSC - Bullets #2"/>
    <w:basedOn w:val="ListParagraph"/>
    <w:qFormat/>
    <w:rsid w:val="000D0EF0"/>
    <w:pPr>
      <w:numPr>
        <w:numId w:val="1"/>
      </w:numPr>
      <w:ind w:left="426" w:hanging="284"/>
      <w:contextualSpacing w:val="0"/>
    </w:pPr>
    <w:rPr>
      <w:rFonts w:cs="Arial"/>
      <w:szCs w:val="22"/>
      <w:lang w:val="en-AU"/>
    </w:rPr>
  </w:style>
  <w:style w:type="paragraph" w:styleId="FootnoteText">
    <w:name w:val="footnote text"/>
    <w:basedOn w:val="Normal"/>
    <w:link w:val="FootnoteTextChar"/>
    <w:uiPriority w:val="99"/>
    <w:unhideWhenUsed/>
    <w:rsid w:val="00844B3A"/>
    <w:rPr>
      <w:rFonts w:cs="Arial"/>
      <w:szCs w:val="20"/>
      <w:lang w:val="en-AU"/>
    </w:rPr>
  </w:style>
  <w:style w:type="character" w:customStyle="1" w:styleId="FootnoteTextChar">
    <w:name w:val="Footnote Text Char"/>
    <w:basedOn w:val="DefaultParagraphFont"/>
    <w:link w:val="FootnoteText"/>
    <w:uiPriority w:val="99"/>
    <w:rsid w:val="00844B3A"/>
    <w:rPr>
      <w:rFonts w:ascii="Arial" w:hAnsi="Arial" w:cs="Arial"/>
      <w:sz w:val="20"/>
      <w:szCs w:val="20"/>
      <w:lang w:val="en-AU"/>
    </w:rPr>
  </w:style>
  <w:style w:type="character" w:styleId="FootnoteReference">
    <w:name w:val="footnote reference"/>
    <w:basedOn w:val="DefaultParagraphFont"/>
    <w:uiPriority w:val="99"/>
    <w:semiHidden/>
    <w:unhideWhenUsed/>
    <w:rsid w:val="00844B3A"/>
    <w:rPr>
      <w:vertAlign w:val="superscript"/>
    </w:rPr>
  </w:style>
  <w:style w:type="character" w:styleId="Hyperlink">
    <w:name w:val="Hyperlink"/>
    <w:basedOn w:val="DefaultParagraphFont"/>
    <w:uiPriority w:val="99"/>
    <w:unhideWhenUsed/>
    <w:rsid w:val="00844B3A"/>
    <w:rPr>
      <w:color w:val="0563C1" w:themeColor="hyperlink"/>
      <w:u w:val="single"/>
    </w:rPr>
  </w:style>
  <w:style w:type="character" w:styleId="CommentReference">
    <w:name w:val="annotation reference"/>
    <w:basedOn w:val="DefaultParagraphFont"/>
    <w:uiPriority w:val="99"/>
    <w:semiHidden/>
    <w:unhideWhenUsed/>
    <w:rsid w:val="00844B3A"/>
    <w:rPr>
      <w:sz w:val="16"/>
      <w:szCs w:val="16"/>
    </w:rPr>
  </w:style>
  <w:style w:type="character" w:styleId="Strong">
    <w:name w:val="Strong"/>
    <w:basedOn w:val="DefaultParagraphFont"/>
    <w:uiPriority w:val="22"/>
    <w:qFormat/>
    <w:rsid w:val="00844B3A"/>
    <w:rPr>
      <w:rFonts w:ascii="Arial" w:hAnsi="Arial"/>
      <w:b/>
      <w:bCs/>
      <w:sz w:val="22"/>
    </w:rPr>
  </w:style>
  <w:style w:type="paragraph" w:styleId="ListParagraph">
    <w:name w:val="List Paragraph"/>
    <w:basedOn w:val="Normal"/>
    <w:uiPriority w:val="34"/>
    <w:qFormat/>
    <w:rsid w:val="00844B3A"/>
    <w:pPr>
      <w:ind w:left="720"/>
      <w:contextualSpacing/>
    </w:pPr>
  </w:style>
  <w:style w:type="table" w:styleId="TableGrid">
    <w:name w:val="Table Grid"/>
    <w:basedOn w:val="TableNormal"/>
    <w:uiPriority w:val="39"/>
    <w:rsid w:val="0084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C-Heading1">
    <w:name w:val="PSC - Heading 1"/>
    <w:basedOn w:val="Normal"/>
    <w:qFormat/>
    <w:rsid w:val="003F3D03"/>
    <w:pPr>
      <w:spacing w:before="120"/>
    </w:pPr>
    <w:rPr>
      <w:rFonts w:cs="Arial"/>
      <w:color w:val="A44895"/>
      <w:sz w:val="32"/>
      <w:szCs w:val="28"/>
      <w:lang w:val="en-AU"/>
    </w:rPr>
  </w:style>
  <w:style w:type="paragraph" w:customStyle="1" w:styleId="Tablebulletlist">
    <w:name w:val="Table bullet list"/>
    <w:basedOn w:val="PSC-Bullets2"/>
    <w:link w:val="TablebulletlistChar"/>
    <w:qFormat/>
    <w:rsid w:val="003F3D03"/>
    <w:pPr>
      <w:numPr>
        <w:numId w:val="3"/>
      </w:numPr>
      <w:spacing w:before="120" w:line="240" w:lineRule="auto"/>
      <w:ind w:left="211" w:hanging="211"/>
    </w:pPr>
    <w:rPr>
      <w:sz w:val="18"/>
      <w:szCs w:val="18"/>
    </w:rPr>
  </w:style>
  <w:style w:type="character" w:customStyle="1" w:styleId="TablebulletlistChar">
    <w:name w:val="Table bullet list Char"/>
    <w:basedOn w:val="DefaultParagraphFont"/>
    <w:link w:val="Tablebulletlist"/>
    <w:rsid w:val="003F3D03"/>
    <w:rPr>
      <w:rFonts w:ascii="Arial" w:hAnsi="Arial" w:cs="Arial"/>
      <w:sz w:val="18"/>
      <w:szCs w:val="18"/>
      <w:lang w:val="en-AU"/>
    </w:rPr>
  </w:style>
  <w:style w:type="paragraph" w:styleId="CommentText">
    <w:name w:val="annotation text"/>
    <w:basedOn w:val="Normal"/>
    <w:link w:val="CommentTextChar"/>
    <w:uiPriority w:val="99"/>
    <w:semiHidden/>
    <w:unhideWhenUsed/>
    <w:rsid w:val="00DA4879"/>
    <w:pPr>
      <w:spacing w:line="240" w:lineRule="auto"/>
    </w:pPr>
    <w:rPr>
      <w:szCs w:val="20"/>
    </w:rPr>
  </w:style>
  <w:style w:type="character" w:customStyle="1" w:styleId="CommentTextChar">
    <w:name w:val="Comment Text Char"/>
    <w:basedOn w:val="DefaultParagraphFont"/>
    <w:link w:val="CommentText"/>
    <w:uiPriority w:val="99"/>
    <w:semiHidden/>
    <w:rsid w:val="00DA48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A4879"/>
    <w:rPr>
      <w:b/>
      <w:bCs/>
    </w:rPr>
  </w:style>
  <w:style w:type="character" w:customStyle="1" w:styleId="CommentSubjectChar">
    <w:name w:val="Comment Subject Char"/>
    <w:basedOn w:val="CommentTextChar"/>
    <w:link w:val="CommentSubject"/>
    <w:uiPriority w:val="99"/>
    <w:semiHidden/>
    <w:rsid w:val="00DA487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gov.qld.gov.au/workplace-package-domestic-and-family-violence" TargetMode="External"/><Relationship Id="rId18" Type="http://schemas.openxmlformats.org/officeDocument/2006/relationships/image" Target="media/image5.png"/><Relationship Id="rId26" Type="http://schemas.openxmlformats.org/officeDocument/2006/relationships/hyperlink" Target="https://www.anrows.org.au/resources/" TargetMode="Externa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4.svg"/><Relationship Id="rId25" Type="http://schemas.openxmlformats.org/officeDocument/2006/relationships/hyperlink" Target="https://dfvbenchbook.aija.org.au/dynamics-of-domestic-and-family-violence/vulnerable-groups/" TargetMode="External"/><Relationship Id="rId33" Type="http://schemas.openxmlformats.org/officeDocument/2006/relationships/header" Target="header6.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forgov.qld.gov.au/file/31496/download?token=cYK7c_N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0.svg"/><Relationship Id="rId32" Type="http://schemas.openxmlformats.org/officeDocument/2006/relationships/footer" Target="footer4.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rgov.qld.gov.au/health-safety-and-wellbeing-workplaces" TargetMode="External"/><Relationship Id="rId23" Type="http://schemas.openxmlformats.org/officeDocument/2006/relationships/image" Target="media/image9.png"/><Relationship Id="rId28" Type="http://schemas.openxmlformats.org/officeDocument/2006/relationships/image" Target="media/image12.svg"/><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6.sv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qld.gov.au/community/getting-support-health-social-issue/support-victims-abuse/domestic-family-violence" TargetMode="External"/><Relationship Id="rId22" Type="http://schemas.openxmlformats.org/officeDocument/2006/relationships/image" Target="media/image8.svg"/><Relationship Id="rId27" Type="http://schemas.openxmlformats.org/officeDocument/2006/relationships/image" Target="media/image11.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ymaakerss\Downloads\a4-word-template-cover-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0" ma:contentTypeDescription="Create a new document." ma:contentTypeScope="" ma:versionID="a36270075abd2566fc6c1496d81333f1">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b2da67fb77a01877179cda38a086166b"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jectmatterexpert xmlns="42f71f86-2bc3-4eda-a5e7-ed52d7073a80" xsi:nil="true"/>
    <link0 xmlns="42f71f86-2bc3-4eda-a5e7-ed52d7073a80">
      <Url xsi:nil="true"/>
      <Description xsi:nil="true"/>
    </link0>
    <Link xmlns="42f71f86-2bc3-4eda-a5e7-ed52d7073a80">
      <Url xsi:nil="true"/>
      <Description xsi:nil="true"/>
    </Link>
    <lcf76f155ced4ddcb4097134ff3c332f xmlns="42f71f86-2bc3-4eda-a5e7-ed52d7073a80">
      <Terms xmlns="http://schemas.microsoft.com/office/infopath/2007/PartnerControls"/>
    </lcf76f155ced4ddcb4097134ff3c332f>
    <TaxCatchAll xmlns="fd5a31b8-7943-496c-9bf2-dda18d38b62a" xsi:nil="true"/>
  </documentManagement>
</p:properties>
</file>

<file path=customXml/itemProps1.xml><?xml version="1.0" encoding="utf-8"?>
<ds:datastoreItem xmlns:ds="http://schemas.openxmlformats.org/officeDocument/2006/customXml" ds:itemID="{D5D8621D-93B0-47CB-A549-0172837AAB27}">
  <ds:schemaRefs>
    <ds:schemaRef ds:uri="http://schemas.openxmlformats.org/officeDocument/2006/bibliography"/>
  </ds:schemaRefs>
</ds:datastoreItem>
</file>

<file path=customXml/itemProps2.xml><?xml version="1.0" encoding="utf-8"?>
<ds:datastoreItem xmlns:ds="http://schemas.openxmlformats.org/officeDocument/2006/customXml" ds:itemID="{DDE93416-ACB2-4367-98A7-A37ACE805357}"/>
</file>

<file path=customXml/itemProps3.xml><?xml version="1.0" encoding="utf-8"?>
<ds:datastoreItem xmlns:ds="http://schemas.openxmlformats.org/officeDocument/2006/customXml" ds:itemID="{C25B0B11-0135-40E5-9BC7-53A993DE1C3C}"/>
</file>

<file path=customXml/itemProps4.xml><?xml version="1.0" encoding="utf-8"?>
<ds:datastoreItem xmlns:ds="http://schemas.openxmlformats.org/officeDocument/2006/customXml" ds:itemID="{832DA062-AEA1-4234-AA9F-8F56717DB4D4}"/>
</file>

<file path=docProps/app.xml><?xml version="1.0" encoding="utf-8"?>
<Properties xmlns="http://schemas.openxmlformats.org/officeDocument/2006/extended-properties" xmlns:vt="http://schemas.openxmlformats.org/officeDocument/2006/docPropsVTypes">
  <Template>a4-word-template-cover-portrait.dotx</Template>
  <TotalTime>8</TotalTime>
  <Pages>8</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domestic and family violence risk and workplace safety planning for employees</dc:title>
  <dc:subject/>
  <dc:creator>Queensland Public Service Commission</dc:creator>
  <cp:keywords>DFV, domestic and family violence, risk planning, workplace safety, employees, Queensland Government, Queensland public sector</cp:keywords>
  <dc:description/>
  <cp:lastModifiedBy>Ben Toussaint</cp:lastModifiedBy>
  <cp:revision>2</cp:revision>
  <cp:lastPrinted>2017-09-29T05:09:00Z</cp:lastPrinted>
  <dcterms:created xsi:type="dcterms:W3CDTF">2023-08-07T02:34:00Z</dcterms:created>
  <dcterms:modified xsi:type="dcterms:W3CDTF">2023-08-07T02:34:00Z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ies>
</file>