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35C13CAE" w:rsidR="00AF090D" w:rsidRPr="00486E44" w:rsidRDefault="00486E44" w:rsidP="00486E44">
      <w:pPr>
        <w:pStyle w:val="Title"/>
        <w:rPr>
          <w:rStyle w:val="SubtleEmphasis"/>
          <w:rFonts w:ascii="Arial Nova" w:hAnsi="Arial Nova"/>
          <w:b w:val="0"/>
          <w:bCs/>
          <w:i w:val="0"/>
          <w:iCs w:val="0"/>
          <w:color w:val="FFFFFF" w:themeColor="background1"/>
          <w:sz w:val="56"/>
        </w:rPr>
      </w:pPr>
      <w:r>
        <w:rPr>
          <w:rFonts w:ascii="Arial Nova" w:hAnsi="Arial Nova"/>
          <w:bCs/>
        </w:rPr>
        <w:t>Sustainable procurement guide: Business machines</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6ECD9B68" w14:textId="77777777" w:rsidR="00486E44" w:rsidRDefault="00486E44" w:rsidP="00486E44">
      <w:pPr>
        <w:ind w:left="360"/>
        <w:rPr>
          <w:b/>
          <w:i/>
          <w:sz w:val="18"/>
        </w:rPr>
      </w:pPr>
    </w:p>
    <w:p w14:paraId="60CFE4C2" w14:textId="77777777" w:rsidR="00486E44" w:rsidRDefault="00486E44" w:rsidP="00486E44">
      <w:pPr>
        <w:ind w:left="360"/>
        <w:rPr>
          <w:b/>
          <w:i/>
          <w:sz w:val="18"/>
        </w:rPr>
      </w:pPr>
    </w:p>
    <w:p w14:paraId="2287C99C" w14:textId="77777777" w:rsidR="00486E44" w:rsidRDefault="00486E44" w:rsidP="00486E44">
      <w:pPr>
        <w:ind w:left="360"/>
        <w:rPr>
          <w:b/>
          <w:i/>
          <w:sz w:val="18"/>
        </w:rPr>
      </w:pPr>
    </w:p>
    <w:p w14:paraId="4E4E2510" w14:textId="77777777" w:rsidR="00486E44" w:rsidRDefault="00486E44" w:rsidP="00486E44">
      <w:pPr>
        <w:ind w:left="360"/>
        <w:rPr>
          <w:b/>
          <w:i/>
          <w:sz w:val="18"/>
        </w:rPr>
      </w:pPr>
    </w:p>
    <w:p w14:paraId="26F0A3EA" w14:textId="77777777" w:rsidR="00486E44" w:rsidRDefault="00486E44" w:rsidP="00486E44">
      <w:pPr>
        <w:ind w:left="360"/>
        <w:rPr>
          <w:b/>
          <w:i/>
          <w:sz w:val="18"/>
        </w:rPr>
      </w:pPr>
    </w:p>
    <w:p w14:paraId="78CD1E52" w14:textId="77777777" w:rsidR="00486E44" w:rsidRDefault="00486E44" w:rsidP="00486E44">
      <w:pPr>
        <w:ind w:left="360"/>
        <w:rPr>
          <w:b/>
          <w:i/>
          <w:sz w:val="18"/>
        </w:rPr>
      </w:pPr>
    </w:p>
    <w:p w14:paraId="70113994" w14:textId="77777777" w:rsidR="00486E44" w:rsidRDefault="00486E44" w:rsidP="00486E44">
      <w:pPr>
        <w:ind w:left="360"/>
        <w:rPr>
          <w:b/>
          <w:i/>
          <w:sz w:val="18"/>
        </w:rPr>
      </w:pPr>
    </w:p>
    <w:p w14:paraId="5FDAE477" w14:textId="77777777" w:rsidR="00486E44" w:rsidRDefault="00486E44" w:rsidP="00486E44">
      <w:pPr>
        <w:ind w:left="360"/>
        <w:rPr>
          <w:b/>
          <w:i/>
          <w:sz w:val="18"/>
        </w:rPr>
      </w:pPr>
    </w:p>
    <w:p w14:paraId="6B7B9340" w14:textId="77777777" w:rsidR="00486E44" w:rsidRDefault="00486E44" w:rsidP="00486E44">
      <w:pPr>
        <w:ind w:left="360"/>
        <w:rPr>
          <w:b/>
          <w:i/>
          <w:sz w:val="18"/>
        </w:rPr>
      </w:pPr>
    </w:p>
    <w:p w14:paraId="7ECCFF46" w14:textId="77777777" w:rsidR="00486E44" w:rsidRDefault="00486E44" w:rsidP="00486E44">
      <w:pPr>
        <w:ind w:left="360"/>
        <w:rPr>
          <w:b/>
          <w:i/>
          <w:sz w:val="18"/>
        </w:rPr>
      </w:pPr>
    </w:p>
    <w:p w14:paraId="196A188B" w14:textId="77777777" w:rsidR="00486E44" w:rsidRDefault="00486E44" w:rsidP="00486E44">
      <w:pPr>
        <w:ind w:left="360"/>
        <w:rPr>
          <w:b/>
          <w:i/>
          <w:sz w:val="18"/>
        </w:rPr>
      </w:pPr>
    </w:p>
    <w:p w14:paraId="163C4692" w14:textId="77777777" w:rsidR="00486E44" w:rsidRDefault="00486E44" w:rsidP="00486E44">
      <w:pPr>
        <w:ind w:left="360"/>
        <w:rPr>
          <w:b/>
          <w:i/>
          <w:sz w:val="18"/>
        </w:rPr>
      </w:pPr>
    </w:p>
    <w:p w14:paraId="216BF9C0" w14:textId="77777777" w:rsidR="00486E44" w:rsidRPr="00385067" w:rsidRDefault="00486E44" w:rsidP="00486E44">
      <w:pPr>
        <w:rPr>
          <w:b/>
          <w:i/>
          <w:sz w:val="18"/>
        </w:rPr>
      </w:pPr>
      <w:r>
        <w:rPr>
          <w:b/>
          <w:i/>
          <w:sz w:val="18"/>
        </w:rPr>
        <w:t>Sustainable procurement guide: Business machines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486E44" w14:paraId="49830A4A" w14:textId="77777777" w:rsidTr="006509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65902C2" w14:textId="77777777" w:rsidR="00486E44" w:rsidRDefault="00486E44" w:rsidP="006509D4">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FCB954E" w14:textId="77777777" w:rsidR="00486E44" w:rsidRDefault="00486E44" w:rsidP="006509D4">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02BC075" w14:textId="77777777" w:rsidR="00486E44" w:rsidRDefault="00486E44" w:rsidP="006509D4">
            <w:pPr>
              <w:jc w:val="center"/>
              <w:rPr>
                <w:rFonts w:cs="Arial"/>
              </w:rPr>
            </w:pPr>
            <w:r>
              <w:rPr>
                <w:rFonts w:cs="Arial"/>
                <w:b/>
                <w:bCs/>
                <w:color w:val="FFFFFF" w:themeColor="background1"/>
              </w:rPr>
              <w:t>Comments</w:t>
            </w:r>
          </w:p>
        </w:tc>
      </w:tr>
      <w:tr w:rsidR="00486E44" w:rsidRPr="00986344" w14:paraId="4E86B32B" w14:textId="77777777" w:rsidTr="006509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2EA528" w14:textId="77777777" w:rsidR="00486E44" w:rsidRPr="00CF48F4" w:rsidRDefault="00486E44" w:rsidP="006509D4">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F82B510" w14:textId="77777777" w:rsidR="00486E44" w:rsidRPr="00CF48F4" w:rsidRDefault="00486E44" w:rsidP="006509D4">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69163C" w14:textId="77777777" w:rsidR="00486E44" w:rsidRPr="00CF48F4" w:rsidRDefault="00486E44" w:rsidP="006509D4">
            <w:pPr>
              <w:rPr>
                <w:rFonts w:cs="Arial"/>
                <w:sz w:val="16"/>
                <w:szCs w:val="16"/>
              </w:rPr>
            </w:pPr>
            <w:r>
              <w:rPr>
                <w:rFonts w:cs="Arial"/>
                <w:sz w:val="16"/>
                <w:szCs w:val="16"/>
              </w:rPr>
              <w:t>Published</w:t>
            </w:r>
          </w:p>
        </w:tc>
      </w:tr>
      <w:tr w:rsidR="00486E44" w14:paraId="6F26BAE3" w14:textId="77777777" w:rsidTr="006509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0945B61" w14:textId="77777777" w:rsidR="00486E44" w:rsidRPr="006B61ED" w:rsidRDefault="00486E44" w:rsidP="006509D4">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825B25" w14:textId="77777777" w:rsidR="00486E44" w:rsidRDefault="00486E44" w:rsidP="006509D4">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1EFA284" w14:textId="77777777" w:rsidR="00486E44" w:rsidRDefault="00486E44" w:rsidP="006509D4">
            <w:pPr>
              <w:rPr>
                <w:rFonts w:cs="Arial"/>
                <w:sz w:val="16"/>
                <w:szCs w:val="16"/>
              </w:rPr>
            </w:pPr>
            <w:r>
              <w:rPr>
                <w:rFonts w:cs="Arial"/>
                <w:sz w:val="16"/>
                <w:szCs w:val="16"/>
              </w:rPr>
              <w:t>Minor updates made – highlights:</w:t>
            </w:r>
          </w:p>
          <w:p w14:paraId="613A5008" w14:textId="77777777" w:rsidR="00486E44" w:rsidRDefault="00486E44" w:rsidP="006509D4">
            <w:pPr>
              <w:pStyle w:val="ListParagraph"/>
              <w:numPr>
                <w:ilvl w:val="0"/>
                <w:numId w:val="39"/>
              </w:numPr>
              <w:spacing w:after="0"/>
              <w:rPr>
                <w:rFonts w:cs="Arial"/>
                <w:sz w:val="16"/>
                <w:szCs w:val="16"/>
              </w:rPr>
            </w:pPr>
            <w:r>
              <w:rPr>
                <w:rFonts w:cs="Arial"/>
                <w:sz w:val="16"/>
                <w:szCs w:val="16"/>
              </w:rPr>
              <w:t>DHPW corporate branding</w:t>
            </w:r>
          </w:p>
          <w:p w14:paraId="151D37F3" w14:textId="77777777" w:rsidR="00486E44" w:rsidRDefault="00486E44" w:rsidP="006509D4">
            <w:pPr>
              <w:pStyle w:val="ListParagraph"/>
              <w:numPr>
                <w:ilvl w:val="0"/>
                <w:numId w:val="39"/>
              </w:numPr>
              <w:spacing w:after="0"/>
              <w:rPr>
                <w:rFonts w:cs="Arial"/>
                <w:sz w:val="16"/>
                <w:szCs w:val="16"/>
              </w:rPr>
            </w:pPr>
            <w:r>
              <w:rPr>
                <w:rFonts w:cs="Arial"/>
                <w:sz w:val="16"/>
                <w:szCs w:val="16"/>
              </w:rPr>
              <w:t>Machinery-of-government changes</w:t>
            </w:r>
          </w:p>
          <w:p w14:paraId="1CF8251E" w14:textId="77777777" w:rsidR="00486E44" w:rsidRDefault="00486E44" w:rsidP="006509D4">
            <w:pPr>
              <w:pStyle w:val="ListParagraph"/>
              <w:numPr>
                <w:ilvl w:val="0"/>
                <w:numId w:val="39"/>
              </w:numPr>
              <w:spacing w:after="0"/>
              <w:rPr>
                <w:rFonts w:cs="Arial"/>
                <w:sz w:val="16"/>
                <w:szCs w:val="16"/>
              </w:rPr>
            </w:pPr>
            <w:r>
              <w:rPr>
                <w:rFonts w:cs="Arial"/>
                <w:sz w:val="16"/>
                <w:szCs w:val="16"/>
              </w:rPr>
              <w:t>Hyperlinks verified and updated or removed</w:t>
            </w:r>
          </w:p>
          <w:p w14:paraId="76B4C071" w14:textId="77777777" w:rsidR="00486E44" w:rsidRDefault="00486E44" w:rsidP="006509D4">
            <w:pPr>
              <w:pStyle w:val="ListParagraph"/>
              <w:numPr>
                <w:ilvl w:val="0"/>
                <w:numId w:val="39"/>
              </w:numPr>
              <w:spacing w:after="0"/>
              <w:rPr>
                <w:rFonts w:cs="Arial"/>
                <w:sz w:val="16"/>
                <w:szCs w:val="16"/>
              </w:rPr>
            </w:pPr>
            <w:r>
              <w:rPr>
                <w:rFonts w:cs="Arial"/>
                <w:sz w:val="16"/>
                <w:szCs w:val="16"/>
              </w:rPr>
              <w:t>Document date updated</w:t>
            </w:r>
          </w:p>
          <w:p w14:paraId="0F47B95F" w14:textId="77777777" w:rsidR="00486E44" w:rsidRDefault="00486E44" w:rsidP="006509D4">
            <w:pPr>
              <w:pStyle w:val="ListParagraph"/>
              <w:numPr>
                <w:ilvl w:val="0"/>
                <w:numId w:val="39"/>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4D9F30FA" w14:textId="77777777" w:rsidR="00486E44" w:rsidRPr="00DE163F" w:rsidRDefault="00486E44" w:rsidP="006509D4">
            <w:pPr>
              <w:pStyle w:val="ListParagraph"/>
              <w:numPr>
                <w:ilvl w:val="0"/>
                <w:numId w:val="39"/>
              </w:numPr>
              <w:spacing w:after="0"/>
              <w:rPr>
                <w:rFonts w:cs="Arial"/>
                <w:sz w:val="16"/>
                <w:szCs w:val="16"/>
              </w:rPr>
            </w:pPr>
            <w:r>
              <w:rPr>
                <w:rFonts w:cs="Arial"/>
                <w:sz w:val="16"/>
                <w:szCs w:val="16"/>
              </w:rPr>
              <w:t>Updated document title</w:t>
            </w:r>
          </w:p>
        </w:tc>
      </w:tr>
      <w:tr w:rsidR="00486E44" w14:paraId="1C7F9168" w14:textId="77777777" w:rsidTr="006509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3F7162D" w14:textId="2FB1AB1D" w:rsidR="00486E44" w:rsidRDefault="00486E44" w:rsidP="006509D4">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91A7358" w14:textId="3D947FE2" w:rsidR="00486E44" w:rsidRDefault="00486E44" w:rsidP="006509D4">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6C7DD3E" w14:textId="1037DE82" w:rsidR="00486E44" w:rsidRDefault="00486E44" w:rsidP="006509D4">
            <w:pPr>
              <w:rPr>
                <w:rFonts w:cs="Arial"/>
                <w:sz w:val="16"/>
                <w:szCs w:val="16"/>
              </w:rPr>
            </w:pPr>
            <w:r w:rsidRPr="00486E44">
              <w:rPr>
                <w:rFonts w:cs="Arial"/>
                <w:sz w:val="16"/>
                <w:szCs w:val="16"/>
              </w:rPr>
              <w:t>Minor updates made - Queensland Government Corporate Branding</w:t>
            </w:r>
          </w:p>
        </w:tc>
      </w:tr>
      <w:bookmarkEnd w:id="0"/>
    </w:tbl>
    <w:p w14:paraId="3BDC8F06" w14:textId="77777777" w:rsidR="00486E44" w:rsidRDefault="00486E44" w:rsidP="00486E44">
      <w:pPr>
        <w:rPr>
          <w:b/>
          <w:sz w:val="18"/>
        </w:rPr>
      </w:pPr>
    </w:p>
    <w:p w14:paraId="1767BD10" w14:textId="77777777" w:rsidR="00486E44" w:rsidRPr="0039469C" w:rsidRDefault="00486E44" w:rsidP="00486E44">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01CCC72A" w14:textId="77777777" w:rsidR="00486E44" w:rsidRDefault="00486E44" w:rsidP="00486E44">
      <w:pPr>
        <w:rPr>
          <w:sz w:val="18"/>
        </w:rPr>
      </w:pPr>
      <w:r w:rsidRPr="00850C98">
        <w:rPr>
          <w:noProof/>
          <w:sz w:val="18"/>
          <w:lang w:eastAsia="en-AU"/>
        </w:rPr>
        <w:drawing>
          <wp:inline distT="0" distB="0" distL="0" distR="0" wp14:anchorId="2D98E4DF" wp14:editId="5D9115B4">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28013A26" w14:textId="7A4A1252" w:rsidR="00486E44" w:rsidRPr="00486E44" w:rsidRDefault="00486E44" w:rsidP="00486E44">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486E44">
        <w:rPr>
          <w:rStyle w:val="Hyperlink"/>
          <w:sz w:val="18"/>
        </w:rPr>
        <w:t xml:space="preserve">http://creativecommons.org/licenses/by/4.0/deed.en </w:t>
      </w:r>
    </w:p>
    <w:p w14:paraId="52209DDF" w14:textId="6A1FB124" w:rsidR="00486E44" w:rsidRPr="0039469C" w:rsidRDefault="00486E44" w:rsidP="00486E44">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Sustainable procurement guide: Business machines</w:t>
      </w:r>
      <w:r w:rsidRPr="0039469C">
        <w:rPr>
          <w:sz w:val="18"/>
        </w:rPr>
        <w:t xml:space="preserve">, State of Queensland (Department of Housing and Public Works) </w:t>
      </w:r>
      <w:r>
        <w:rPr>
          <w:sz w:val="18"/>
        </w:rPr>
        <w:t>2025</w:t>
      </w:r>
      <w:r w:rsidRPr="0039469C">
        <w:rPr>
          <w:sz w:val="18"/>
        </w:rPr>
        <w:t xml:space="preserve">’. </w:t>
      </w:r>
    </w:p>
    <w:p w14:paraId="48554B3A" w14:textId="77777777" w:rsidR="00486E44" w:rsidRPr="0039469C" w:rsidRDefault="00486E44" w:rsidP="00486E44">
      <w:pPr>
        <w:rPr>
          <w:b/>
          <w:sz w:val="18"/>
        </w:rPr>
      </w:pPr>
      <w:r w:rsidRPr="0039469C">
        <w:rPr>
          <w:b/>
          <w:sz w:val="18"/>
        </w:rPr>
        <w:t xml:space="preserve">Contact us </w:t>
      </w:r>
    </w:p>
    <w:p w14:paraId="0B33DA66" w14:textId="2D17BC3E" w:rsidR="00486E44" w:rsidRPr="0039469C" w:rsidRDefault="00486E44" w:rsidP="00486E44">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2" w:history="1">
        <w:r w:rsidRPr="009F3608">
          <w:rPr>
            <w:rStyle w:val="Hyperlink"/>
            <w:sz w:val="18"/>
          </w:rPr>
          <w:t>betterprocurement@hpw.qld.gov.au.</w:t>
        </w:r>
      </w:hyperlink>
      <w:r w:rsidRPr="0039469C">
        <w:rPr>
          <w:sz w:val="18"/>
        </w:rPr>
        <w:t xml:space="preserve"> </w:t>
      </w:r>
    </w:p>
    <w:p w14:paraId="5F4E24DD" w14:textId="77777777" w:rsidR="00486E44" w:rsidRPr="0039469C" w:rsidRDefault="00486E44" w:rsidP="00486E44">
      <w:pPr>
        <w:rPr>
          <w:b/>
          <w:sz w:val="18"/>
        </w:rPr>
      </w:pPr>
      <w:r w:rsidRPr="0039469C">
        <w:rPr>
          <w:b/>
          <w:sz w:val="18"/>
        </w:rPr>
        <w:t xml:space="preserve">Disclaimer </w:t>
      </w:r>
    </w:p>
    <w:p w14:paraId="53E919C3" w14:textId="77777777" w:rsidR="00486E44" w:rsidRPr="0039469C" w:rsidRDefault="00486E44" w:rsidP="00486E44">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08E21C3" w14:textId="77777777" w:rsidR="00486E44" w:rsidRDefault="00486E44" w:rsidP="00486E44">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7B1FA19" w14:textId="77777777" w:rsidR="00486E44" w:rsidRPr="00F471EC" w:rsidRDefault="00486E44" w:rsidP="00486E44">
      <w:pPr>
        <w:rPr>
          <w:b/>
          <w:bCs/>
          <w:sz w:val="18"/>
        </w:rPr>
      </w:pPr>
      <w:r w:rsidRPr="00F471EC">
        <w:rPr>
          <w:b/>
          <w:bCs/>
          <w:sz w:val="18"/>
        </w:rPr>
        <w:t>Administration</w:t>
      </w:r>
    </w:p>
    <w:p w14:paraId="61D47D20" w14:textId="5725F7F3" w:rsidR="00486E44" w:rsidRDefault="00486E44" w:rsidP="00486E44">
      <w:r>
        <w:rPr>
          <w:sz w:val="18"/>
        </w:rPr>
        <w:t>Version 1.4 of this document replaces all previous versions of this document and takes effect immediately.</w:t>
      </w:r>
    </w:p>
    <w:p w14:paraId="2FD131FB" w14:textId="77777777" w:rsidR="00486E44" w:rsidRDefault="00486E44" w:rsidP="00486E44">
      <w:pPr>
        <w:spacing w:after="0"/>
        <w:rPr>
          <w:rFonts w:cs="Arial"/>
          <w:b/>
          <w:bCs/>
          <w:color w:val="A70236"/>
          <w:sz w:val="32"/>
          <w:szCs w:val="20"/>
          <w:lang w:eastAsia="en-AU"/>
        </w:rPr>
      </w:pPr>
      <w:r>
        <w:br w:type="page"/>
      </w:r>
    </w:p>
    <w:sdt>
      <w:sdtPr>
        <w:rPr>
          <w:rFonts w:ascii="Arial" w:eastAsiaTheme="minorEastAsia" w:hAnsi="Arial" w:cstheme="minorBidi"/>
          <w:b/>
          <w:bCs/>
          <w:color w:val="auto"/>
          <w:sz w:val="22"/>
          <w:szCs w:val="22"/>
          <w:lang w:val="en-AU"/>
        </w:rPr>
        <w:id w:val="707998098"/>
        <w:docPartObj>
          <w:docPartGallery w:val="Table of Contents"/>
          <w:docPartUnique/>
        </w:docPartObj>
      </w:sdtPr>
      <w:sdtEndPr>
        <w:rPr>
          <w:b w:val="0"/>
          <w:bCs w:val="0"/>
          <w:noProof/>
          <w:sz w:val="20"/>
          <w:szCs w:val="20"/>
        </w:rPr>
      </w:sdtEndPr>
      <w:sdtContent>
        <w:p w14:paraId="07773F9B" w14:textId="77777777" w:rsidR="00486E44" w:rsidRPr="00F2273C" w:rsidRDefault="00486E44" w:rsidP="00486E44">
          <w:pPr>
            <w:pStyle w:val="TOCHeading"/>
            <w:rPr>
              <w:rStyle w:val="Heading1Char"/>
            </w:rPr>
          </w:pPr>
          <w:r w:rsidRPr="00F2273C">
            <w:rPr>
              <w:rStyle w:val="Heading1Char"/>
            </w:rPr>
            <w:t>Table of Contents</w:t>
          </w:r>
        </w:p>
        <w:p w14:paraId="547C5444" w14:textId="13897FD8" w:rsidR="002967A1" w:rsidRDefault="002967A1">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7780058" w:history="1">
            <w:r w:rsidRPr="00AF6823">
              <w:rPr>
                <w:rStyle w:val="Hyperlink"/>
                <w:noProof/>
              </w:rPr>
              <w:t>Purpose</w:t>
            </w:r>
            <w:r>
              <w:rPr>
                <w:noProof/>
                <w:webHidden/>
              </w:rPr>
              <w:tab/>
            </w:r>
            <w:r>
              <w:rPr>
                <w:noProof/>
                <w:webHidden/>
              </w:rPr>
              <w:fldChar w:fldCharType="begin"/>
            </w:r>
            <w:r>
              <w:rPr>
                <w:noProof/>
                <w:webHidden/>
              </w:rPr>
              <w:instrText xml:space="preserve"> PAGEREF _Toc207780058 \h </w:instrText>
            </w:r>
            <w:r>
              <w:rPr>
                <w:noProof/>
                <w:webHidden/>
              </w:rPr>
            </w:r>
            <w:r>
              <w:rPr>
                <w:noProof/>
                <w:webHidden/>
              </w:rPr>
              <w:fldChar w:fldCharType="separate"/>
            </w:r>
            <w:r>
              <w:rPr>
                <w:noProof/>
                <w:webHidden/>
              </w:rPr>
              <w:t>4</w:t>
            </w:r>
            <w:r>
              <w:rPr>
                <w:noProof/>
                <w:webHidden/>
              </w:rPr>
              <w:fldChar w:fldCharType="end"/>
            </w:r>
          </w:hyperlink>
        </w:p>
        <w:p w14:paraId="40B99C2E" w14:textId="470A2B5C"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59" w:history="1">
            <w:r w:rsidRPr="00AF6823">
              <w:rPr>
                <w:rStyle w:val="Hyperlink"/>
                <w:noProof/>
              </w:rPr>
              <w:t>Target audience</w:t>
            </w:r>
            <w:r>
              <w:rPr>
                <w:noProof/>
                <w:webHidden/>
              </w:rPr>
              <w:tab/>
            </w:r>
            <w:r>
              <w:rPr>
                <w:noProof/>
                <w:webHidden/>
              </w:rPr>
              <w:fldChar w:fldCharType="begin"/>
            </w:r>
            <w:r>
              <w:rPr>
                <w:noProof/>
                <w:webHidden/>
              </w:rPr>
              <w:instrText xml:space="preserve"> PAGEREF _Toc207780059 \h </w:instrText>
            </w:r>
            <w:r>
              <w:rPr>
                <w:noProof/>
                <w:webHidden/>
              </w:rPr>
            </w:r>
            <w:r>
              <w:rPr>
                <w:noProof/>
                <w:webHidden/>
              </w:rPr>
              <w:fldChar w:fldCharType="separate"/>
            </w:r>
            <w:r>
              <w:rPr>
                <w:noProof/>
                <w:webHidden/>
              </w:rPr>
              <w:t>4</w:t>
            </w:r>
            <w:r>
              <w:rPr>
                <w:noProof/>
                <w:webHidden/>
              </w:rPr>
              <w:fldChar w:fldCharType="end"/>
            </w:r>
          </w:hyperlink>
        </w:p>
        <w:p w14:paraId="2BA964A2" w14:textId="46ADCAA2"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0" w:history="1">
            <w:r w:rsidRPr="00AF6823">
              <w:rPr>
                <w:rStyle w:val="Hyperlink"/>
                <w:noProof/>
              </w:rPr>
              <w:t>How to use this guide</w:t>
            </w:r>
            <w:r>
              <w:rPr>
                <w:noProof/>
                <w:webHidden/>
              </w:rPr>
              <w:tab/>
            </w:r>
            <w:r>
              <w:rPr>
                <w:noProof/>
                <w:webHidden/>
              </w:rPr>
              <w:fldChar w:fldCharType="begin"/>
            </w:r>
            <w:r>
              <w:rPr>
                <w:noProof/>
                <w:webHidden/>
              </w:rPr>
              <w:instrText xml:space="preserve"> PAGEREF _Toc207780060 \h </w:instrText>
            </w:r>
            <w:r>
              <w:rPr>
                <w:noProof/>
                <w:webHidden/>
              </w:rPr>
            </w:r>
            <w:r>
              <w:rPr>
                <w:noProof/>
                <w:webHidden/>
              </w:rPr>
              <w:fldChar w:fldCharType="separate"/>
            </w:r>
            <w:r>
              <w:rPr>
                <w:noProof/>
                <w:webHidden/>
              </w:rPr>
              <w:t>4</w:t>
            </w:r>
            <w:r>
              <w:rPr>
                <w:noProof/>
                <w:webHidden/>
              </w:rPr>
              <w:fldChar w:fldCharType="end"/>
            </w:r>
          </w:hyperlink>
        </w:p>
        <w:p w14:paraId="1C865F1D" w14:textId="7A53307E" w:rsidR="002967A1" w:rsidRDefault="002967A1">
          <w:pPr>
            <w:pStyle w:val="TOC1"/>
            <w:rPr>
              <w:rFonts w:asciiTheme="minorHAnsi" w:eastAsiaTheme="minorEastAsia" w:hAnsiTheme="minorHAnsi"/>
              <w:noProof/>
              <w:kern w:val="2"/>
              <w:sz w:val="24"/>
              <w:szCs w:val="24"/>
              <w:lang w:eastAsia="en-AU"/>
              <w14:ligatures w14:val="standardContextual"/>
            </w:rPr>
          </w:pPr>
          <w:hyperlink w:anchor="_Toc207780061" w:history="1">
            <w:r w:rsidRPr="00AF6823">
              <w:rPr>
                <w:rStyle w:val="Hyperlink"/>
                <w:noProof/>
              </w:rPr>
              <w:t>Introduction to business machines</w:t>
            </w:r>
            <w:r>
              <w:rPr>
                <w:noProof/>
                <w:webHidden/>
              </w:rPr>
              <w:tab/>
            </w:r>
            <w:r>
              <w:rPr>
                <w:noProof/>
                <w:webHidden/>
              </w:rPr>
              <w:fldChar w:fldCharType="begin"/>
            </w:r>
            <w:r>
              <w:rPr>
                <w:noProof/>
                <w:webHidden/>
              </w:rPr>
              <w:instrText xml:space="preserve"> PAGEREF _Toc207780061 \h </w:instrText>
            </w:r>
            <w:r>
              <w:rPr>
                <w:noProof/>
                <w:webHidden/>
              </w:rPr>
            </w:r>
            <w:r>
              <w:rPr>
                <w:noProof/>
                <w:webHidden/>
              </w:rPr>
              <w:fldChar w:fldCharType="separate"/>
            </w:r>
            <w:r>
              <w:rPr>
                <w:noProof/>
                <w:webHidden/>
              </w:rPr>
              <w:t>4</w:t>
            </w:r>
            <w:r>
              <w:rPr>
                <w:noProof/>
                <w:webHidden/>
              </w:rPr>
              <w:fldChar w:fldCharType="end"/>
            </w:r>
          </w:hyperlink>
        </w:p>
        <w:p w14:paraId="69FBA137" w14:textId="73222147"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2" w:history="1">
            <w:r w:rsidRPr="00AF6823">
              <w:rPr>
                <w:rStyle w:val="Hyperlink"/>
                <w:noProof/>
              </w:rPr>
              <w:t>Scope</w:t>
            </w:r>
            <w:r>
              <w:rPr>
                <w:noProof/>
                <w:webHidden/>
              </w:rPr>
              <w:tab/>
            </w:r>
            <w:r>
              <w:rPr>
                <w:noProof/>
                <w:webHidden/>
              </w:rPr>
              <w:fldChar w:fldCharType="begin"/>
            </w:r>
            <w:r>
              <w:rPr>
                <w:noProof/>
                <w:webHidden/>
              </w:rPr>
              <w:instrText xml:space="preserve"> PAGEREF _Toc207780062 \h </w:instrText>
            </w:r>
            <w:r>
              <w:rPr>
                <w:noProof/>
                <w:webHidden/>
              </w:rPr>
            </w:r>
            <w:r>
              <w:rPr>
                <w:noProof/>
                <w:webHidden/>
              </w:rPr>
              <w:fldChar w:fldCharType="separate"/>
            </w:r>
            <w:r>
              <w:rPr>
                <w:noProof/>
                <w:webHidden/>
              </w:rPr>
              <w:t>4</w:t>
            </w:r>
            <w:r>
              <w:rPr>
                <w:noProof/>
                <w:webHidden/>
              </w:rPr>
              <w:fldChar w:fldCharType="end"/>
            </w:r>
          </w:hyperlink>
        </w:p>
        <w:p w14:paraId="7564B855" w14:textId="2924AAD7"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3" w:history="1">
            <w:r w:rsidRPr="00AF6823">
              <w:rPr>
                <w:rStyle w:val="Hyperlink"/>
                <w:noProof/>
              </w:rPr>
              <w:t>Fitness for purpose</w:t>
            </w:r>
            <w:r>
              <w:rPr>
                <w:noProof/>
                <w:webHidden/>
              </w:rPr>
              <w:tab/>
            </w:r>
            <w:r>
              <w:rPr>
                <w:noProof/>
                <w:webHidden/>
              </w:rPr>
              <w:fldChar w:fldCharType="begin"/>
            </w:r>
            <w:r>
              <w:rPr>
                <w:noProof/>
                <w:webHidden/>
              </w:rPr>
              <w:instrText xml:space="preserve"> PAGEREF _Toc207780063 \h </w:instrText>
            </w:r>
            <w:r>
              <w:rPr>
                <w:noProof/>
                <w:webHidden/>
              </w:rPr>
            </w:r>
            <w:r>
              <w:rPr>
                <w:noProof/>
                <w:webHidden/>
              </w:rPr>
              <w:fldChar w:fldCharType="separate"/>
            </w:r>
            <w:r>
              <w:rPr>
                <w:noProof/>
                <w:webHidden/>
              </w:rPr>
              <w:t>4</w:t>
            </w:r>
            <w:r>
              <w:rPr>
                <w:noProof/>
                <w:webHidden/>
              </w:rPr>
              <w:fldChar w:fldCharType="end"/>
            </w:r>
          </w:hyperlink>
        </w:p>
        <w:p w14:paraId="340090A9" w14:textId="5E7ED250" w:rsidR="002967A1" w:rsidRDefault="002967A1">
          <w:pPr>
            <w:pStyle w:val="TOC1"/>
            <w:rPr>
              <w:rFonts w:asciiTheme="minorHAnsi" w:eastAsiaTheme="minorEastAsia" w:hAnsiTheme="minorHAnsi"/>
              <w:noProof/>
              <w:kern w:val="2"/>
              <w:sz w:val="24"/>
              <w:szCs w:val="24"/>
              <w:lang w:eastAsia="en-AU"/>
              <w14:ligatures w14:val="standardContextual"/>
            </w:rPr>
          </w:pPr>
          <w:hyperlink w:anchor="_Toc207780064" w:history="1">
            <w:r w:rsidRPr="00AF6823">
              <w:rPr>
                <w:rStyle w:val="Hyperlink"/>
                <w:noProof/>
              </w:rPr>
              <w:t>Business machines: Summary of sustainability impacts and responses</w:t>
            </w:r>
            <w:r>
              <w:rPr>
                <w:noProof/>
                <w:webHidden/>
              </w:rPr>
              <w:tab/>
            </w:r>
            <w:r>
              <w:rPr>
                <w:noProof/>
                <w:webHidden/>
              </w:rPr>
              <w:fldChar w:fldCharType="begin"/>
            </w:r>
            <w:r>
              <w:rPr>
                <w:noProof/>
                <w:webHidden/>
              </w:rPr>
              <w:instrText xml:space="preserve"> PAGEREF _Toc207780064 \h </w:instrText>
            </w:r>
            <w:r>
              <w:rPr>
                <w:noProof/>
                <w:webHidden/>
              </w:rPr>
            </w:r>
            <w:r>
              <w:rPr>
                <w:noProof/>
                <w:webHidden/>
              </w:rPr>
              <w:fldChar w:fldCharType="separate"/>
            </w:r>
            <w:r>
              <w:rPr>
                <w:noProof/>
                <w:webHidden/>
              </w:rPr>
              <w:t>5</w:t>
            </w:r>
            <w:r>
              <w:rPr>
                <w:noProof/>
                <w:webHidden/>
              </w:rPr>
              <w:fldChar w:fldCharType="end"/>
            </w:r>
          </w:hyperlink>
        </w:p>
        <w:p w14:paraId="14BA7FEF" w14:textId="23CF8D01"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5" w:history="1">
            <w:r w:rsidRPr="00AF6823">
              <w:rPr>
                <w:rStyle w:val="Hyperlink"/>
                <w:noProof/>
              </w:rPr>
              <w:t>Product development</w:t>
            </w:r>
            <w:r>
              <w:rPr>
                <w:noProof/>
                <w:webHidden/>
              </w:rPr>
              <w:tab/>
            </w:r>
            <w:r>
              <w:rPr>
                <w:noProof/>
                <w:webHidden/>
              </w:rPr>
              <w:fldChar w:fldCharType="begin"/>
            </w:r>
            <w:r>
              <w:rPr>
                <w:noProof/>
                <w:webHidden/>
              </w:rPr>
              <w:instrText xml:space="preserve"> PAGEREF _Toc207780065 \h </w:instrText>
            </w:r>
            <w:r>
              <w:rPr>
                <w:noProof/>
                <w:webHidden/>
              </w:rPr>
            </w:r>
            <w:r>
              <w:rPr>
                <w:noProof/>
                <w:webHidden/>
              </w:rPr>
              <w:fldChar w:fldCharType="separate"/>
            </w:r>
            <w:r>
              <w:rPr>
                <w:noProof/>
                <w:webHidden/>
              </w:rPr>
              <w:t>5</w:t>
            </w:r>
            <w:r>
              <w:rPr>
                <w:noProof/>
                <w:webHidden/>
              </w:rPr>
              <w:fldChar w:fldCharType="end"/>
            </w:r>
          </w:hyperlink>
        </w:p>
        <w:p w14:paraId="51CAB3D0" w14:textId="67F09C2A"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6" w:history="1">
            <w:r w:rsidRPr="00AF6823">
              <w:rPr>
                <w:rStyle w:val="Hyperlink"/>
                <w:noProof/>
              </w:rPr>
              <w:t>Packaging and transport</w:t>
            </w:r>
            <w:r>
              <w:rPr>
                <w:noProof/>
                <w:webHidden/>
              </w:rPr>
              <w:tab/>
            </w:r>
            <w:r>
              <w:rPr>
                <w:noProof/>
                <w:webHidden/>
              </w:rPr>
              <w:fldChar w:fldCharType="begin"/>
            </w:r>
            <w:r>
              <w:rPr>
                <w:noProof/>
                <w:webHidden/>
              </w:rPr>
              <w:instrText xml:space="preserve"> PAGEREF _Toc207780066 \h </w:instrText>
            </w:r>
            <w:r>
              <w:rPr>
                <w:noProof/>
                <w:webHidden/>
              </w:rPr>
            </w:r>
            <w:r>
              <w:rPr>
                <w:noProof/>
                <w:webHidden/>
              </w:rPr>
              <w:fldChar w:fldCharType="separate"/>
            </w:r>
            <w:r>
              <w:rPr>
                <w:noProof/>
                <w:webHidden/>
              </w:rPr>
              <w:t>5</w:t>
            </w:r>
            <w:r>
              <w:rPr>
                <w:noProof/>
                <w:webHidden/>
              </w:rPr>
              <w:fldChar w:fldCharType="end"/>
            </w:r>
          </w:hyperlink>
        </w:p>
        <w:p w14:paraId="6861110C" w14:textId="702E48FC"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7" w:history="1">
            <w:r w:rsidRPr="00AF6823">
              <w:rPr>
                <w:rStyle w:val="Hyperlink"/>
                <w:noProof/>
              </w:rPr>
              <w:t>Operational use</w:t>
            </w:r>
            <w:r>
              <w:rPr>
                <w:noProof/>
                <w:webHidden/>
              </w:rPr>
              <w:tab/>
            </w:r>
            <w:r>
              <w:rPr>
                <w:noProof/>
                <w:webHidden/>
              </w:rPr>
              <w:fldChar w:fldCharType="begin"/>
            </w:r>
            <w:r>
              <w:rPr>
                <w:noProof/>
                <w:webHidden/>
              </w:rPr>
              <w:instrText xml:space="preserve"> PAGEREF _Toc207780067 \h </w:instrText>
            </w:r>
            <w:r>
              <w:rPr>
                <w:noProof/>
                <w:webHidden/>
              </w:rPr>
            </w:r>
            <w:r>
              <w:rPr>
                <w:noProof/>
                <w:webHidden/>
              </w:rPr>
              <w:fldChar w:fldCharType="separate"/>
            </w:r>
            <w:r>
              <w:rPr>
                <w:noProof/>
                <w:webHidden/>
              </w:rPr>
              <w:t>5</w:t>
            </w:r>
            <w:r>
              <w:rPr>
                <w:noProof/>
                <w:webHidden/>
              </w:rPr>
              <w:fldChar w:fldCharType="end"/>
            </w:r>
          </w:hyperlink>
        </w:p>
        <w:p w14:paraId="6ED7D512" w14:textId="7DF6ABE3"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68" w:history="1">
            <w:r w:rsidRPr="00AF6823">
              <w:rPr>
                <w:rStyle w:val="Hyperlink"/>
                <w:noProof/>
              </w:rPr>
              <w:t>End-of-life management</w:t>
            </w:r>
            <w:r>
              <w:rPr>
                <w:noProof/>
                <w:webHidden/>
              </w:rPr>
              <w:tab/>
            </w:r>
            <w:r>
              <w:rPr>
                <w:noProof/>
                <w:webHidden/>
              </w:rPr>
              <w:fldChar w:fldCharType="begin"/>
            </w:r>
            <w:r>
              <w:rPr>
                <w:noProof/>
                <w:webHidden/>
              </w:rPr>
              <w:instrText xml:space="preserve"> PAGEREF _Toc207780068 \h </w:instrText>
            </w:r>
            <w:r>
              <w:rPr>
                <w:noProof/>
                <w:webHidden/>
              </w:rPr>
            </w:r>
            <w:r>
              <w:rPr>
                <w:noProof/>
                <w:webHidden/>
              </w:rPr>
              <w:fldChar w:fldCharType="separate"/>
            </w:r>
            <w:r>
              <w:rPr>
                <w:noProof/>
                <w:webHidden/>
              </w:rPr>
              <w:t>6</w:t>
            </w:r>
            <w:r>
              <w:rPr>
                <w:noProof/>
                <w:webHidden/>
              </w:rPr>
              <w:fldChar w:fldCharType="end"/>
            </w:r>
          </w:hyperlink>
        </w:p>
        <w:p w14:paraId="6915F9F7" w14:textId="0FD1F0DF" w:rsidR="002967A1" w:rsidRDefault="002967A1">
          <w:pPr>
            <w:pStyle w:val="TOC1"/>
            <w:rPr>
              <w:rFonts w:asciiTheme="minorHAnsi" w:eastAsiaTheme="minorEastAsia" w:hAnsiTheme="minorHAnsi"/>
              <w:noProof/>
              <w:kern w:val="2"/>
              <w:sz w:val="24"/>
              <w:szCs w:val="24"/>
              <w:lang w:eastAsia="en-AU"/>
              <w14:ligatures w14:val="standardContextual"/>
            </w:rPr>
          </w:pPr>
          <w:hyperlink w:anchor="_Toc207780069" w:history="1">
            <w:r w:rsidRPr="00AF6823">
              <w:rPr>
                <w:rStyle w:val="Hyperlink"/>
                <w:noProof/>
              </w:rPr>
              <w:t>Suggested criteria</w:t>
            </w:r>
            <w:r>
              <w:rPr>
                <w:noProof/>
                <w:webHidden/>
              </w:rPr>
              <w:tab/>
            </w:r>
            <w:r>
              <w:rPr>
                <w:noProof/>
                <w:webHidden/>
              </w:rPr>
              <w:fldChar w:fldCharType="begin"/>
            </w:r>
            <w:r>
              <w:rPr>
                <w:noProof/>
                <w:webHidden/>
              </w:rPr>
              <w:instrText xml:space="preserve"> PAGEREF _Toc207780069 \h </w:instrText>
            </w:r>
            <w:r>
              <w:rPr>
                <w:noProof/>
                <w:webHidden/>
              </w:rPr>
            </w:r>
            <w:r>
              <w:rPr>
                <w:noProof/>
                <w:webHidden/>
              </w:rPr>
              <w:fldChar w:fldCharType="separate"/>
            </w:r>
            <w:r>
              <w:rPr>
                <w:noProof/>
                <w:webHidden/>
              </w:rPr>
              <w:t>6</w:t>
            </w:r>
            <w:r>
              <w:rPr>
                <w:noProof/>
                <w:webHidden/>
              </w:rPr>
              <w:fldChar w:fldCharType="end"/>
            </w:r>
          </w:hyperlink>
        </w:p>
        <w:p w14:paraId="0B235E43" w14:textId="4E065B52"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0" w:history="1">
            <w:r w:rsidRPr="00AF6823">
              <w:rPr>
                <w:rStyle w:val="Hyperlink"/>
                <w:noProof/>
              </w:rPr>
              <w:t>Product development</w:t>
            </w:r>
            <w:r>
              <w:rPr>
                <w:noProof/>
                <w:webHidden/>
              </w:rPr>
              <w:tab/>
            </w:r>
            <w:r>
              <w:rPr>
                <w:noProof/>
                <w:webHidden/>
              </w:rPr>
              <w:fldChar w:fldCharType="begin"/>
            </w:r>
            <w:r>
              <w:rPr>
                <w:noProof/>
                <w:webHidden/>
              </w:rPr>
              <w:instrText xml:space="preserve"> PAGEREF _Toc207780070 \h </w:instrText>
            </w:r>
            <w:r>
              <w:rPr>
                <w:noProof/>
                <w:webHidden/>
              </w:rPr>
            </w:r>
            <w:r>
              <w:rPr>
                <w:noProof/>
                <w:webHidden/>
              </w:rPr>
              <w:fldChar w:fldCharType="separate"/>
            </w:r>
            <w:r>
              <w:rPr>
                <w:noProof/>
                <w:webHidden/>
              </w:rPr>
              <w:t>6</w:t>
            </w:r>
            <w:r>
              <w:rPr>
                <w:noProof/>
                <w:webHidden/>
              </w:rPr>
              <w:fldChar w:fldCharType="end"/>
            </w:r>
          </w:hyperlink>
        </w:p>
        <w:p w14:paraId="66E3E889" w14:textId="0AC43836"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1" w:history="1">
            <w:r w:rsidRPr="00AF6823">
              <w:rPr>
                <w:rStyle w:val="Hyperlink"/>
                <w:noProof/>
              </w:rPr>
              <w:t>Packaging and transportation</w:t>
            </w:r>
            <w:r>
              <w:rPr>
                <w:noProof/>
                <w:webHidden/>
              </w:rPr>
              <w:tab/>
            </w:r>
            <w:r>
              <w:rPr>
                <w:noProof/>
                <w:webHidden/>
              </w:rPr>
              <w:fldChar w:fldCharType="begin"/>
            </w:r>
            <w:r>
              <w:rPr>
                <w:noProof/>
                <w:webHidden/>
              </w:rPr>
              <w:instrText xml:space="preserve"> PAGEREF _Toc207780071 \h </w:instrText>
            </w:r>
            <w:r>
              <w:rPr>
                <w:noProof/>
                <w:webHidden/>
              </w:rPr>
            </w:r>
            <w:r>
              <w:rPr>
                <w:noProof/>
                <w:webHidden/>
              </w:rPr>
              <w:fldChar w:fldCharType="separate"/>
            </w:r>
            <w:r>
              <w:rPr>
                <w:noProof/>
                <w:webHidden/>
              </w:rPr>
              <w:t>9</w:t>
            </w:r>
            <w:r>
              <w:rPr>
                <w:noProof/>
                <w:webHidden/>
              </w:rPr>
              <w:fldChar w:fldCharType="end"/>
            </w:r>
          </w:hyperlink>
        </w:p>
        <w:p w14:paraId="505CB273" w14:textId="21E0191E"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2" w:history="1">
            <w:r w:rsidRPr="00AF6823">
              <w:rPr>
                <w:rStyle w:val="Hyperlink"/>
                <w:noProof/>
              </w:rPr>
              <w:t>Operational use</w:t>
            </w:r>
            <w:r>
              <w:rPr>
                <w:noProof/>
                <w:webHidden/>
              </w:rPr>
              <w:tab/>
            </w:r>
            <w:r>
              <w:rPr>
                <w:noProof/>
                <w:webHidden/>
              </w:rPr>
              <w:fldChar w:fldCharType="begin"/>
            </w:r>
            <w:r>
              <w:rPr>
                <w:noProof/>
                <w:webHidden/>
              </w:rPr>
              <w:instrText xml:space="preserve"> PAGEREF _Toc207780072 \h </w:instrText>
            </w:r>
            <w:r>
              <w:rPr>
                <w:noProof/>
                <w:webHidden/>
              </w:rPr>
            </w:r>
            <w:r>
              <w:rPr>
                <w:noProof/>
                <w:webHidden/>
              </w:rPr>
              <w:fldChar w:fldCharType="separate"/>
            </w:r>
            <w:r>
              <w:rPr>
                <w:noProof/>
                <w:webHidden/>
              </w:rPr>
              <w:t>12</w:t>
            </w:r>
            <w:r>
              <w:rPr>
                <w:noProof/>
                <w:webHidden/>
              </w:rPr>
              <w:fldChar w:fldCharType="end"/>
            </w:r>
          </w:hyperlink>
        </w:p>
        <w:p w14:paraId="0F36C816" w14:textId="30D5B80C"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3" w:history="1">
            <w:r w:rsidRPr="00AF6823">
              <w:rPr>
                <w:rStyle w:val="Hyperlink"/>
                <w:noProof/>
              </w:rPr>
              <w:t>End-of-life management</w:t>
            </w:r>
            <w:r>
              <w:rPr>
                <w:noProof/>
                <w:webHidden/>
              </w:rPr>
              <w:tab/>
            </w:r>
            <w:r>
              <w:rPr>
                <w:noProof/>
                <w:webHidden/>
              </w:rPr>
              <w:fldChar w:fldCharType="begin"/>
            </w:r>
            <w:r>
              <w:rPr>
                <w:noProof/>
                <w:webHidden/>
              </w:rPr>
              <w:instrText xml:space="preserve"> PAGEREF _Toc207780073 \h </w:instrText>
            </w:r>
            <w:r>
              <w:rPr>
                <w:noProof/>
                <w:webHidden/>
              </w:rPr>
            </w:r>
            <w:r>
              <w:rPr>
                <w:noProof/>
                <w:webHidden/>
              </w:rPr>
              <w:fldChar w:fldCharType="separate"/>
            </w:r>
            <w:r>
              <w:rPr>
                <w:noProof/>
                <w:webHidden/>
              </w:rPr>
              <w:t>15</w:t>
            </w:r>
            <w:r>
              <w:rPr>
                <w:noProof/>
                <w:webHidden/>
              </w:rPr>
              <w:fldChar w:fldCharType="end"/>
            </w:r>
          </w:hyperlink>
        </w:p>
        <w:p w14:paraId="43A6B375" w14:textId="034BCC3D" w:rsidR="002967A1" w:rsidRDefault="002967A1">
          <w:pPr>
            <w:pStyle w:val="TOC1"/>
            <w:rPr>
              <w:rFonts w:asciiTheme="minorHAnsi" w:eastAsiaTheme="minorEastAsia" w:hAnsiTheme="minorHAnsi"/>
              <w:noProof/>
              <w:kern w:val="2"/>
              <w:sz w:val="24"/>
              <w:szCs w:val="24"/>
              <w:lang w:eastAsia="en-AU"/>
              <w14:ligatures w14:val="standardContextual"/>
            </w:rPr>
          </w:pPr>
          <w:hyperlink w:anchor="_Toc207780074" w:history="1">
            <w:r w:rsidRPr="00AF6823">
              <w:rPr>
                <w:rStyle w:val="Hyperlink"/>
                <w:noProof/>
              </w:rPr>
              <w:t>Integrating sustainable procurement throughout the procurement process</w:t>
            </w:r>
            <w:r>
              <w:rPr>
                <w:noProof/>
                <w:webHidden/>
              </w:rPr>
              <w:tab/>
            </w:r>
            <w:r>
              <w:rPr>
                <w:noProof/>
                <w:webHidden/>
              </w:rPr>
              <w:fldChar w:fldCharType="begin"/>
            </w:r>
            <w:r>
              <w:rPr>
                <w:noProof/>
                <w:webHidden/>
              </w:rPr>
              <w:instrText xml:space="preserve"> PAGEREF _Toc207780074 \h </w:instrText>
            </w:r>
            <w:r>
              <w:rPr>
                <w:noProof/>
                <w:webHidden/>
              </w:rPr>
            </w:r>
            <w:r>
              <w:rPr>
                <w:noProof/>
                <w:webHidden/>
              </w:rPr>
              <w:fldChar w:fldCharType="separate"/>
            </w:r>
            <w:r>
              <w:rPr>
                <w:noProof/>
                <w:webHidden/>
              </w:rPr>
              <w:t>16</w:t>
            </w:r>
            <w:r>
              <w:rPr>
                <w:noProof/>
                <w:webHidden/>
              </w:rPr>
              <w:fldChar w:fldCharType="end"/>
            </w:r>
          </w:hyperlink>
        </w:p>
        <w:p w14:paraId="6D3F6392" w14:textId="71E3B174"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5" w:history="1">
            <w:r w:rsidRPr="00AF6823">
              <w:rPr>
                <w:rStyle w:val="Hyperlink"/>
                <w:noProof/>
              </w:rPr>
              <w:t>Procurement planning</w:t>
            </w:r>
            <w:r>
              <w:rPr>
                <w:noProof/>
                <w:webHidden/>
              </w:rPr>
              <w:tab/>
            </w:r>
            <w:r>
              <w:rPr>
                <w:noProof/>
                <w:webHidden/>
              </w:rPr>
              <w:fldChar w:fldCharType="begin"/>
            </w:r>
            <w:r>
              <w:rPr>
                <w:noProof/>
                <w:webHidden/>
              </w:rPr>
              <w:instrText xml:space="preserve"> PAGEREF _Toc207780075 \h </w:instrText>
            </w:r>
            <w:r>
              <w:rPr>
                <w:noProof/>
                <w:webHidden/>
              </w:rPr>
            </w:r>
            <w:r>
              <w:rPr>
                <w:noProof/>
                <w:webHidden/>
              </w:rPr>
              <w:fldChar w:fldCharType="separate"/>
            </w:r>
            <w:r>
              <w:rPr>
                <w:noProof/>
                <w:webHidden/>
              </w:rPr>
              <w:t>16</w:t>
            </w:r>
            <w:r>
              <w:rPr>
                <w:noProof/>
                <w:webHidden/>
              </w:rPr>
              <w:fldChar w:fldCharType="end"/>
            </w:r>
          </w:hyperlink>
        </w:p>
        <w:p w14:paraId="33DBD09A" w14:textId="09EC4E45"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6" w:history="1">
            <w:r w:rsidRPr="00AF6823">
              <w:rPr>
                <w:rStyle w:val="Hyperlink"/>
                <w:noProof/>
              </w:rPr>
              <w:t>Supplier engagement</w:t>
            </w:r>
            <w:r>
              <w:rPr>
                <w:noProof/>
                <w:webHidden/>
              </w:rPr>
              <w:tab/>
            </w:r>
            <w:r>
              <w:rPr>
                <w:noProof/>
                <w:webHidden/>
              </w:rPr>
              <w:fldChar w:fldCharType="begin"/>
            </w:r>
            <w:r>
              <w:rPr>
                <w:noProof/>
                <w:webHidden/>
              </w:rPr>
              <w:instrText xml:space="preserve"> PAGEREF _Toc207780076 \h </w:instrText>
            </w:r>
            <w:r>
              <w:rPr>
                <w:noProof/>
                <w:webHidden/>
              </w:rPr>
            </w:r>
            <w:r>
              <w:rPr>
                <w:noProof/>
                <w:webHidden/>
              </w:rPr>
              <w:fldChar w:fldCharType="separate"/>
            </w:r>
            <w:r>
              <w:rPr>
                <w:noProof/>
                <w:webHidden/>
              </w:rPr>
              <w:t>17</w:t>
            </w:r>
            <w:r>
              <w:rPr>
                <w:noProof/>
                <w:webHidden/>
              </w:rPr>
              <w:fldChar w:fldCharType="end"/>
            </w:r>
          </w:hyperlink>
        </w:p>
        <w:p w14:paraId="12DE6177" w14:textId="530F8428" w:rsidR="002967A1" w:rsidRDefault="002967A1">
          <w:pPr>
            <w:pStyle w:val="TOC2"/>
            <w:rPr>
              <w:rFonts w:asciiTheme="minorHAnsi" w:eastAsiaTheme="minorEastAsia" w:hAnsiTheme="minorHAnsi"/>
              <w:noProof/>
              <w:kern w:val="2"/>
              <w:sz w:val="24"/>
              <w:szCs w:val="24"/>
              <w:lang w:eastAsia="en-AU"/>
              <w14:ligatures w14:val="standardContextual"/>
            </w:rPr>
          </w:pPr>
          <w:hyperlink w:anchor="_Toc207780077" w:history="1">
            <w:r w:rsidRPr="00AF6823">
              <w:rPr>
                <w:rStyle w:val="Hyperlink"/>
                <w:noProof/>
              </w:rPr>
              <w:t>Managing supply arrangements</w:t>
            </w:r>
            <w:r>
              <w:rPr>
                <w:noProof/>
                <w:webHidden/>
              </w:rPr>
              <w:tab/>
            </w:r>
            <w:r>
              <w:rPr>
                <w:noProof/>
                <w:webHidden/>
              </w:rPr>
              <w:fldChar w:fldCharType="begin"/>
            </w:r>
            <w:r>
              <w:rPr>
                <w:noProof/>
                <w:webHidden/>
              </w:rPr>
              <w:instrText xml:space="preserve"> PAGEREF _Toc207780077 \h </w:instrText>
            </w:r>
            <w:r>
              <w:rPr>
                <w:noProof/>
                <w:webHidden/>
              </w:rPr>
            </w:r>
            <w:r>
              <w:rPr>
                <w:noProof/>
                <w:webHidden/>
              </w:rPr>
              <w:fldChar w:fldCharType="separate"/>
            </w:r>
            <w:r>
              <w:rPr>
                <w:noProof/>
                <w:webHidden/>
              </w:rPr>
              <w:t>17</w:t>
            </w:r>
            <w:r>
              <w:rPr>
                <w:noProof/>
                <w:webHidden/>
              </w:rPr>
              <w:fldChar w:fldCharType="end"/>
            </w:r>
          </w:hyperlink>
        </w:p>
        <w:p w14:paraId="784DCA93" w14:textId="63221BA4" w:rsidR="002967A1" w:rsidRDefault="002967A1">
          <w:pPr>
            <w:pStyle w:val="TOC1"/>
            <w:rPr>
              <w:rFonts w:asciiTheme="minorHAnsi" w:eastAsiaTheme="minorEastAsia" w:hAnsiTheme="minorHAnsi"/>
              <w:noProof/>
              <w:kern w:val="2"/>
              <w:sz w:val="24"/>
              <w:szCs w:val="24"/>
              <w:lang w:eastAsia="en-AU"/>
              <w14:ligatures w14:val="standardContextual"/>
            </w:rPr>
          </w:pPr>
          <w:hyperlink w:anchor="_Toc207780078" w:history="1">
            <w:r w:rsidRPr="00AF6823">
              <w:rPr>
                <w:rStyle w:val="Hyperlink"/>
                <w:noProof/>
              </w:rPr>
              <w:t>References</w:t>
            </w:r>
            <w:r>
              <w:rPr>
                <w:noProof/>
                <w:webHidden/>
              </w:rPr>
              <w:tab/>
            </w:r>
            <w:r>
              <w:rPr>
                <w:noProof/>
                <w:webHidden/>
              </w:rPr>
              <w:fldChar w:fldCharType="begin"/>
            </w:r>
            <w:r>
              <w:rPr>
                <w:noProof/>
                <w:webHidden/>
              </w:rPr>
              <w:instrText xml:space="preserve"> PAGEREF _Toc207780078 \h </w:instrText>
            </w:r>
            <w:r>
              <w:rPr>
                <w:noProof/>
                <w:webHidden/>
              </w:rPr>
            </w:r>
            <w:r>
              <w:rPr>
                <w:noProof/>
                <w:webHidden/>
              </w:rPr>
              <w:fldChar w:fldCharType="separate"/>
            </w:r>
            <w:r>
              <w:rPr>
                <w:noProof/>
                <w:webHidden/>
              </w:rPr>
              <w:t>18</w:t>
            </w:r>
            <w:r>
              <w:rPr>
                <w:noProof/>
                <w:webHidden/>
              </w:rPr>
              <w:fldChar w:fldCharType="end"/>
            </w:r>
          </w:hyperlink>
        </w:p>
        <w:p w14:paraId="5DD41A15" w14:textId="5B615A05" w:rsidR="00486E44" w:rsidRDefault="002967A1" w:rsidP="00486E44">
          <w:r>
            <w:fldChar w:fldCharType="end"/>
          </w:r>
        </w:p>
      </w:sdtContent>
    </w:sdt>
    <w:p w14:paraId="2CF98CAB" w14:textId="77777777" w:rsidR="00486E44" w:rsidRDefault="00486E44" w:rsidP="00486E44">
      <w:pPr>
        <w:spacing w:after="0"/>
        <w:rPr>
          <w:rFonts w:cs="Arial"/>
          <w:b/>
          <w:bCs/>
          <w:color w:val="A70236"/>
          <w:sz w:val="32"/>
          <w:szCs w:val="20"/>
          <w:lang w:eastAsia="en-AU"/>
        </w:rPr>
      </w:pPr>
      <w:r>
        <w:br w:type="page"/>
      </w:r>
    </w:p>
    <w:p w14:paraId="7C964B51" w14:textId="77777777" w:rsidR="00486E44" w:rsidRDefault="00486E44" w:rsidP="00486E44">
      <w:pPr>
        <w:pStyle w:val="Heading1"/>
      </w:pPr>
      <w:bookmarkStart w:id="1" w:name="_Toc389037136"/>
      <w:bookmarkStart w:id="2" w:name="_Toc485394966"/>
      <w:bookmarkStart w:id="3" w:name="_Toc529882321"/>
      <w:bookmarkStart w:id="4" w:name="_Toc207780058"/>
      <w:r>
        <w:lastRenderedPageBreak/>
        <w:t>Purpose</w:t>
      </w:r>
      <w:bookmarkEnd w:id="1"/>
      <w:bookmarkEnd w:id="2"/>
      <w:bookmarkEnd w:id="3"/>
      <w:bookmarkEnd w:id="4"/>
    </w:p>
    <w:p w14:paraId="2CD46268" w14:textId="77777777" w:rsidR="00486E44" w:rsidRDefault="00486E44" w:rsidP="00486E44">
      <w:r>
        <w:t>This guide aims to support government buyers in implementing sustainability considerations when procuring business machines, and to signal to industry government’s expectations in relation to sustainability of business machines.</w:t>
      </w:r>
    </w:p>
    <w:p w14:paraId="6ACFEC8C" w14:textId="77777777" w:rsidR="00486E44" w:rsidRDefault="00486E44" w:rsidP="00486E44">
      <w:pPr>
        <w:pStyle w:val="Heading2"/>
        <w:spacing w:before="240"/>
      </w:pPr>
      <w:bookmarkStart w:id="5" w:name="_Toc389037137"/>
      <w:bookmarkStart w:id="6" w:name="_Toc485394967"/>
      <w:bookmarkStart w:id="7" w:name="_Toc529882322"/>
      <w:bookmarkStart w:id="8" w:name="_Toc207780059"/>
      <w:r>
        <w:t>Target audience</w:t>
      </w:r>
      <w:bookmarkEnd w:id="5"/>
      <w:bookmarkEnd w:id="6"/>
      <w:bookmarkEnd w:id="7"/>
      <w:bookmarkEnd w:id="8"/>
    </w:p>
    <w:p w14:paraId="45B29C9D" w14:textId="77777777" w:rsidR="00486E44" w:rsidRPr="003F34A9" w:rsidRDefault="00486E44" w:rsidP="00486E44">
      <w:r w:rsidRPr="003F34A9">
        <w:t>Minimum performance criteria are benchmarks for industry performance within the supply market.</w:t>
      </w:r>
    </w:p>
    <w:p w14:paraId="702F0049" w14:textId="77777777" w:rsidR="00486E44" w:rsidRPr="003F34A9" w:rsidRDefault="00486E44" w:rsidP="00486E44">
      <w:r w:rsidRPr="00384196">
        <w:rPr>
          <w:b/>
          <w:bCs/>
        </w:rPr>
        <w:t>For industry:</w:t>
      </w:r>
      <w:r w:rsidRPr="003F34A9">
        <w:t xml:space="preserve"> this </w:t>
      </w:r>
      <w:r>
        <w:t>guide</w:t>
      </w:r>
      <w:r w:rsidRPr="003F34A9">
        <w:t xml:space="preserve"> provides insight into current and potential government expectations in relation to the sustainability</w:t>
      </w:r>
      <w:r>
        <w:t xml:space="preserve"> </w:t>
      </w:r>
      <w:r w:rsidRPr="003F34A9">
        <w:t>of business machines.</w:t>
      </w:r>
    </w:p>
    <w:p w14:paraId="562AD4C6" w14:textId="77777777" w:rsidR="00486E44" w:rsidRDefault="00486E44" w:rsidP="00486E44">
      <w:r w:rsidRPr="00384196">
        <w:rPr>
          <w:b/>
          <w:bCs/>
        </w:rPr>
        <w:t>For procurement professionals:</w:t>
      </w:r>
      <w:r w:rsidRPr="003F34A9">
        <w:t xml:space="preserve"> this </w:t>
      </w:r>
      <w:r>
        <w:t>guide</w:t>
      </w:r>
      <w:r w:rsidRPr="003F34A9">
        <w:t xml:space="preserve"> provides information to guide the integration of sustainability principles into the</w:t>
      </w:r>
      <w:r>
        <w:t xml:space="preserve"> </w:t>
      </w:r>
      <w:r w:rsidRPr="003F34A9">
        <w:t>procurement of business machines.</w:t>
      </w:r>
    </w:p>
    <w:p w14:paraId="44318B44" w14:textId="77777777" w:rsidR="00486E44" w:rsidRDefault="00486E44" w:rsidP="00486E44">
      <w:pPr>
        <w:pStyle w:val="Heading2"/>
        <w:spacing w:before="240"/>
      </w:pPr>
      <w:bookmarkStart w:id="9" w:name="_Toc389037138"/>
      <w:bookmarkStart w:id="10" w:name="_Toc485394968"/>
      <w:bookmarkStart w:id="11" w:name="_Toc529882323"/>
      <w:bookmarkStart w:id="12" w:name="_Toc207780060"/>
      <w:r>
        <w:t xml:space="preserve">How to use this </w:t>
      </w:r>
      <w:bookmarkEnd w:id="9"/>
      <w:r>
        <w:t>guide</w:t>
      </w:r>
      <w:bookmarkEnd w:id="10"/>
      <w:bookmarkEnd w:id="11"/>
      <w:bookmarkEnd w:id="12"/>
    </w:p>
    <w:p w14:paraId="3BB899A7" w14:textId="77777777" w:rsidR="00486E44" w:rsidRDefault="00486E44" w:rsidP="00486E44">
      <w:r>
        <w:t xml:space="preserve">This guide is commodity specific to business machines. </w:t>
      </w:r>
    </w:p>
    <w:p w14:paraId="33EB6F5D" w14:textId="77777777" w:rsidR="00486E44" w:rsidRDefault="00486E44" w:rsidP="00486E44">
      <w:r>
        <w:t xml:space="preserve">Sustainability considerations should be incorporated at every stage of the procurement process. Opportunities and strategies exist to address environmental and social impacts during procurement planning (including demand analysis), supplier engagement and through the management of supply arrangements. </w:t>
      </w:r>
    </w:p>
    <w:p w14:paraId="6A1C1880" w14:textId="77777777" w:rsidR="00486E44" w:rsidRDefault="00486E44" w:rsidP="00486E44">
      <w:r>
        <w:t xml:space="preserve">The suggested criteria contained in this guide may be applied at any stage of the process. The interpretation, modification and suitability of the criteria must be considered by the contract manager at the time of planning a procurement arrangement. Consideration should also be given to where in the procurement </w:t>
      </w:r>
      <w:proofErr w:type="gramStart"/>
      <w:r>
        <w:t>process</w:t>
      </w:r>
      <w:proofErr w:type="gramEnd"/>
      <w:r>
        <w:t xml:space="preserve"> they should be applied for maximum benefit.</w:t>
      </w:r>
    </w:p>
    <w:p w14:paraId="52E4DEE9" w14:textId="77777777" w:rsidR="00486E44" w:rsidRDefault="00486E44" w:rsidP="00486E44">
      <w:r>
        <w:t>The suggested specifications will not be suitable for all agencies, nor relevant in all markets or procurement contexts. The sustainable procurement responses may be affected by factors including market readiness, availability of supply, product complexity and maturity, and organisational needs. Each procurement arrangement will be different.</w:t>
      </w:r>
    </w:p>
    <w:p w14:paraId="31486683" w14:textId="77777777" w:rsidR="00486E44" w:rsidRDefault="00486E44" w:rsidP="00486E44">
      <w:pPr>
        <w:pStyle w:val="Heading1"/>
      </w:pPr>
      <w:bookmarkStart w:id="13" w:name="_Toc389037139"/>
      <w:bookmarkStart w:id="14" w:name="_Toc485394969"/>
      <w:bookmarkStart w:id="15" w:name="_Toc529882324"/>
      <w:bookmarkStart w:id="16" w:name="_Toc207780061"/>
      <w:r>
        <w:t>Introduction to business machines</w:t>
      </w:r>
      <w:bookmarkEnd w:id="13"/>
      <w:bookmarkEnd w:id="14"/>
      <w:bookmarkEnd w:id="15"/>
      <w:bookmarkEnd w:id="16"/>
    </w:p>
    <w:p w14:paraId="41918F93" w14:textId="77777777" w:rsidR="00486E44" w:rsidRDefault="00486E44" w:rsidP="00486E44">
      <w:pPr>
        <w:pStyle w:val="Heading2"/>
        <w:spacing w:before="240"/>
      </w:pPr>
      <w:bookmarkStart w:id="17" w:name="_Toc389037140"/>
      <w:bookmarkStart w:id="18" w:name="_Toc485394970"/>
      <w:bookmarkStart w:id="19" w:name="_Toc529882325"/>
      <w:bookmarkStart w:id="20" w:name="_Toc207780062"/>
      <w:r>
        <w:t>Scope</w:t>
      </w:r>
      <w:bookmarkEnd w:id="17"/>
      <w:bookmarkEnd w:id="18"/>
      <w:bookmarkEnd w:id="19"/>
      <w:bookmarkEnd w:id="20"/>
    </w:p>
    <w:p w14:paraId="083DC808" w14:textId="77777777" w:rsidR="00486E44" w:rsidRPr="003F34A9" w:rsidRDefault="00486E44" w:rsidP="00486E44">
      <w:proofErr w:type="gramStart"/>
      <w:r w:rsidRPr="003F34A9">
        <w:t>For the purpose of</w:t>
      </w:r>
      <w:proofErr w:type="gramEnd"/>
      <w:r w:rsidRPr="003F34A9">
        <w:t xml:space="preserve"> this </w:t>
      </w:r>
      <w:r>
        <w:t>guide</w:t>
      </w:r>
      <w:r w:rsidRPr="003F34A9">
        <w:t>, the following categories of business machines are considered: multifunctional devices,</w:t>
      </w:r>
      <w:r>
        <w:t xml:space="preserve"> </w:t>
      </w:r>
      <w:r w:rsidRPr="003F34A9">
        <w:t>photocopiers, printers, scanners and fax machines.</w:t>
      </w:r>
      <w:r>
        <w:t xml:space="preserve"> </w:t>
      </w:r>
    </w:p>
    <w:p w14:paraId="452F9547" w14:textId="77777777" w:rsidR="00486E44" w:rsidRDefault="00486E44" w:rsidP="00486E44">
      <w:r w:rsidRPr="003F34A9">
        <w:t>It does not include products such as commercial production printing equipment or any product that is solely powered by</w:t>
      </w:r>
      <w:r>
        <w:t xml:space="preserve"> </w:t>
      </w:r>
      <w:r w:rsidRPr="003F34A9">
        <w:t>batteries.</w:t>
      </w:r>
    </w:p>
    <w:p w14:paraId="4D7E8B60" w14:textId="77777777" w:rsidR="00486E44" w:rsidRPr="003F34A9" w:rsidRDefault="00486E44" w:rsidP="00486E44">
      <w:pPr>
        <w:pStyle w:val="Heading2"/>
        <w:spacing w:before="240"/>
        <w:rPr>
          <w:rFonts w:cs="Times New Roman"/>
          <w:b w:val="0"/>
          <w:bCs/>
          <w:color w:val="auto"/>
          <w:sz w:val="22"/>
          <w:szCs w:val="24"/>
        </w:rPr>
      </w:pPr>
      <w:bookmarkStart w:id="21" w:name="_Toc389037141"/>
      <w:bookmarkStart w:id="22" w:name="_Toc485394971"/>
      <w:bookmarkStart w:id="23" w:name="_Toc529882326"/>
      <w:bookmarkStart w:id="24" w:name="_Toc207780063"/>
      <w:r>
        <w:t>Fitness for purpose</w:t>
      </w:r>
      <w:bookmarkEnd w:id="21"/>
      <w:bookmarkEnd w:id="22"/>
      <w:bookmarkEnd w:id="23"/>
      <w:bookmarkEnd w:id="24"/>
    </w:p>
    <w:p w14:paraId="0AB5BFC4" w14:textId="77777777" w:rsidR="00486E44" w:rsidRPr="003F34A9" w:rsidRDefault="00486E44" w:rsidP="00486E44">
      <w:r w:rsidRPr="003F34A9">
        <w:t xml:space="preserve">For the purposes of this </w:t>
      </w:r>
      <w:r>
        <w:t>guide</w:t>
      </w:r>
      <w:r w:rsidRPr="003F34A9">
        <w:t>, it is assumed that the product shall be fit for its intended application and the purpose for</w:t>
      </w:r>
      <w:r>
        <w:t xml:space="preserve"> </w:t>
      </w:r>
      <w:r w:rsidRPr="003F34A9">
        <w:t>which it was manufactured. The product must be accompanied by warranty periods emphasising durability and quality</w:t>
      </w:r>
      <w:r>
        <w:t xml:space="preserve"> </w:t>
      </w:r>
      <w:r w:rsidRPr="003F34A9">
        <w:t>performance.</w:t>
      </w:r>
    </w:p>
    <w:p w14:paraId="798A662A" w14:textId="77777777" w:rsidR="00486E44" w:rsidRDefault="00486E44" w:rsidP="00486E44">
      <w:r w:rsidRPr="003F34A9">
        <w:t xml:space="preserve">Products are assumed to be certified by mandatory Australian Standards or equivalent </w:t>
      </w:r>
      <w:r>
        <w:t>i</w:t>
      </w:r>
      <w:r w:rsidRPr="003F34A9">
        <w:t>nternational standards.</w:t>
      </w:r>
    </w:p>
    <w:p w14:paraId="4D7E60A7" w14:textId="77777777" w:rsidR="00486E44" w:rsidRDefault="00486E44" w:rsidP="00486E44">
      <w:pPr>
        <w:pStyle w:val="Heading1"/>
      </w:pPr>
      <w:bookmarkStart w:id="25" w:name="_Toc389037142"/>
      <w:bookmarkStart w:id="26" w:name="_Toc485394972"/>
      <w:bookmarkStart w:id="27" w:name="_Toc529882327"/>
      <w:bookmarkStart w:id="28" w:name="_Toc207780064"/>
      <w:r>
        <w:lastRenderedPageBreak/>
        <w:t>Business machines: Summary of sustainability impacts and responses</w:t>
      </w:r>
      <w:bookmarkEnd w:id="25"/>
      <w:bookmarkEnd w:id="26"/>
      <w:bookmarkEnd w:id="27"/>
      <w:bookmarkEnd w:id="28"/>
    </w:p>
    <w:p w14:paraId="044EC934" w14:textId="77777777" w:rsidR="00486E44" w:rsidRDefault="00486E44" w:rsidP="00486E44">
      <w:pPr>
        <w:pStyle w:val="Heading2"/>
        <w:spacing w:before="240"/>
      </w:pPr>
      <w:bookmarkStart w:id="29" w:name="_Toc389037143"/>
      <w:bookmarkStart w:id="30" w:name="_Toc485394973"/>
      <w:bookmarkStart w:id="31" w:name="_Toc529882328"/>
      <w:bookmarkStart w:id="32" w:name="_Toc207780065"/>
      <w:r>
        <w:t>Product development</w:t>
      </w:r>
      <w:bookmarkEnd w:id="29"/>
      <w:bookmarkEnd w:id="30"/>
      <w:bookmarkEnd w:id="31"/>
      <w:bookmarkEnd w:id="32"/>
    </w:p>
    <w:p w14:paraId="5D897DE5" w14:textId="77777777" w:rsidR="00486E44" w:rsidRDefault="00486E44" w:rsidP="00486E44">
      <w:pPr>
        <w:pStyle w:val="Heading3"/>
      </w:pPr>
      <w:bookmarkStart w:id="33" w:name="_Toc389037144"/>
      <w:bookmarkStart w:id="34" w:name="_Toc485394974"/>
      <w:bookmarkStart w:id="35" w:name="_Toc529882329"/>
      <w:r>
        <w:t>Material choice</w:t>
      </w:r>
      <w:bookmarkEnd w:id="33"/>
      <w:bookmarkEnd w:id="34"/>
      <w:bookmarkEnd w:id="35"/>
    </w:p>
    <w:p w14:paraId="7EAFA842" w14:textId="77777777" w:rsidR="00486E44" w:rsidRDefault="00486E44" w:rsidP="00486E44">
      <w:pPr>
        <w:rPr>
          <w:b/>
          <w:i/>
          <w:iCs/>
        </w:rPr>
      </w:pPr>
      <w:r w:rsidRPr="00393738">
        <w:t>Procure business machines with</w:t>
      </w:r>
      <w:r>
        <w:t xml:space="preserve"> </w:t>
      </w:r>
      <w:r w:rsidRPr="00393738">
        <w:t xml:space="preserve">a minimal </w:t>
      </w:r>
      <w:proofErr w:type="gramStart"/>
      <w:r w:rsidRPr="00393738">
        <w:t>amount</w:t>
      </w:r>
      <w:proofErr w:type="gramEnd"/>
      <w:r w:rsidRPr="00393738">
        <w:t xml:space="preserve"> of hazardous</w:t>
      </w:r>
      <w:r>
        <w:t xml:space="preserve"> </w:t>
      </w:r>
      <w:r w:rsidRPr="00393738">
        <w:t>constituents.</w:t>
      </w:r>
    </w:p>
    <w:p w14:paraId="33D6E5A9" w14:textId="77777777" w:rsidR="00486E44" w:rsidRPr="00335E02" w:rsidRDefault="00486E44" w:rsidP="00486E44">
      <w:pPr>
        <w:pStyle w:val="Heading3"/>
      </w:pPr>
      <w:bookmarkStart w:id="36" w:name="_Toc389037145"/>
      <w:bookmarkStart w:id="37" w:name="_Toc485394975"/>
      <w:bookmarkStart w:id="38" w:name="_Toc529882330"/>
      <w:r w:rsidRPr="00335E02">
        <w:t>Product design and manufacturing process</w:t>
      </w:r>
      <w:bookmarkEnd w:id="36"/>
      <w:bookmarkEnd w:id="37"/>
      <w:bookmarkEnd w:id="38"/>
    </w:p>
    <w:p w14:paraId="56355DA2" w14:textId="77777777" w:rsidR="00486E44" w:rsidRPr="00335E02" w:rsidRDefault="00486E44" w:rsidP="00486E44">
      <w:pPr>
        <w:pStyle w:val="Heading4"/>
      </w:pPr>
      <w:r w:rsidRPr="00335E02">
        <w:t>Product design</w:t>
      </w:r>
    </w:p>
    <w:p w14:paraId="5855F681" w14:textId="77777777" w:rsidR="00486E44" w:rsidRDefault="00486E44" w:rsidP="00486E44">
      <w:pPr>
        <w:rPr>
          <w:lang w:eastAsia="en-AU"/>
        </w:rPr>
      </w:pPr>
      <w:r>
        <w:rPr>
          <w:lang w:eastAsia="en-AU"/>
        </w:rPr>
        <w:t>Procure business machines designed for optimum recovery of components or materials for recycling, are easy to disassemble and incorporate options for life extension.</w:t>
      </w:r>
    </w:p>
    <w:p w14:paraId="74DE86DB" w14:textId="77777777" w:rsidR="00486E44" w:rsidRDefault="00486E44" w:rsidP="00486E44">
      <w:pPr>
        <w:pStyle w:val="Heading4"/>
      </w:pPr>
      <w:r>
        <w:t>Manufacturing process</w:t>
      </w:r>
    </w:p>
    <w:p w14:paraId="17E87127" w14:textId="77777777" w:rsidR="00486E44" w:rsidRPr="008B401C" w:rsidRDefault="00486E44" w:rsidP="00486E44">
      <w:pPr>
        <w:rPr>
          <w:lang w:eastAsia="en-AU"/>
        </w:rPr>
      </w:pPr>
      <w:r>
        <w:rPr>
          <w:lang w:eastAsia="en-AU"/>
        </w:rPr>
        <w:t>Procure business machines from suppliers that implement appropriate practices and systems to manage the environmental and social impacts throughout the product manufacturing process.</w:t>
      </w:r>
    </w:p>
    <w:p w14:paraId="4B49A6BB" w14:textId="77777777" w:rsidR="00486E44" w:rsidRDefault="00486E44" w:rsidP="00486E44">
      <w:pPr>
        <w:pStyle w:val="Heading2"/>
        <w:spacing w:before="240"/>
      </w:pPr>
      <w:bookmarkStart w:id="39" w:name="_Toc389037146"/>
      <w:bookmarkStart w:id="40" w:name="_Toc485394976"/>
      <w:bookmarkStart w:id="41" w:name="_Toc529882331"/>
      <w:bookmarkStart w:id="42" w:name="_Toc207780066"/>
      <w:r>
        <w:t>Packaging and transport</w:t>
      </w:r>
      <w:bookmarkEnd w:id="39"/>
      <w:bookmarkEnd w:id="40"/>
      <w:bookmarkEnd w:id="41"/>
      <w:bookmarkEnd w:id="42"/>
    </w:p>
    <w:p w14:paraId="638E2B4C" w14:textId="77777777" w:rsidR="00486E44" w:rsidRPr="00335E02" w:rsidRDefault="00486E44" w:rsidP="00486E44">
      <w:pPr>
        <w:pStyle w:val="Heading3"/>
      </w:pPr>
      <w:bookmarkStart w:id="43" w:name="_Toc389037147"/>
      <w:bookmarkStart w:id="44" w:name="_Toc485394977"/>
      <w:bookmarkStart w:id="45" w:name="_Toc529882332"/>
      <w:r w:rsidRPr="00335E02">
        <w:t>Packaging</w:t>
      </w:r>
      <w:bookmarkEnd w:id="43"/>
      <w:bookmarkEnd w:id="44"/>
      <w:bookmarkEnd w:id="45"/>
    </w:p>
    <w:p w14:paraId="601FFADE" w14:textId="77777777" w:rsidR="00486E44" w:rsidRDefault="00486E44" w:rsidP="00486E44">
      <w:r>
        <w:t>Ensure packaging supplied with the procured business machines is recyclable and contains recycled content and no toxic substances.</w:t>
      </w:r>
    </w:p>
    <w:p w14:paraId="45E804F1" w14:textId="77777777" w:rsidR="00486E44" w:rsidRDefault="00486E44" w:rsidP="00486E44">
      <w:r>
        <w:t>Engage suppliers that can demonstrate initiatives to minimise the environmental impacts of packaging through better design and reuse or recycling of product packaging.</w:t>
      </w:r>
    </w:p>
    <w:p w14:paraId="711279C6" w14:textId="77777777" w:rsidR="00486E44" w:rsidRPr="00335E02" w:rsidRDefault="00486E44" w:rsidP="00486E44">
      <w:pPr>
        <w:pStyle w:val="Heading3"/>
      </w:pPr>
      <w:bookmarkStart w:id="46" w:name="_Toc389037148"/>
      <w:bookmarkStart w:id="47" w:name="_Toc485394978"/>
      <w:bookmarkStart w:id="48" w:name="_Toc529882333"/>
      <w:r w:rsidRPr="00335E02">
        <w:t>Transportation</w:t>
      </w:r>
      <w:bookmarkEnd w:id="46"/>
      <w:bookmarkEnd w:id="47"/>
      <w:bookmarkEnd w:id="48"/>
    </w:p>
    <w:p w14:paraId="6CD6942B" w14:textId="77777777" w:rsidR="00486E44" w:rsidRDefault="00486E44" w:rsidP="00486E44">
      <w:r w:rsidRPr="00987B9B">
        <w:t>Procure business machines from</w:t>
      </w:r>
      <w:r>
        <w:t xml:space="preserve"> </w:t>
      </w:r>
      <w:r w:rsidRPr="00987B9B">
        <w:t>suppliers that can demonstrate</w:t>
      </w:r>
      <w:r>
        <w:t xml:space="preserve"> </w:t>
      </w:r>
      <w:r w:rsidRPr="00987B9B">
        <w:t>initiatives to reduce the</w:t>
      </w:r>
      <w:r>
        <w:t xml:space="preserve"> </w:t>
      </w:r>
      <w:r w:rsidRPr="00987B9B">
        <w:t>environmental impacts associated</w:t>
      </w:r>
      <w:r>
        <w:t xml:space="preserve"> </w:t>
      </w:r>
      <w:r w:rsidRPr="00987B9B">
        <w:t>from transportation and distribution</w:t>
      </w:r>
      <w:r>
        <w:t xml:space="preserve"> </w:t>
      </w:r>
      <w:r w:rsidRPr="00987B9B">
        <w:t>of the product.</w:t>
      </w:r>
    </w:p>
    <w:p w14:paraId="7EFF1D8B" w14:textId="77777777" w:rsidR="00486E44" w:rsidRDefault="00486E44" w:rsidP="00486E44">
      <w:pPr>
        <w:pStyle w:val="Heading2"/>
        <w:spacing w:before="240"/>
      </w:pPr>
      <w:bookmarkStart w:id="49" w:name="_Toc389037149"/>
      <w:bookmarkStart w:id="50" w:name="_Toc485394979"/>
      <w:bookmarkStart w:id="51" w:name="_Toc529882334"/>
      <w:bookmarkStart w:id="52" w:name="_Toc207780067"/>
      <w:r>
        <w:t>Operational use</w:t>
      </w:r>
      <w:bookmarkEnd w:id="49"/>
      <w:bookmarkEnd w:id="50"/>
      <w:bookmarkEnd w:id="51"/>
      <w:bookmarkEnd w:id="52"/>
    </w:p>
    <w:p w14:paraId="1C1D5B4E" w14:textId="77777777" w:rsidR="00486E44" w:rsidRDefault="00486E44" w:rsidP="00486E44">
      <w:pPr>
        <w:pStyle w:val="Heading3"/>
      </w:pPr>
      <w:bookmarkStart w:id="53" w:name="_Toc389037150"/>
      <w:bookmarkStart w:id="54" w:name="_Toc485394980"/>
      <w:bookmarkStart w:id="55" w:name="_Toc529882335"/>
      <w:r>
        <w:t>Use of consumables</w:t>
      </w:r>
      <w:bookmarkEnd w:id="53"/>
      <w:bookmarkEnd w:id="54"/>
      <w:bookmarkEnd w:id="55"/>
    </w:p>
    <w:p w14:paraId="2D4471EA" w14:textId="77777777" w:rsidR="00486E44" w:rsidRDefault="00486E44" w:rsidP="00486E44">
      <w:pPr>
        <w:rPr>
          <w:lang w:eastAsia="en-AU"/>
        </w:rPr>
      </w:pPr>
      <w:r>
        <w:rPr>
          <w:lang w:eastAsia="en-AU"/>
        </w:rPr>
        <w:t>Procure business machines with efficiencies that minimise the use of consumables during operation, and with features that assist users in reducing the use of consumables.</w:t>
      </w:r>
    </w:p>
    <w:p w14:paraId="35D2E8CA" w14:textId="77777777" w:rsidR="00486E44" w:rsidRDefault="00486E44" w:rsidP="00486E44">
      <w:pPr>
        <w:pStyle w:val="Heading3"/>
      </w:pPr>
      <w:bookmarkStart w:id="56" w:name="_Toc389037151"/>
      <w:bookmarkStart w:id="57" w:name="_Toc485394981"/>
      <w:bookmarkStart w:id="58" w:name="_Toc529882336"/>
      <w:r>
        <w:t>Energy</w:t>
      </w:r>
      <w:bookmarkEnd w:id="56"/>
      <w:bookmarkEnd w:id="57"/>
      <w:bookmarkEnd w:id="58"/>
    </w:p>
    <w:p w14:paraId="77394B7F" w14:textId="77777777" w:rsidR="00486E44" w:rsidRDefault="00486E44" w:rsidP="00486E44">
      <w:pPr>
        <w:rPr>
          <w:lang w:eastAsia="en-AU"/>
        </w:rPr>
      </w:pPr>
      <w:r>
        <w:rPr>
          <w:lang w:eastAsia="en-AU"/>
        </w:rPr>
        <w:t>Procure business machines with features to assist with the reduction of energy consumption in all operational modes (i.e. on/standby/off) and which are compliant with the latest Energy Star standard.</w:t>
      </w:r>
    </w:p>
    <w:p w14:paraId="6C12373A" w14:textId="77777777" w:rsidR="00486E44" w:rsidRDefault="00486E44" w:rsidP="00486E44">
      <w:pPr>
        <w:pStyle w:val="Heading3"/>
      </w:pPr>
      <w:bookmarkStart w:id="59" w:name="_Toc389037152"/>
      <w:bookmarkStart w:id="60" w:name="_Toc485394982"/>
      <w:bookmarkStart w:id="61" w:name="_Toc529882337"/>
      <w:r>
        <w:t>Noise and emissions</w:t>
      </w:r>
      <w:bookmarkEnd w:id="59"/>
      <w:bookmarkEnd w:id="60"/>
      <w:bookmarkEnd w:id="61"/>
    </w:p>
    <w:p w14:paraId="11DDA216" w14:textId="77777777" w:rsidR="00486E44" w:rsidRDefault="00486E44" w:rsidP="00486E44">
      <w:pPr>
        <w:rPr>
          <w:lang w:eastAsia="en-AU"/>
        </w:rPr>
      </w:pPr>
      <w:r>
        <w:rPr>
          <w:lang w:eastAsia="en-AU"/>
        </w:rPr>
        <w:t>Procure business machines with reduced noise and emission levels, from suppliers that can demonstrate initiatives and commitment towards providing low noise and emission products.</w:t>
      </w:r>
    </w:p>
    <w:p w14:paraId="7E9FDCC3" w14:textId="77777777" w:rsidR="00486E44" w:rsidRDefault="00486E44" w:rsidP="00486E44">
      <w:pPr>
        <w:spacing w:after="0"/>
        <w:rPr>
          <w:rFonts w:cs="Arial"/>
          <w:b/>
          <w:bCs/>
          <w:color w:val="708090"/>
          <w:sz w:val="28"/>
          <w:szCs w:val="20"/>
          <w:lang w:eastAsia="en-AU"/>
        </w:rPr>
      </w:pPr>
      <w:bookmarkStart w:id="62" w:name="_Toc389037153"/>
      <w:bookmarkStart w:id="63" w:name="_Toc485394983"/>
      <w:bookmarkStart w:id="64" w:name="_Toc529882338"/>
      <w:r>
        <w:br w:type="page"/>
      </w:r>
    </w:p>
    <w:p w14:paraId="55E51C93" w14:textId="77777777" w:rsidR="00486E44" w:rsidRDefault="00486E44" w:rsidP="00486E44">
      <w:pPr>
        <w:pStyle w:val="Heading2"/>
      </w:pPr>
      <w:bookmarkStart w:id="65" w:name="_Toc207780068"/>
      <w:r>
        <w:lastRenderedPageBreak/>
        <w:t>End-of-life management</w:t>
      </w:r>
      <w:bookmarkEnd w:id="62"/>
      <w:bookmarkEnd w:id="63"/>
      <w:bookmarkEnd w:id="64"/>
      <w:bookmarkEnd w:id="65"/>
    </w:p>
    <w:p w14:paraId="5186176E" w14:textId="77777777" w:rsidR="00486E44" w:rsidRDefault="00486E44" w:rsidP="00486E44">
      <w:pPr>
        <w:pStyle w:val="Heading3"/>
      </w:pPr>
      <w:bookmarkStart w:id="66" w:name="_Toc389037154"/>
      <w:bookmarkStart w:id="67" w:name="_Toc485394984"/>
      <w:bookmarkStart w:id="68" w:name="_Toc529882339"/>
      <w:r>
        <w:t>End-of-life management</w:t>
      </w:r>
      <w:bookmarkEnd w:id="66"/>
      <w:bookmarkEnd w:id="67"/>
      <w:bookmarkEnd w:id="68"/>
    </w:p>
    <w:p w14:paraId="203DC39C" w14:textId="77777777" w:rsidR="00486E44" w:rsidRPr="0093379A" w:rsidRDefault="00486E44" w:rsidP="00486E44">
      <w:pPr>
        <w:rPr>
          <w:lang w:eastAsia="en-AU"/>
        </w:rPr>
      </w:pPr>
      <w:r>
        <w:rPr>
          <w:lang w:eastAsia="en-AU"/>
        </w:rPr>
        <w:t xml:space="preserve">Procure business machines from suppliers who offer life extension options, </w:t>
      </w:r>
      <w:proofErr w:type="gramStart"/>
      <w:r>
        <w:rPr>
          <w:lang w:eastAsia="en-AU"/>
        </w:rPr>
        <w:t>and also</w:t>
      </w:r>
      <w:proofErr w:type="gramEnd"/>
      <w:r>
        <w:rPr>
          <w:lang w:eastAsia="en-AU"/>
        </w:rPr>
        <w:t xml:space="preserve"> services to ensure responsible recycling and disposal of equipment at the end of its useful life.</w:t>
      </w:r>
    </w:p>
    <w:p w14:paraId="7C85F9AE" w14:textId="77777777" w:rsidR="00486E44" w:rsidRDefault="00486E44" w:rsidP="00486E44">
      <w:pPr>
        <w:pStyle w:val="Heading1"/>
      </w:pPr>
      <w:bookmarkStart w:id="69" w:name="_Toc389037155"/>
      <w:bookmarkStart w:id="70" w:name="_Toc485394985"/>
      <w:bookmarkStart w:id="71" w:name="_Toc529882340"/>
      <w:bookmarkStart w:id="72" w:name="_Toc207780069"/>
      <w:r w:rsidRPr="00CA33F3">
        <w:t>Suggested criteria</w:t>
      </w:r>
      <w:bookmarkEnd w:id="69"/>
      <w:bookmarkEnd w:id="70"/>
      <w:bookmarkEnd w:id="71"/>
      <w:bookmarkEnd w:id="72"/>
    </w:p>
    <w:p w14:paraId="3AC88963" w14:textId="77777777" w:rsidR="00486E44" w:rsidRDefault="00486E44" w:rsidP="00486E44">
      <w:pPr>
        <w:pStyle w:val="Heading2"/>
        <w:spacing w:before="240"/>
      </w:pPr>
      <w:bookmarkStart w:id="73" w:name="_Toc389037156"/>
      <w:bookmarkStart w:id="74" w:name="_Toc485394986"/>
      <w:bookmarkStart w:id="75" w:name="_Toc529882341"/>
      <w:bookmarkStart w:id="76" w:name="_Toc207780070"/>
      <w:r>
        <w:t>Product development</w:t>
      </w:r>
      <w:bookmarkEnd w:id="73"/>
      <w:bookmarkEnd w:id="74"/>
      <w:bookmarkEnd w:id="75"/>
      <w:bookmarkEnd w:id="76"/>
    </w:p>
    <w:p w14:paraId="3A4B7A80" w14:textId="77777777" w:rsidR="00486E44" w:rsidRPr="00CA33F3" w:rsidRDefault="00486E44" w:rsidP="00486E44">
      <w:pPr>
        <w:pStyle w:val="Heading3"/>
      </w:pPr>
      <w:bookmarkStart w:id="77" w:name="_Toc389037157"/>
      <w:bookmarkStart w:id="78" w:name="_Toc485394987"/>
      <w:bookmarkStart w:id="79" w:name="_Toc529882342"/>
      <w:r>
        <w:t>Material choice</w:t>
      </w:r>
      <w:bookmarkEnd w:id="77"/>
      <w:bookmarkEnd w:id="78"/>
      <w:bookmarkEnd w:id="79"/>
    </w:p>
    <w:p w14:paraId="7CA74AAD" w14:textId="77777777" w:rsidR="00486E44" w:rsidRPr="00FD0A05" w:rsidRDefault="00486E44" w:rsidP="00486E44">
      <w:pPr>
        <w:numPr>
          <w:ilvl w:val="0"/>
          <w:numId w:val="10"/>
        </w:numPr>
        <w:spacing w:before="180" w:after="60" w:line="264" w:lineRule="auto"/>
        <w:rPr>
          <w:lang w:eastAsia="en-AU"/>
        </w:rPr>
      </w:pPr>
      <w:r w:rsidRPr="00CA33F3">
        <w:rPr>
          <w:b/>
          <w:lang w:eastAsia="en-AU"/>
        </w:rPr>
        <w:t>Issue.</w:t>
      </w:r>
      <w:r w:rsidRPr="00CD371A">
        <w:t xml:space="preserve"> </w:t>
      </w:r>
      <w:r>
        <w:t>Business machines contain hazardous substance and heavy metals which pose environmental risks at all stages of the product lifecycle and influence the options for disposal at the end-of-life of the product.</w:t>
      </w:r>
    </w:p>
    <w:p w14:paraId="38E8C84F" w14:textId="77777777" w:rsidR="00486E44" w:rsidRDefault="00486E44" w:rsidP="00486E44">
      <w:pPr>
        <w:numPr>
          <w:ilvl w:val="0"/>
          <w:numId w:val="10"/>
        </w:numPr>
        <w:spacing w:before="180" w:after="60" w:line="264" w:lineRule="auto"/>
        <w:rPr>
          <w:lang w:eastAsia="en-AU"/>
        </w:rPr>
      </w:pPr>
      <w:r w:rsidRPr="00CD371A">
        <w:rPr>
          <w:b/>
          <w:lang w:eastAsia="en-AU"/>
        </w:rPr>
        <w:t>Response.</w:t>
      </w:r>
      <w:r>
        <w:rPr>
          <w:lang w:eastAsia="en-AU"/>
        </w:rPr>
        <w:t xml:space="preserve"> </w:t>
      </w:r>
      <w:r w:rsidRPr="00CA33F3">
        <w:rPr>
          <w:lang w:eastAsia="en-AU"/>
        </w:rPr>
        <w:t xml:space="preserve">Procure business machines with a minimal </w:t>
      </w:r>
      <w:proofErr w:type="gramStart"/>
      <w:r w:rsidRPr="00CA33F3">
        <w:rPr>
          <w:lang w:eastAsia="en-AU"/>
        </w:rPr>
        <w:t>amount</w:t>
      </w:r>
      <w:proofErr w:type="gramEnd"/>
      <w:r w:rsidRPr="00CA33F3">
        <w:rPr>
          <w:lang w:eastAsia="en-AU"/>
        </w:rPr>
        <w:t xml:space="preserve"> of hazardous constituents.</w:t>
      </w:r>
    </w:p>
    <w:p w14:paraId="5559431C" w14:textId="77777777" w:rsidR="00486E44" w:rsidRDefault="00486E44" w:rsidP="00486E44">
      <w:pPr>
        <w:spacing w:after="0"/>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10942C4F" w14:textId="77777777" w:rsidTr="006509D4">
        <w:trPr>
          <w:cantSplit/>
        </w:trPr>
        <w:tc>
          <w:tcPr>
            <w:tcW w:w="2500" w:type="pct"/>
            <w:shd w:val="clear" w:color="auto" w:fill="0070C0"/>
          </w:tcPr>
          <w:p w14:paraId="5C705CCA" w14:textId="77777777" w:rsidR="00486E44" w:rsidRPr="00972AE8" w:rsidRDefault="00486E44" w:rsidP="006509D4">
            <w:pPr>
              <w:pStyle w:val="Tableheadings"/>
            </w:pPr>
            <w:r w:rsidRPr="00D51C7E">
              <w:t>Minimum performance criteria</w:t>
            </w:r>
          </w:p>
        </w:tc>
        <w:tc>
          <w:tcPr>
            <w:tcW w:w="2500" w:type="pct"/>
            <w:shd w:val="clear" w:color="auto" w:fill="0070C0"/>
          </w:tcPr>
          <w:p w14:paraId="5DA4A67F" w14:textId="77777777" w:rsidR="00486E44" w:rsidRDefault="00486E44" w:rsidP="006509D4">
            <w:pPr>
              <w:pStyle w:val="Tableheadings"/>
            </w:pPr>
            <w:r w:rsidRPr="0047552D">
              <w:t>Best practice performance criteria</w:t>
            </w:r>
          </w:p>
        </w:tc>
      </w:tr>
      <w:tr w:rsidR="00486E44" w:rsidRPr="00972AE8" w14:paraId="62BCAE86" w14:textId="77777777" w:rsidTr="006509D4">
        <w:trPr>
          <w:cantSplit/>
        </w:trPr>
        <w:tc>
          <w:tcPr>
            <w:tcW w:w="2500" w:type="pct"/>
            <w:shd w:val="clear" w:color="auto" w:fill="auto"/>
          </w:tcPr>
          <w:p w14:paraId="1F7481D5" w14:textId="77777777" w:rsidR="00486E44" w:rsidRDefault="00486E44" w:rsidP="006509D4">
            <w:pPr>
              <w:spacing w:after="0"/>
              <w:rPr>
                <w:rFonts w:cs="Arial"/>
                <w:b/>
                <w:sz w:val="19"/>
                <w:szCs w:val="19"/>
              </w:rPr>
            </w:pPr>
            <w:r w:rsidRPr="007747B0">
              <w:rPr>
                <w:rFonts w:cs="Arial"/>
                <w:b/>
                <w:sz w:val="19"/>
                <w:szCs w:val="19"/>
              </w:rPr>
              <w:t>Minimum specification or contract performance clause:</w:t>
            </w:r>
          </w:p>
          <w:p w14:paraId="53A58585" w14:textId="77777777" w:rsidR="00486E44" w:rsidRPr="007747B0" w:rsidRDefault="00486E44" w:rsidP="006509D4">
            <w:pPr>
              <w:spacing w:after="0"/>
              <w:rPr>
                <w:rFonts w:cs="Arial"/>
                <w:b/>
                <w:i/>
                <w:sz w:val="19"/>
                <w:szCs w:val="19"/>
              </w:rPr>
            </w:pPr>
            <w:r w:rsidRPr="007747B0">
              <w:rPr>
                <w:rFonts w:cs="Arial"/>
                <w:b/>
                <w:i/>
                <w:sz w:val="19"/>
                <w:szCs w:val="19"/>
              </w:rPr>
              <w:t>Prohibited substances</w:t>
            </w:r>
          </w:p>
          <w:p w14:paraId="1000218D" w14:textId="77777777" w:rsidR="00486E44" w:rsidRPr="007747B0" w:rsidRDefault="00486E44" w:rsidP="006509D4">
            <w:pPr>
              <w:spacing w:after="0"/>
              <w:rPr>
                <w:rFonts w:cs="Arial"/>
                <w:sz w:val="19"/>
                <w:szCs w:val="19"/>
              </w:rPr>
            </w:pPr>
            <w:r w:rsidRPr="007747B0">
              <w:rPr>
                <w:rFonts w:cs="Arial"/>
                <w:sz w:val="19"/>
                <w:szCs w:val="19"/>
              </w:rPr>
              <w:t>The offered products must not contain the following</w:t>
            </w:r>
            <w:r>
              <w:rPr>
                <w:rFonts w:cs="Arial"/>
                <w:sz w:val="19"/>
                <w:szCs w:val="19"/>
              </w:rPr>
              <w:t xml:space="preserve"> </w:t>
            </w:r>
            <w:r w:rsidRPr="007747B0">
              <w:rPr>
                <w:rFonts w:cs="Arial"/>
                <w:sz w:val="19"/>
                <w:szCs w:val="19"/>
              </w:rPr>
              <w:t>hazardous substances:</w:t>
            </w:r>
          </w:p>
          <w:p w14:paraId="7013D6B7"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lead</w:t>
            </w:r>
          </w:p>
          <w:p w14:paraId="44212909"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mercury</w:t>
            </w:r>
          </w:p>
          <w:p w14:paraId="4730102B"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cadmium</w:t>
            </w:r>
          </w:p>
          <w:p w14:paraId="19E9098E"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hexavalent chromium</w:t>
            </w:r>
          </w:p>
          <w:p w14:paraId="1C204E73"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polybrominated biphenyl (PBB)</w:t>
            </w:r>
          </w:p>
          <w:p w14:paraId="1E6E5EA8"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 xml:space="preserve">polybrominated </w:t>
            </w:r>
            <w:proofErr w:type="spellStart"/>
            <w:r w:rsidRPr="007747B0">
              <w:rPr>
                <w:rFonts w:cs="Arial"/>
                <w:sz w:val="19"/>
                <w:szCs w:val="19"/>
              </w:rPr>
              <w:t>diphenly</w:t>
            </w:r>
            <w:proofErr w:type="spellEnd"/>
            <w:r w:rsidRPr="007747B0">
              <w:rPr>
                <w:rFonts w:cs="Arial"/>
                <w:sz w:val="19"/>
                <w:szCs w:val="19"/>
              </w:rPr>
              <w:t xml:space="preserve"> ether (PBDE).</w:t>
            </w:r>
          </w:p>
          <w:p w14:paraId="0B321472" w14:textId="77777777" w:rsidR="00486E44" w:rsidRDefault="00486E44" w:rsidP="006509D4">
            <w:pPr>
              <w:pStyle w:val="Tableheadings"/>
            </w:pPr>
          </w:p>
          <w:p w14:paraId="1B4722D9" w14:textId="77777777" w:rsidR="00486E44" w:rsidRPr="007747B0" w:rsidRDefault="00486E44" w:rsidP="006509D4">
            <w:pPr>
              <w:spacing w:after="0"/>
              <w:rPr>
                <w:rFonts w:cs="Arial"/>
                <w:sz w:val="19"/>
                <w:szCs w:val="19"/>
              </w:rPr>
            </w:pPr>
            <w:r w:rsidRPr="007747B0">
              <w:rPr>
                <w:rFonts w:cs="Arial"/>
                <w:sz w:val="19"/>
                <w:szCs w:val="19"/>
              </w:rPr>
              <w:t>Offerors are required to provide a technical report or certification of compliance to demonstrate the above requirement.</w:t>
            </w:r>
          </w:p>
          <w:p w14:paraId="1310929C" w14:textId="77777777" w:rsidR="00486E44" w:rsidRDefault="00486E44" w:rsidP="006509D4">
            <w:pPr>
              <w:pStyle w:val="Tableheadings"/>
            </w:pPr>
          </w:p>
          <w:p w14:paraId="7DD531DA" w14:textId="77777777" w:rsidR="00486E44" w:rsidRPr="007747B0" w:rsidRDefault="00486E44" w:rsidP="006509D4">
            <w:pPr>
              <w:spacing w:after="0"/>
              <w:rPr>
                <w:rFonts w:cs="Arial"/>
                <w:b/>
                <w:i/>
                <w:sz w:val="19"/>
                <w:szCs w:val="19"/>
              </w:rPr>
            </w:pPr>
            <w:r w:rsidRPr="007747B0">
              <w:rPr>
                <w:rFonts w:cs="Arial"/>
                <w:b/>
                <w:i/>
                <w:sz w:val="19"/>
                <w:szCs w:val="19"/>
              </w:rPr>
              <w:t>Hazardous substances</w:t>
            </w:r>
          </w:p>
          <w:p w14:paraId="76E66776" w14:textId="77777777" w:rsidR="00486E44" w:rsidRDefault="00486E44" w:rsidP="006509D4">
            <w:pPr>
              <w:pStyle w:val="ListParagraph"/>
              <w:numPr>
                <w:ilvl w:val="0"/>
                <w:numId w:val="12"/>
              </w:numPr>
              <w:spacing w:after="0" w:line="276" w:lineRule="auto"/>
              <w:contextualSpacing/>
              <w:rPr>
                <w:rFonts w:cs="Arial"/>
                <w:sz w:val="19"/>
                <w:szCs w:val="19"/>
              </w:rPr>
            </w:pPr>
            <w:r w:rsidRPr="007747B0">
              <w:rPr>
                <w:rFonts w:cs="Arial"/>
                <w:sz w:val="19"/>
                <w:szCs w:val="19"/>
              </w:rPr>
              <w:t>Offerors are required to provide a written declaration that the product manufacturer has set a timeline (and disclosed the timeframes) for the phase-out of brominated flame retardants (BFRs) and plastics containing PVC in all product components.</w:t>
            </w:r>
            <w:r>
              <w:rPr>
                <w:rFonts w:cs="Arial"/>
                <w:sz w:val="19"/>
                <w:szCs w:val="19"/>
              </w:rPr>
              <w:br/>
            </w:r>
          </w:p>
          <w:p w14:paraId="001C1009" w14:textId="77777777" w:rsidR="00486E44" w:rsidRPr="00491601" w:rsidRDefault="00486E44" w:rsidP="006509D4">
            <w:pPr>
              <w:pStyle w:val="ListParagraph"/>
              <w:numPr>
                <w:ilvl w:val="0"/>
                <w:numId w:val="12"/>
              </w:numPr>
              <w:spacing w:after="0" w:line="276" w:lineRule="auto"/>
              <w:contextualSpacing/>
              <w:rPr>
                <w:rFonts w:cs="Arial"/>
                <w:sz w:val="19"/>
                <w:szCs w:val="19"/>
              </w:rPr>
            </w:pPr>
            <w:r w:rsidRPr="00491601">
              <w:rPr>
                <w:rFonts w:cs="Arial"/>
                <w:sz w:val="19"/>
                <w:szCs w:val="19"/>
              </w:rPr>
              <w:t>Offerors are required to disclose any initiatives and existing commitments to minimise the hazardous material content in the offered products.</w:t>
            </w:r>
          </w:p>
          <w:p w14:paraId="4F9FC79D" w14:textId="77777777" w:rsidR="00486E44" w:rsidRPr="00D51C7E" w:rsidRDefault="00486E44" w:rsidP="006509D4">
            <w:pPr>
              <w:pStyle w:val="Tableheadings"/>
            </w:pPr>
          </w:p>
        </w:tc>
        <w:tc>
          <w:tcPr>
            <w:tcW w:w="2500" w:type="pct"/>
            <w:shd w:val="clear" w:color="auto" w:fill="auto"/>
          </w:tcPr>
          <w:p w14:paraId="3FB9C188" w14:textId="77777777" w:rsidR="00486E44" w:rsidRDefault="00486E44" w:rsidP="006509D4">
            <w:pPr>
              <w:spacing w:after="0"/>
              <w:rPr>
                <w:rFonts w:cs="Arial"/>
                <w:b/>
                <w:sz w:val="19"/>
                <w:szCs w:val="19"/>
              </w:rPr>
            </w:pPr>
            <w:r w:rsidRPr="007747B0">
              <w:rPr>
                <w:rFonts w:cs="Arial"/>
                <w:b/>
                <w:sz w:val="19"/>
                <w:szCs w:val="19"/>
              </w:rPr>
              <w:t>Best practice specification or contract performance clause:</w:t>
            </w:r>
          </w:p>
          <w:p w14:paraId="54424B0F" w14:textId="77777777" w:rsidR="00486E44" w:rsidRPr="007747B0" w:rsidRDefault="00486E44" w:rsidP="006509D4">
            <w:pPr>
              <w:spacing w:after="0"/>
              <w:rPr>
                <w:rFonts w:cs="Arial"/>
                <w:b/>
                <w:i/>
                <w:sz w:val="19"/>
                <w:szCs w:val="19"/>
              </w:rPr>
            </w:pPr>
            <w:r w:rsidRPr="007747B0">
              <w:rPr>
                <w:rFonts w:cs="Arial"/>
                <w:b/>
                <w:i/>
                <w:sz w:val="19"/>
                <w:szCs w:val="19"/>
              </w:rPr>
              <w:t>Recyclability of materials</w:t>
            </w:r>
          </w:p>
          <w:p w14:paraId="0E465153" w14:textId="77777777" w:rsidR="00486E44" w:rsidRPr="007747B0" w:rsidRDefault="00486E44" w:rsidP="006509D4">
            <w:pPr>
              <w:spacing w:after="0"/>
              <w:rPr>
                <w:rFonts w:cs="Arial"/>
                <w:sz w:val="19"/>
                <w:szCs w:val="19"/>
              </w:rPr>
            </w:pPr>
            <w:r w:rsidRPr="007747B0">
              <w:rPr>
                <w:rFonts w:cs="Arial"/>
                <w:sz w:val="19"/>
                <w:szCs w:val="19"/>
              </w:rPr>
              <w:t>The offered products must meet the following</w:t>
            </w:r>
          </w:p>
          <w:p w14:paraId="3AAA8C95" w14:textId="77777777" w:rsidR="00486E44" w:rsidRPr="007747B0" w:rsidRDefault="00486E44" w:rsidP="006509D4">
            <w:pPr>
              <w:spacing w:after="0"/>
              <w:rPr>
                <w:rFonts w:cs="Arial"/>
                <w:sz w:val="19"/>
                <w:szCs w:val="19"/>
              </w:rPr>
            </w:pPr>
            <w:r w:rsidRPr="007747B0">
              <w:rPr>
                <w:rFonts w:cs="Arial"/>
                <w:sz w:val="19"/>
                <w:szCs w:val="19"/>
              </w:rPr>
              <w:t>requirements:</w:t>
            </w:r>
          </w:p>
          <w:p w14:paraId="3BE00925"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at least 90 per cent by weight of plastics in the housing and chassis must be recyclable</w:t>
            </w:r>
          </w:p>
          <w:p w14:paraId="1CCBA231"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 xml:space="preserve">at least 90 per cent by weight of metals with a weight of excess of 25 grams (25g) or a flat surface </w:t>
            </w:r>
            <w:proofErr w:type="gramStart"/>
            <w:r w:rsidRPr="007747B0">
              <w:rPr>
                <w:rFonts w:cs="Arial"/>
                <w:sz w:val="19"/>
                <w:szCs w:val="19"/>
              </w:rPr>
              <w:t>in excess of</w:t>
            </w:r>
            <w:proofErr w:type="gramEnd"/>
            <w:r w:rsidRPr="007747B0">
              <w:rPr>
                <w:rFonts w:cs="Arial"/>
                <w:sz w:val="19"/>
                <w:szCs w:val="19"/>
              </w:rPr>
              <w:t xml:space="preserve"> 22mm</w:t>
            </w:r>
            <w:r w:rsidRPr="002967A1">
              <w:rPr>
                <w:rFonts w:cs="Arial"/>
                <w:sz w:val="19"/>
                <w:szCs w:val="19"/>
              </w:rPr>
              <w:t>2</w:t>
            </w:r>
            <w:r w:rsidRPr="007747B0">
              <w:rPr>
                <w:rFonts w:cs="Arial"/>
                <w:sz w:val="19"/>
                <w:szCs w:val="19"/>
              </w:rPr>
              <w:t xml:space="preserve"> in the housing and chassis must be recyclable.</w:t>
            </w:r>
          </w:p>
          <w:p w14:paraId="4B19EBCC" w14:textId="77777777" w:rsidR="00486E44" w:rsidRPr="007747B0" w:rsidRDefault="00486E44" w:rsidP="006509D4">
            <w:pPr>
              <w:spacing w:after="0"/>
              <w:rPr>
                <w:rFonts w:cs="Arial"/>
                <w:sz w:val="19"/>
                <w:szCs w:val="19"/>
              </w:rPr>
            </w:pPr>
          </w:p>
          <w:p w14:paraId="3C77BB37" w14:textId="77777777" w:rsidR="00486E44" w:rsidRPr="007747B0" w:rsidRDefault="00486E44" w:rsidP="006509D4">
            <w:pPr>
              <w:spacing w:after="0"/>
              <w:rPr>
                <w:rFonts w:cs="Arial"/>
                <w:sz w:val="19"/>
                <w:szCs w:val="19"/>
              </w:rPr>
            </w:pPr>
            <w:r w:rsidRPr="007747B0">
              <w:rPr>
                <w:rFonts w:cs="Arial"/>
                <w:sz w:val="19"/>
                <w:szCs w:val="19"/>
              </w:rPr>
              <w:t>Offerors are required to provide a written declaration issued by the product manufacturer to demonstrate compliance with the above requirements.</w:t>
            </w:r>
          </w:p>
          <w:p w14:paraId="5855F91B" w14:textId="77777777" w:rsidR="00486E44" w:rsidRDefault="00486E44" w:rsidP="006509D4">
            <w:pPr>
              <w:pStyle w:val="Tableheadings"/>
            </w:pPr>
          </w:p>
          <w:p w14:paraId="75426FA0" w14:textId="77777777" w:rsidR="00486E44" w:rsidRPr="007747B0" w:rsidRDefault="00486E44" w:rsidP="006509D4">
            <w:pPr>
              <w:spacing w:after="0"/>
              <w:rPr>
                <w:rFonts w:cs="Arial"/>
                <w:b/>
                <w:i/>
                <w:sz w:val="19"/>
                <w:szCs w:val="19"/>
              </w:rPr>
            </w:pPr>
            <w:r w:rsidRPr="007747B0">
              <w:rPr>
                <w:rFonts w:cs="Arial"/>
                <w:b/>
                <w:i/>
                <w:sz w:val="19"/>
                <w:szCs w:val="19"/>
              </w:rPr>
              <w:t>Hazardous substances</w:t>
            </w:r>
          </w:p>
          <w:p w14:paraId="10C13FC5" w14:textId="77777777" w:rsidR="00486E44" w:rsidRPr="007747B0" w:rsidRDefault="00486E44" w:rsidP="006509D4">
            <w:pPr>
              <w:spacing w:after="0"/>
              <w:rPr>
                <w:rFonts w:cs="Arial"/>
                <w:sz w:val="19"/>
                <w:szCs w:val="19"/>
              </w:rPr>
            </w:pPr>
            <w:r w:rsidRPr="007747B0">
              <w:rPr>
                <w:rFonts w:cs="Arial"/>
                <w:sz w:val="19"/>
                <w:szCs w:val="19"/>
              </w:rPr>
              <w:t>The offered products must meet the following</w:t>
            </w:r>
          </w:p>
          <w:p w14:paraId="60B818BE" w14:textId="77777777" w:rsidR="00486E44" w:rsidRPr="007747B0" w:rsidRDefault="00486E44" w:rsidP="006509D4">
            <w:pPr>
              <w:spacing w:after="0"/>
              <w:rPr>
                <w:rFonts w:cs="Arial"/>
                <w:sz w:val="19"/>
                <w:szCs w:val="19"/>
              </w:rPr>
            </w:pPr>
            <w:r w:rsidRPr="007747B0">
              <w:rPr>
                <w:rFonts w:cs="Arial"/>
                <w:sz w:val="19"/>
                <w:szCs w:val="19"/>
              </w:rPr>
              <w:t>requirements:</w:t>
            </w:r>
          </w:p>
          <w:p w14:paraId="119A295D"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electrical cable insulation material of power cables must be halogen free (including PVC)</w:t>
            </w:r>
          </w:p>
          <w:p w14:paraId="62317D52"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electrical cable insulation material of signal cables must be halogen free (including PVC)</w:t>
            </w:r>
          </w:p>
          <w:p w14:paraId="1FA196E5"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all cover/housing plastic parts &gt;25g must be halogen free</w:t>
            </w:r>
          </w:p>
          <w:p w14:paraId="15269C72"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all printed circuit boards (without components) &gt;25g must be halogen free</w:t>
            </w:r>
          </w:p>
          <w:p w14:paraId="054C7F4F" w14:textId="77777777" w:rsidR="00486E44" w:rsidRPr="0047552D" w:rsidRDefault="00486E44" w:rsidP="006509D4">
            <w:pPr>
              <w:pStyle w:val="Tableheadings"/>
            </w:pPr>
          </w:p>
        </w:tc>
      </w:tr>
      <w:tr w:rsidR="00486E44" w14:paraId="0A5DBE84" w14:textId="77777777" w:rsidTr="006509D4">
        <w:trPr>
          <w:cantSplit/>
        </w:trPr>
        <w:tc>
          <w:tcPr>
            <w:tcW w:w="2500" w:type="pct"/>
            <w:shd w:val="clear" w:color="auto" w:fill="auto"/>
          </w:tcPr>
          <w:p w14:paraId="7B8026B0" w14:textId="77777777" w:rsidR="00486E44" w:rsidRPr="00491601" w:rsidRDefault="00486E44" w:rsidP="006509D4">
            <w:pPr>
              <w:spacing w:after="0"/>
              <w:rPr>
                <w:rFonts w:cs="Arial"/>
                <w:sz w:val="19"/>
                <w:szCs w:val="19"/>
              </w:rPr>
            </w:pPr>
          </w:p>
        </w:tc>
        <w:tc>
          <w:tcPr>
            <w:tcW w:w="2500" w:type="pct"/>
            <w:shd w:val="clear" w:color="auto" w:fill="auto"/>
          </w:tcPr>
          <w:p w14:paraId="7E59303C"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 xml:space="preserve">plastic parts &gt;25g must be free from flame retardant substances/preparations above 0.1per cent classified as R45/46, R50/51/53 and R60/61 (67/548/EEC) </w:t>
            </w:r>
          </w:p>
          <w:p w14:paraId="3E9C6934" w14:textId="77777777" w:rsidR="00486E44" w:rsidRPr="007747B0" w:rsidRDefault="00486E44" w:rsidP="002967A1">
            <w:pPr>
              <w:pStyle w:val="ListParagraph"/>
              <w:numPr>
                <w:ilvl w:val="0"/>
                <w:numId w:val="11"/>
              </w:numPr>
              <w:spacing w:after="0" w:line="276" w:lineRule="auto"/>
              <w:ind w:left="589" w:hanging="283"/>
              <w:contextualSpacing/>
              <w:rPr>
                <w:rFonts w:cs="Arial"/>
                <w:sz w:val="19"/>
                <w:szCs w:val="19"/>
              </w:rPr>
            </w:pPr>
            <w:r w:rsidRPr="007747B0">
              <w:rPr>
                <w:rFonts w:cs="Arial"/>
                <w:sz w:val="19"/>
                <w:szCs w:val="19"/>
              </w:rPr>
              <w:t>light sources must be free from mercury.</w:t>
            </w:r>
          </w:p>
          <w:p w14:paraId="117CD007" w14:textId="77777777" w:rsidR="00486E44" w:rsidRPr="007747B0" w:rsidRDefault="00486E44" w:rsidP="006509D4">
            <w:pPr>
              <w:spacing w:after="0"/>
              <w:rPr>
                <w:rFonts w:cs="Arial"/>
                <w:sz w:val="19"/>
                <w:szCs w:val="19"/>
              </w:rPr>
            </w:pPr>
          </w:p>
          <w:p w14:paraId="7C4551BD" w14:textId="77777777" w:rsidR="00486E44" w:rsidRPr="007747B0" w:rsidRDefault="00486E44" w:rsidP="006509D4">
            <w:pPr>
              <w:spacing w:after="0"/>
              <w:rPr>
                <w:rFonts w:cs="Arial"/>
                <w:sz w:val="19"/>
                <w:szCs w:val="19"/>
              </w:rPr>
            </w:pPr>
            <w:r w:rsidRPr="007747B0">
              <w:rPr>
                <w:rFonts w:cs="Arial"/>
                <w:sz w:val="19"/>
                <w:szCs w:val="19"/>
              </w:rPr>
              <w:t>Offerors are required to provide a written declaration</w:t>
            </w:r>
            <w:r>
              <w:rPr>
                <w:rFonts w:cs="Arial"/>
                <w:sz w:val="19"/>
                <w:szCs w:val="19"/>
              </w:rPr>
              <w:t xml:space="preserve"> </w:t>
            </w:r>
            <w:r w:rsidRPr="007747B0">
              <w:rPr>
                <w:rFonts w:cs="Arial"/>
                <w:sz w:val="19"/>
                <w:szCs w:val="19"/>
              </w:rPr>
              <w:t>issued by the product manufacturer, such as Eco</w:t>
            </w:r>
            <w:r>
              <w:rPr>
                <w:rFonts w:cs="Arial"/>
                <w:sz w:val="19"/>
                <w:szCs w:val="19"/>
              </w:rPr>
              <w:t xml:space="preserve"> </w:t>
            </w:r>
            <w:r w:rsidRPr="007747B0">
              <w:rPr>
                <w:rFonts w:cs="Arial"/>
                <w:sz w:val="19"/>
                <w:szCs w:val="19"/>
              </w:rPr>
              <w:t>Declaration (ECMA-370) to demonstrate compliance with the above requirements.</w:t>
            </w:r>
          </w:p>
        </w:tc>
      </w:tr>
      <w:tr w:rsidR="00486E44" w:rsidRPr="00D51C7E" w14:paraId="6608C83B" w14:textId="77777777" w:rsidTr="006509D4">
        <w:trPr>
          <w:cantSplit/>
        </w:trPr>
        <w:tc>
          <w:tcPr>
            <w:tcW w:w="5000" w:type="pct"/>
            <w:gridSpan w:val="2"/>
          </w:tcPr>
          <w:p w14:paraId="4962955C" w14:textId="77777777" w:rsidR="00486E44" w:rsidRPr="007747B0" w:rsidRDefault="00486E44" w:rsidP="006509D4">
            <w:pPr>
              <w:spacing w:after="0"/>
              <w:rPr>
                <w:sz w:val="19"/>
                <w:szCs w:val="19"/>
              </w:rPr>
            </w:pPr>
            <w:r w:rsidRPr="007747B0">
              <w:rPr>
                <w:sz w:val="19"/>
                <w:szCs w:val="19"/>
              </w:rPr>
              <w:t xml:space="preserve">References: 1, 3, 4 (see </w:t>
            </w:r>
            <w:r w:rsidRPr="007747B0">
              <w:rPr>
                <w:i/>
                <w:sz w:val="19"/>
                <w:szCs w:val="19"/>
              </w:rPr>
              <w:t>References</w:t>
            </w:r>
            <w:r w:rsidRPr="007747B0">
              <w:rPr>
                <w:sz w:val="19"/>
                <w:szCs w:val="19"/>
              </w:rPr>
              <w:t xml:space="preserve">, </w:t>
            </w:r>
            <w:r>
              <w:rPr>
                <w:rFonts w:cs="Arial"/>
                <w:szCs w:val="20"/>
              </w:rPr>
              <w:t>below</w:t>
            </w:r>
            <w:r w:rsidRPr="007747B0">
              <w:rPr>
                <w:sz w:val="19"/>
                <w:szCs w:val="19"/>
              </w:rPr>
              <w:t>).</w:t>
            </w:r>
          </w:p>
        </w:tc>
      </w:tr>
    </w:tbl>
    <w:p w14:paraId="79F66927" w14:textId="77777777" w:rsidR="00486E44" w:rsidRDefault="00486E44" w:rsidP="00486E44">
      <w:pPr>
        <w:spacing w:after="0"/>
        <w:rPr>
          <w:b/>
        </w:rPr>
      </w:pPr>
      <w:bookmarkStart w:id="80" w:name="_Toc389037158"/>
    </w:p>
    <w:p w14:paraId="7D2D08AE" w14:textId="77777777" w:rsidR="00486E44" w:rsidRDefault="00486E44" w:rsidP="00486E44">
      <w:pPr>
        <w:spacing w:after="0"/>
        <w:rPr>
          <w:b/>
        </w:rPr>
      </w:pPr>
    </w:p>
    <w:p w14:paraId="43B303CE" w14:textId="77777777" w:rsidR="00486E44" w:rsidRPr="00685D9C" w:rsidRDefault="00486E44" w:rsidP="00486E44">
      <w:pPr>
        <w:spacing w:after="0"/>
      </w:pPr>
      <w:r w:rsidRPr="00147642">
        <w:rPr>
          <w:b/>
        </w:rPr>
        <w:t>Product design and manufacturing process</w:t>
      </w:r>
      <w:bookmarkEnd w:id="80"/>
    </w:p>
    <w:p w14:paraId="45A5D4C5" w14:textId="77777777" w:rsidR="00486E44" w:rsidRPr="004504C2" w:rsidRDefault="00486E44" w:rsidP="00486E44">
      <w:pPr>
        <w:pStyle w:val="Heading4"/>
      </w:pPr>
      <w:r>
        <w:t>Product design</w:t>
      </w:r>
    </w:p>
    <w:p w14:paraId="05E068BB" w14:textId="77777777" w:rsidR="00486E44" w:rsidRPr="00FD0A05" w:rsidRDefault="00486E44" w:rsidP="00486E44">
      <w:pPr>
        <w:numPr>
          <w:ilvl w:val="0"/>
          <w:numId w:val="10"/>
        </w:numPr>
        <w:spacing w:before="180" w:after="60" w:line="264" w:lineRule="auto"/>
        <w:rPr>
          <w:lang w:eastAsia="en-AU"/>
        </w:rPr>
      </w:pPr>
      <w:r w:rsidRPr="004504C2">
        <w:rPr>
          <w:b/>
          <w:lang w:eastAsia="en-AU"/>
        </w:rPr>
        <w:t>Issue.</w:t>
      </w:r>
      <w:r w:rsidRPr="00CD371A">
        <w:t xml:space="preserve"> </w:t>
      </w:r>
      <w:r>
        <w:t>Poorly designed business machines may result in decreased product longevity, and limited options for disposal at the end-of-life.</w:t>
      </w:r>
    </w:p>
    <w:p w14:paraId="0D1E7546" w14:textId="77777777" w:rsidR="00486E44" w:rsidRDefault="00486E44" w:rsidP="00486E44">
      <w:pPr>
        <w:numPr>
          <w:ilvl w:val="0"/>
          <w:numId w:val="10"/>
        </w:numPr>
        <w:spacing w:before="180" w:after="60" w:line="264" w:lineRule="auto"/>
        <w:rPr>
          <w:lang w:eastAsia="en-AU"/>
        </w:rPr>
      </w:pPr>
      <w:r w:rsidRPr="004504C2">
        <w:rPr>
          <w:b/>
          <w:lang w:eastAsia="en-AU"/>
        </w:rPr>
        <w:t>Response.</w:t>
      </w:r>
      <w:r>
        <w:rPr>
          <w:lang w:eastAsia="en-AU"/>
        </w:rPr>
        <w:t xml:space="preserve"> Procure business machines designed for optimum recovery of components or materials for recycling, are easy to disassemble and incorporate options for life extension.</w:t>
      </w:r>
    </w:p>
    <w:p w14:paraId="6485BFC4" w14:textId="77777777" w:rsidR="00486E44" w:rsidRDefault="00486E44" w:rsidP="00486E44">
      <w:pPr>
        <w:pStyle w:val="Heading4"/>
      </w:pPr>
      <w:r>
        <w:t>Manufacturing process</w:t>
      </w:r>
    </w:p>
    <w:p w14:paraId="7A1AAB06" w14:textId="77777777" w:rsidR="00486E44" w:rsidRPr="00FD0A05" w:rsidRDefault="00486E44" w:rsidP="00486E44">
      <w:pPr>
        <w:numPr>
          <w:ilvl w:val="0"/>
          <w:numId w:val="10"/>
        </w:numPr>
        <w:spacing w:before="180" w:after="60" w:line="264" w:lineRule="auto"/>
        <w:rPr>
          <w:lang w:eastAsia="en-AU"/>
        </w:rPr>
      </w:pPr>
      <w:r w:rsidRPr="004504C2">
        <w:rPr>
          <w:b/>
          <w:lang w:eastAsia="en-AU"/>
        </w:rPr>
        <w:t>Issue.</w:t>
      </w:r>
      <w:r w:rsidRPr="00CD371A">
        <w:t xml:space="preserve"> </w:t>
      </w:r>
      <w:r>
        <w:t>The process of manufacturing business machines produces a range of environmental impacts such as the use of resources and generation of emissions and pollutants. The emission and pollutants generated during product manufacture and recycling/recovering of product components affects the health of the workers involved.</w:t>
      </w:r>
    </w:p>
    <w:p w14:paraId="6C2009CD" w14:textId="77777777" w:rsidR="00486E44" w:rsidRDefault="00486E44" w:rsidP="00486E44">
      <w:pPr>
        <w:numPr>
          <w:ilvl w:val="0"/>
          <w:numId w:val="10"/>
        </w:numPr>
        <w:spacing w:before="180" w:after="60" w:line="264" w:lineRule="auto"/>
        <w:rPr>
          <w:lang w:eastAsia="en-AU"/>
        </w:rPr>
      </w:pPr>
      <w:r w:rsidRPr="004504C2">
        <w:rPr>
          <w:b/>
          <w:lang w:eastAsia="en-AU"/>
        </w:rPr>
        <w:t>Response.</w:t>
      </w:r>
      <w:r>
        <w:rPr>
          <w:lang w:eastAsia="en-AU"/>
        </w:rPr>
        <w:t xml:space="preserve"> Procure business machines from suppliers that implement appropriate practices and systems to manage the environmental and social impacts throughout the product manufacturing process.</w:t>
      </w:r>
    </w:p>
    <w:p w14:paraId="2424EACC" w14:textId="77777777" w:rsidR="00486E44" w:rsidRDefault="00486E44" w:rsidP="00486E44">
      <w:pPr>
        <w:spacing w:after="0"/>
        <w:rPr>
          <w:lang w:eastAsia="en-AU"/>
        </w:rPr>
      </w:pPr>
      <w:r>
        <w:rPr>
          <w:lang w:eastAsia="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883"/>
        <w:gridCol w:w="4133"/>
      </w:tblGrid>
      <w:tr w:rsidR="00486E44" w14:paraId="51D3CEC6" w14:textId="77777777" w:rsidTr="006509D4">
        <w:trPr>
          <w:cantSplit/>
        </w:trPr>
        <w:tc>
          <w:tcPr>
            <w:tcW w:w="2708" w:type="pct"/>
            <w:shd w:val="clear" w:color="auto" w:fill="0070C0"/>
          </w:tcPr>
          <w:p w14:paraId="3750482F" w14:textId="77777777" w:rsidR="00486E44" w:rsidRPr="00972AE8" w:rsidRDefault="00486E44" w:rsidP="006509D4">
            <w:pPr>
              <w:pStyle w:val="Tableheadings"/>
            </w:pPr>
            <w:r w:rsidRPr="00D51C7E">
              <w:lastRenderedPageBreak/>
              <w:t>Minimum performance criteria</w:t>
            </w:r>
          </w:p>
        </w:tc>
        <w:tc>
          <w:tcPr>
            <w:tcW w:w="2292" w:type="pct"/>
            <w:shd w:val="clear" w:color="auto" w:fill="0070C0"/>
          </w:tcPr>
          <w:p w14:paraId="1DEE1622" w14:textId="77777777" w:rsidR="00486E44" w:rsidRDefault="00486E44" w:rsidP="006509D4">
            <w:pPr>
              <w:pStyle w:val="Tableheadings"/>
            </w:pPr>
            <w:r w:rsidRPr="0047552D">
              <w:t>Best practice performance criteria</w:t>
            </w:r>
          </w:p>
        </w:tc>
      </w:tr>
      <w:tr w:rsidR="00486E44" w14:paraId="2CA7DC8E" w14:textId="77777777" w:rsidTr="006509D4">
        <w:trPr>
          <w:cantSplit/>
        </w:trPr>
        <w:tc>
          <w:tcPr>
            <w:tcW w:w="2708" w:type="pct"/>
            <w:shd w:val="clear" w:color="auto" w:fill="auto"/>
          </w:tcPr>
          <w:p w14:paraId="45B05327" w14:textId="77777777" w:rsidR="00486E44" w:rsidRPr="00924D0B" w:rsidRDefault="00486E44" w:rsidP="006509D4">
            <w:pPr>
              <w:spacing w:before="20" w:after="20"/>
              <w:rPr>
                <w:rFonts w:cs="Arial"/>
                <w:b/>
                <w:szCs w:val="20"/>
              </w:rPr>
            </w:pPr>
            <w:r w:rsidRPr="00924D0B">
              <w:rPr>
                <w:rFonts w:cs="Arial"/>
                <w:b/>
                <w:szCs w:val="20"/>
              </w:rPr>
              <w:t>Minimum specification:</w:t>
            </w:r>
          </w:p>
          <w:p w14:paraId="1872D51D" w14:textId="77777777" w:rsidR="00486E44" w:rsidRPr="00924D0B" w:rsidRDefault="00486E44" w:rsidP="006509D4">
            <w:pPr>
              <w:spacing w:before="20" w:after="20"/>
              <w:rPr>
                <w:rFonts w:cs="Arial"/>
                <w:b/>
                <w:i/>
                <w:szCs w:val="20"/>
              </w:rPr>
            </w:pPr>
            <w:r w:rsidRPr="00924D0B">
              <w:rPr>
                <w:rFonts w:cs="Arial"/>
                <w:b/>
                <w:i/>
                <w:szCs w:val="20"/>
              </w:rPr>
              <w:t>Product design</w:t>
            </w:r>
          </w:p>
          <w:p w14:paraId="08667A21" w14:textId="77777777" w:rsidR="00486E44" w:rsidRPr="00924D0B" w:rsidRDefault="00486E44" w:rsidP="006509D4">
            <w:pPr>
              <w:pStyle w:val="ListParagraph"/>
              <w:numPr>
                <w:ilvl w:val="0"/>
                <w:numId w:val="15"/>
              </w:numPr>
              <w:spacing w:before="20" w:after="20" w:line="276" w:lineRule="auto"/>
              <w:contextualSpacing/>
              <w:rPr>
                <w:rFonts w:cs="Arial"/>
                <w:szCs w:val="20"/>
              </w:rPr>
            </w:pPr>
            <w:r w:rsidRPr="00924D0B">
              <w:rPr>
                <w:rFonts w:cs="Arial"/>
                <w:szCs w:val="20"/>
              </w:rPr>
              <w:t>Offerors are required to demonstrate that design for life/Eco design features are incorporated into the offered products (e.g. modular design with exchangeable parts, recyclability of the materials in component parts).</w:t>
            </w:r>
          </w:p>
          <w:p w14:paraId="5E67E721" w14:textId="77777777" w:rsidR="00486E44" w:rsidRPr="00924D0B" w:rsidRDefault="00486E44" w:rsidP="006509D4">
            <w:pPr>
              <w:pStyle w:val="ListParagraph"/>
              <w:spacing w:before="20" w:after="20"/>
              <w:ind w:left="360"/>
              <w:rPr>
                <w:rFonts w:cs="Arial"/>
                <w:szCs w:val="20"/>
              </w:rPr>
            </w:pPr>
          </w:p>
          <w:p w14:paraId="531ABE18" w14:textId="77777777" w:rsidR="00486E44" w:rsidRPr="00924D0B" w:rsidRDefault="00486E44" w:rsidP="006509D4">
            <w:pPr>
              <w:pStyle w:val="ListParagraph"/>
              <w:numPr>
                <w:ilvl w:val="0"/>
                <w:numId w:val="15"/>
              </w:numPr>
              <w:spacing w:before="20" w:after="20" w:line="276" w:lineRule="auto"/>
              <w:contextualSpacing/>
              <w:rPr>
                <w:rFonts w:cs="Arial"/>
                <w:szCs w:val="20"/>
              </w:rPr>
            </w:pPr>
            <w:r w:rsidRPr="00924D0B">
              <w:rPr>
                <w:rFonts w:cs="Arial"/>
                <w:szCs w:val="20"/>
              </w:rPr>
              <w:t>Offerors are required to disclose:</w:t>
            </w:r>
          </w:p>
          <w:p w14:paraId="43FB8825"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amount of recycled content used in the equipment</w:t>
            </w:r>
          </w:p>
          <w:p w14:paraId="23A2BCB9"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any extended warranty terms, including warranty over availability of spare parts</w:t>
            </w:r>
          </w:p>
          <w:p w14:paraId="352ED169" w14:textId="77777777" w:rsidR="00486E44" w:rsidRPr="00924D0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the ease of disassembly/dismantling the machine into recyclable</w:t>
            </w:r>
            <w:r w:rsidRPr="00924D0B">
              <w:rPr>
                <w:rFonts w:cs="Arial"/>
                <w:szCs w:val="20"/>
              </w:rPr>
              <w:t xml:space="preserve"> parts.</w:t>
            </w:r>
          </w:p>
          <w:p w14:paraId="60247891" w14:textId="77777777" w:rsidR="00486E44" w:rsidRDefault="00486E44" w:rsidP="006509D4">
            <w:pPr>
              <w:pStyle w:val="Tableheadings"/>
            </w:pPr>
          </w:p>
          <w:p w14:paraId="72324131" w14:textId="77777777" w:rsidR="00486E44" w:rsidRPr="00924D0B" w:rsidRDefault="00486E44" w:rsidP="006509D4">
            <w:pPr>
              <w:spacing w:before="20" w:after="20"/>
              <w:rPr>
                <w:rFonts w:cs="Arial"/>
                <w:b/>
                <w:i/>
                <w:szCs w:val="20"/>
              </w:rPr>
            </w:pPr>
            <w:r w:rsidRPr="00924D0B">
              <w:rPr>
                <w:rFonts w:cs="Arial"/>
                <w:b/>
                <w:i/>
                <w:szCs w:val="20"/>
              </w:rPr>
              <w:t>Production process</w:t>
            </w:r>
          </w:p>
          <w:p w14:paraId="0CFBF1EF" w14:textId="77777777" w:rsidR="00486E44" w:rsidRPr="00924D0B" w:rsidRDefault="00486E44" w:rsidP="006509D4">
            <w:pPr>
              <w:pStyle w:val="ListParagraph"/>
              <w:numPr>
                <w:ilvl w:val="0"/>
                <w:numId w:val="17"/>
              </w:numPr>
              <w:spacing w:before="20" w:after="20" w:line="276" w:lineRule="auto"/>
              <w:contextualSpacing/>
              <w:rPr>
                <w:rFonts w:cs="Arial"/>
                <w:szCs w:val="20"/>
              </w:rPr>
            </w:pPr>
            <w:r w:rsidRPr="00924D0B">
              <w:rPr>
                <w:rFonts w:cs="Arial"/>
                <w:szCs w:val="20"/>
              </w:rPr>
              <w:t>Offerors must provide a copy of current documentation that formally demonstrates a system of environmental management is operating in the facility for manufacture of products and parts. The system should encompass identification, evaluation, improvement and monitoring of environmental performance of the manufacturing facility. The system of environmental management may be ISO 14001 certified, in which case a copy of the valid certificate is to be provided.</w:t>
            </w:r>
          </w:p>
          <w:p w14:paraId="387D1E7D" w14:textId="77777777" w:rsidR="00486E44" w:rsidRDefault="00486E44" w:rsidP="006509D4">
            <w:pPr>
              <w:pStyle w:val="Tableheadings"/>
            </w:pPr>
          </w:p>
          <w:p w14:paraId="330771E2" w14:textId="77777777" w:rsidR="00486E44" w:rsidRDefault="00486E44" w:rsidP="006509D4">
            <w:pPr>
              <w:pStyle w:val="ListParagraph"/>
              <w:numPr>
                <w:ilvl w:val="0"/>
                <w:numId w:val="17"/>
              </w:numPr>
              <w:spacing w:before="20" w:after="20" w:line="276" w:lineRule="auto"/>
              <w:contextualSpacing/>
              <w:rPr>
                <w:rFonts w:cs="Arial"/>
                <w:szCs w:val="20"/>
              </w:rPr>
            </w:pPr>
            <w:r w:rsidRPr="00924D0B">
              <w:rPr>
                <w:rFonts w:cs="Arial"/>
                <w:szCs w:val="20"/>
              </w:rPr>
              <w:t xml:space="preserve">Offerors are required to provide information on initiatives or formal commitments that assists in reducing environmental impacts of business machines manufacturing process. This may include strategies to minimise the use of </w:t>
            </w:r>
            <w:r w:rsidRPr="00C2007C">
              <w:rPr>
                <w:rFonts w:cs="Arial"/>
                <w:szCs w:val="20"/>
              </w:rPr>
              <w:t>resources and generation of waste.</w:t>
            </w:r>
          </w:p>
          <w:p w14:paraId="3FA8C817" w14:textId="77777777" w:rsidR="00486E44" w:rsidRPr="00C2007C" w:rsidRDefault="00486E44" w:rsidP="006509D4">
            <w:pPr>
              <w:pStyle w:val="ListParagraph"/>
              <w:rPr>
                <w:rFonts w:cs="Arial"/>
              </w:rPr>
            </w:pPr>
          </w:p>
          <w:p w14:paraId="4910DDCA" w14:textId="77777777" w:rsidR="00486E44" w:rsidRPr="00C2007C" w:rsidRDefault="00486E44" w:rsidP="006509D4">
            <w:pPr>
              <w:pStyle w:val="ListParagraph"/>
              <w:numPr>
                <w:ilvl w:val="0"/>
                <w:numId w:val="17"/>
              </w:numPr>
              <w:spacing w:before="20" w:after="20" w:line="276" w:lineRule="auto"/>
              <w:contextualSpacing/>
              <w:rPr>
                <w:rFonts w:cs="Arial"/>
                <w:szCs w:val="20"/>
              </w:rPr>
            </w:pPr>
            <w:r w:rsidRPr="00C2007C">
              <w:rPr>
                <w:rFonts w:cs="Arial"/>
              </w:rPr>
              <w:t>Offerors must demonstrate that the product manufacturer and suppliers of the product components throughout the whole supply chain are compliant with the International Labour Organisation (ILO) core framework. The supply chain includes original equipment manufacturers (OEMs), electronic manufacturing services (EMS) firms and original design manufacturers (ODMs).</w:t>
            </w:r>
          </w:p>
        </w:tc>
        <w:tc>
          <w:tcPr>
            <w:tcW w:w="2292" w:type="pct"/>
            <w:shd w:val="clear" w:color="auto" w:fill="auto"/>
          </w:tcPr>
          <w:p w14:paraId="27197A82" w14:textId="77777777" w:rsidR="00486E44" w:rsidRPr="00924D0B" w:rsidRDefault="00486E44" w:rsidP="006509D4">
            <w:pPr>
              <w:spacing w:before="20" w:after="20"/>
              <w:rPr>
                <w:rFonts w:cs="Arial"/>
                <w:b/>
                <w:szCs w:val="20"/>
              </w:rPr>
            </w:pPr>
            <w:r w:rsidRPr="00924D0B">
              <w:rPr>
                <w:rFonts w:cs="Arial"/>
                <w:b/>
                <w:szCs w:val="20"/>
              </w:rPr>
              <w:t>Best practice specification:</w:t>
            </w:r>
          </w:p>
          <w:p w14:paraId="177D84D3" w14:textId="77777777" w:rsidR="00486E44" w:rsidRPr="00924D0B" w:rsidRDefault="00486E44" w:rsidP="006509D4">
            <w:pPr>
              <w:spacing w:before="20" w:after="20"/>
              <w:rPr>
                <w:rFonts w:cs="Arial"/>
                <w:b/>
                <w:i/>
                <w:szCs w:val="20"/>
              </w:rPr>
            </w:pPr>
            <w:r w:rsidRPr="00924D0B">
              <w:rPr>
                <w:rFonts w:cs="Arial"/>
                <w:b/>
                <w:i/>
                <w:szCs w:val="20"/>
              </w:rPr>
              <w:t>Product design</w:t>
            </w:r>
          </w:p>
          <w:p w14:paraId="455D63F3" w14:textId="77777777" w:rsidR="00486E44" w:rsidRPr="00924D0B" w:rsidRDefault="00486E44" w:rsidP="006509D4">
            <w:pPr>
              <w:spacing w:before="20" w:after="20"/>
              <w:rPr>
                <w:rFonts w:cs="Arial"/>
                <w:szCs w:val="20"/>
              </w:rPr>
            </w:pPr>
            <w:r w:rsidRPr="00924D0B">
              <w:rPr>
                <w:rFonts w:cs="Arial"/>
                <w:szCs w:val="20"/>
              </w:rPr>
              <w:t>Offerors are required to provide a written declaration that the offered products comply with the following requirements:</w:t>
            </w:r>
          </w:p>
          <w:p w14:paraId="2AD03E3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connections between different materials must be easy to locate, accessible with commonly available tools and as standardised as possible</w:t>
            </w:r>
          </w:p>
          <w:p w14:paraId="11EE9A45"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qualified personnel must be able to easily dismantle the machine completely into recyclable parts</w:t>
            </w:r>
          </w:p>
          <w:p w14:paraId="09A112F3"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labels/stickers must be made of the same material as the part to which they are attached and must not be coated or otherwise treated in a manner which would prevent recycling</w:t>
            </w:r>
          </w:p>
          <w:p w14:paraId="0360AB8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plastic components must be of one polymer or compatible polymers, except for castings</w:t>
            </w:r>
          </w:p>
          <w:p w14:paraId="2EA02252" w14:textId="77777777" w:rsidR="00486E44" w:rsidRPr="00924D0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plastic components heavier than 25g must</w:t>
            </w:r>
            <w:r w:rsidRPr="00924D0B">
              <w:rPr>
                <w:rFonts w:cs="Arial"/>
                <w:szCs w:val="20"/>
              </w:rPr>
              <w:t xml:space="preserve"> have a permanent marking identifying the material – in conformity with ISO11469:2000.</w:t>
            </w:r>
          </w:p>
          <w:p w14:paraId="50516EF1" w14:textId="77777777" w:rsidR="00486E44" w:rsidRDefault="00486E44" w:rsidP="006509D4">
            <w:pPr>
              <w:spacing w:before="20" w:after="20"/>
              <w:rPr>
                <w:rFonts w:cs="Arial"/>
                <w:b/>
                <w:szCs w:val="20"/>
              </w:rPr>
            </w:pPr>
          </w:p>
          <w:p w14:paraId="5F19F482" w14:textId="77777777" w:rsidR="00486E44" w:rsidRPr="00924D0B" w:rsidRDefault="00486E44" w:rsidP="006509D4">
            <w:pPr>
              <w:spacing w:before="20" w:after="20"/>
              <w:rPr>
                <w:rFonts w:cs="Arial"/>
                <w:b/>
                <w:szCs w:val="20"/>
              </w:rPr>
            </w:pPr>
            <w:r w:rsidRPr="00924D0B">
              <w:rPr>
                <w:rFonts w:cs="Arial"/>
                <w:b/>
                <w:szCs w:val="20"/>
              </w:rPr>
              <w:t>Best practice specification:</w:t>
            </w:r>
          </w:p>
          <w:p w14:paraId="01C5FAB8" w14:textId="77777777" w:rsidR="00486E44" w:rsidRPr="00924D0B" w:rsidRDefault="00486E44" w:rsidP="006509D4">
            <w:pPr>
              <w:spacing w:before="20" w:after="20"/>
              <w:rPr>
                <w:rFonts w:cs="Arial"/>
                <w:b/>
                <w:i/>
                <w:szCs w:val="20"/>
              </w:rPr>
            </w:pPr>
            <w:r w:rsidRPr="00924D0B">
              <w:rPr>
                <w:rFonts w:cs="Arial"/>
                <w:b/>
                <w:i/>
                <w:szCs w:val="20"/>
              </w:rPr>
              <w:t>Production process</w:t>
            </w:r>
          </w:p>
          <w:p w14:paraId="23301001" w14:textId="77777777" w:rsidR="00486E44" w:rsidRPr="00924D0B" w:rsidRDefault="00486E44" w:rsidP="006509D4">
            <w:pPr>
              <w:spacing w:before="20" w:after="20"/>
              <w:rPr>
                <w:rFonts w:cs="Arial"/>
                <w:szCs w:val="20"/>
              </w:rPr>
            </w:pPr>
            <w:r w:rsidRPr="00924D0B">
              <w:rPr>
                <w:rFonts w:cs="Arial"/>
                <w:szCs w:val="20"/>
              </w:rPr>
              <w:t>Offerors must provide a copy of current documentation that formally demonstrates a system of environmental management is operating in the facility for manufacture of products and parts.</w:t>
            </w:r>
          </w:p>
          <w:p w14:paraId="05E2C1D3" w14:textId="77777777" w:rsidR="00486E44" w:rsidRPr="00924D0B" w:rsidRDefault="00486E44" w:rsidP="006509D4">
            <w:pPr>
              <w:spacing w:before="20" w:after="20"/>
              <w:rPr>
                <w:rFonts w:cs="Arial"/>
                <w:szCs w:val="20"/>
              </w:rPr>
            </w:pPr>
          </w:p>
          <w:p w14:paraId="67325C65" w14:textId="77777777" w:rsidR="00486E44" w:rsidRPr="00924D0B" w:rsidRDefault="00486E44" w:rsidP="006509D4">
            <w:pPr>
              <w:spacing w:before="20" w:after="20"/>
              <w:rPr>
                <w:rFonts w:cs="Arial"/>
                <w:szCs w:val="20"/>
              </w:rPr>
            </w:pPr>
            <w:r w:rsidRPr="00924D0B">
              <w:rPr>
                <w:rFonts w:cs="Arial"/>
                <w:szCs w:val="20"/>
              </w:rPr>
              <w:t>The system should encompass identification, evaluation, improvement and monitoring of environmental performance of the production facility.</w:t>
            </w:r>
          </w:p>
          <w:p w14:paraId="120F76FF" w14:textId="77777777" w:rsidR="00486E44" w:rsidRPr="00C2007C" w:rsidRDefault="00486E44" w:rsidP="006509D4">
            <w:pPr>
              <w:spacing w:before="20" w:after="20"/>
              <w:rPr>
                <w:rFonts w:cs="Arial"/>
                <w:szCs w:val="20"/>
              </w:rPr>
            </w:pPr>
          </w:p>
          <w:p w14:paraId="7654C21D" w14:textId="77777777" w:rsidR="00486E44" w:rsidRPr="00141DBC" w:rsidRDefault="00486E44" w:rsidP="006509D4">
            <w:pPr>
              <w:pStyle w:val="Tableheadings"/>
              <w:rPr>
                <w:b w:val="0"/>
              </w:rPr>
            </w:pPr>
            <w:r w:rsidRPr="00141DBC">
              <w:rPr>
                <w:rFonts w:cs="Arial"/>
                <w:b w:val="0"/>
                <w:color w:val="auto"/>
                <w:sz w:val="20"/>
              </w:rPr>
              <w:t>The system of environmental management must meet a recognised system such as ISO 14001 or European EMAS, and a copy of the valid certificate is to be provided.</w:t>
            </w:r>
          </w:p>
        </w:tc>
      </w:tr>
      <w:tr w:rsidR="00486E44" w:rsidRPr="00D51C7E" w14:paraId="4688C575" w14:textId="77777777" w:rsidTr="006509D4">
        <w:trPr>
          <w:cantSplit/>
        </w:trPr>
        <w:tc>
          <w:tcPr>
            <w:tcW w:w="5000" w:type="pct"/>
            <w:gridSpan w:val="2"/>
            <w:shd w:val="clear" w:color="auto" w:fill="auto"/>
          </w:tcPr>
          <w:p w14:paraId="3EC4FD8A" w14:textId="77777777" w:rsidR="00486E44" w:rsidRPr="00924D0B" w:rsidRDefault="00486E44" w:rsidP="006509D4">
            <w:pPr>
              <w:spacing w:before="20" w:after="20"/>
              <w:rPr>
                <w:rFonts w:cs="Arial"/>
                <w:b/>
                <w:szCs w:val="20"/>
              </w:rPr>
            </w:pPr>
            <w:r w:rsidRPr="00924D0B">
              <w:rPr>
                <w:rFonts w:cs="Arial"/>
                <w:b/>
                <w:szCs w:val="20"/>
              </w:rPr>
              <w:lastRenderedPageBreak/>
              <w:t>Contract performance clauses</w:t>
            </w:r>
          </w:p>
          <w:p w14:paraId="263F7BB0" w14:textId="77777777" w:rsidR="00486E44" w:rsidRPr="00924D0B" w:rsidRDefault="00486E44" w:rsidP="006509D4">
            <w:pPr>
              <w:pStyle w:val="ListParagraph"/>
              <w:numPr>
                <w:ilvl w:val="0"/>
                <w:numId w:val="19"/>
              </w:numPr>
              <w:spacing w:before="20" w:after="20" w:line="276" w:lineRule="auto"/>
              <w:contextualSpacing/>
              <w:rPr>
                <w:rFonts w:cs="Arial"/>
                <w:szCs w:val="20"/>
              </w:rPr>
            </w:pPr>
            <w:r w:rsidRPr="00924D0B">
              <w:rPr>
                <w:rFonts w:cs="Arial"/>
                <w:b/>
                <w:szCs w:val="20"/>
              </w:rPr>
              <w:t>Minimum contract performance clause:</w:t>
            </w:r>
            <w:r w:rsidRPr="00924D0B">
              <w:rPr>
                <w:rFonts w:cs="Arial"/>
                <w:szCs w:val="20"/>
              </w:rPr>
              <w:t xml:space="preserve"> The contractor is required to guarantee the availability of spare parts for at least three years from the time that production ceases.</w:t>
            </w:r>
          </w:p>
          <w:p w14:paraId="6C78DFA2" w14:textId="77777777" w:rsidR="00486E44" w:rsidRPr="00924D0B" w:rsidRDefault="00486E44" w:rsidP="006509D4">
            <w:pPr>
              <w:pStyle w:val="ListParagraph"/>
              <w:spacing w:before="20" w:after="20"/>
              <w:rPr>
                <w:rFonts w:cs="Arial"/>
                <w:szCs w:val="20"/>
              </w:rPr>
            </w:pPr>
          </w:p>
          <w:p w14:paraId="74283BBD" w14:textId="77777777" w:rsidR="00486E44" w:rsidRPr="00924D0B" w:rsidRDefault="00486E44" w:rsidP="006509D4">
            <w:pPr>
              <w:pStyle w:val="ListParagraph"/>
              <w:numPr>
                <w:ilvl w:val="0"/>
                <w:numId w:val="19"/>
              </w:numPr>
              <w:spacing w:before="20" w:after="20" w:line="276" w:lineRule="auto"/>
              <w:contextualSpacing/>
              <w:rPr>
                <w:rFonts w:cs="Arial"/>
                <w:szCs w:val="20"/>
              </w:rPr>
            </w:pPr>
            <w:r w:rsidRPr="00924D0B">
              <w:rPr>
                <w:rFonts w:cs="Arial"/>
                <w:b/>
                <w:szCs w:val="20"/>
              </w:rPr>
              <w:t>Best practice contract performance clause:</w:t>
            </w:r>
            <w:r w:rsidRPr="00924D0B">
              <w:rPr>
                <w:rFonts w:cs="Arial"/>
                <w:szCs w:val="20"/>
              </w:rPr>
              <w:t xml:space="preserve"> The contractor is required to guarantee the availability of spare parts for five years from the time that production ceases.</w:t>
            </w:r>
          </w:p>
        </w:tc>
      </w:tr>
      <w:tr w:rsidR="00486E44" w:rsidRPr="00D51C7E" w14:paraId="506EA704" w14:textId="77777777" w:rsidTr="006509D4">
        <w:trPr>
          <w:cantSplit/>
        </w:trPr>
        <w:tc>
          <w:tcPr>
            <w:tcW w:w="5000" w:type="pct"/>
            <w:gridSpan w:val="2"/>
          </w:tcPr>
          <w:p w14:paraId="080C06D4" w14:textId="77777777" w:rsidR="00486E44" w:rsidRPr="00924D0B" w:rsidRDefault="00486E44" w:rsidP="006509D4">
            <w:pPr>
              <w:spacing w:before="20" w:after="20"/>
              <w:rPr>
                <w:rFonts w:cs="Arial"/>
                <w:szCs w:val="20"/>
              </w:rPr>
            </w:pPr>
            <w:r w:rsidRPr="00924D0B">
              <w:rPr>
                <w:rFonts w:cs="Arial"/>
                <w:szCs w:val="20"/>
              </w:rPr>
              <w:t xml:space="preserve">References: 2, 3, 4 (see </w:t>
            </w:r>
            <w:r w:rsidRPr="00924D0B">
              <w:rPr>
                <w:rFonts w:cs="Arial"/>
                <w:i/>
                <w:szCs w:val="20"/>
              </w:rPr>
              <w:t>References</w:t>
            </w:r>
            <w:r w:rsidRPr="00924D0B">
              <w:rPr>
                <w:rFonts w:cs="Arial"/>
                <w:szCs w:val="20"/>
              </w:rPr>
              <w:t xml:space="preserve">, </w:t>
            </w:r>
            <w:r>
              <w:rPr>
                <w:rFonts w:cs="Arial"/>
                <w:szCs w:val="20"/>
              </w:rPr>
              <w:t>below</w:t>
            </w:r>
            <w:r w:rsidRPr="00924D0B">
              <w:rPr>
                <w:rFonts w:cs="Arial"/>
                <w:szCs w:val="20"/>
              </w:rPr>
              <w:t>).</w:t>
            </w:r>
          </w:p>
        </w:tc>
      </w:tr>
    </w:tbl>
    <w:p w14:paraId="400A208A" w14:textId="77777777" w:rsidR="00486E44" w:rsidRDefault="00486E44" w:rsidP="00486E44">
      <w:pPr>
        <w:pStyle w:val="Heading2"/>
      </w:pPr>
      <w:bookmarkStart w:id="81" w:name="_Toc389037159"/>
      <w:bookmarkStart w:id="82" w:name="_Toc485394988"/>
      <w:bookmarkStart w:id="83" w:name="_Toc529882343"/>
      <w:bookmarkStart w:id="84" w:name="_Toc207780071"/>
      <w:r>
        <w:t>Packaging and transportation</w:t>
      </w:r>
      <w:bookmarkEnd w:id="81"/>
      <w:bookmarkEnd w:id="82"/>
      <w:bookmarkEnd w:id="83"/>
      <w:bookmarkEnd w:id="84"/>
    </w:p>
    <w:p w14:paraId="5F8F3109" w14:textId="77777777" w:rsidR="00486E44" w:rsidRDefault="00486E44" w:rsidP="00486E44">
      <w:pPr>
        <w:pStyle w:val="Heading3"/>
      </w:pPr>
      <w:bookmarkStart w:id="85" w:name="_Toc389037160"/>
      <w:bookmarkStart w:id="86" w:name="_Toc485394989"/>
      <w:bookmarkStart w:id="87" w:name="_Toc529882344"/>
      <w:r>
        <w:t>Packaging</w:t>
      </w:r>
      <w:bookmarkEnd w:id="85"/>
      <w:bookmarkEnd w:id="86"/>
      <w:bookmarkEnd w:id="87"/>
    </w:p>
    <w:p w14:paraId="13591D7C" w14:textId="77777777" w:rsidR="00486E44" w:rsidRPr="00FD0A05" w:rsidRDefault="00486E44" w:rsidP="00486E44">
      <w:pPr>
        <w:numPr>
          <w:ilvl w:val="0"/>
          <w:numId w:val="10"/>
        </w:numPr>
        <w:spacing w:before="180" w:after="60" w:line="264" w:lineRule="auto"/>
        <w:rPr>
          <w:lang w:eastAsia="en-AU"/>
        </w:rPr>
      </w:pPr>
      <w:r w:rsidRPr="00BB6D49">
        <w:rPr>
          <w:b/>
          <w:lang w:eastAsia="en-AU"/>
        </w:rPr>
        <w:t>Issue.</w:t>
      </w:r>
      <w:r w:rsidRPr="00CD371A">
        <w:t xml:space="preserve"> </w:t>
      </w:r>
      <w:r>
        <w:t>Packaging utilises resources and generates environmental impacts during its production. It may also contain toxic substances that can create pollution if not disposed of correctly.</w:t>
      </w:r>
    </w:p>
    <w:p w14:paraId="5CCCD126" w14:textId="77777777" w:rsidR="00486E44" w:rsidRDefault="00486E44" w:rsidP="00486E44">
      <w:pPr>
        <w:numPr>
          <w:ilvl w:val="0"/>
          <w:numId w:val="10"/>
        </w:numPr>
        <w:spacing w:before="180" w:after="240" w:line="264" w:lineRule="auto"/>
        <w:ind w:left="714" w:hanging="357"/>
        <w:rPr>
          <w:lang w:eastAsia="en-AU"/>
        </w:rPr>
      </w:pPr>
      <w:r w:rsidRPr="00BB6D49">
        <w:rPr>
          <w:b/>
          <w:lang w:eastAsia="en-AU"/>
        </w:rPr>
        <w:t>Response.</w:t>
      </w:r>
      <w:r>
        <w:rPr>
          <w:lang w:eastAsia="en-AU"/>
        </w:rPr>
        <w:t xml:space="preserve"> Ensure packaging supplied with the procured business machines is recyclable and contains recycled content and no toxic substances. Engage suppliers that can demonstrate initiatives to minimise the environmental impacts of packaging through better design and reuse or recycling of product packaging.</w:t>
      </w:r>
    </w:p>
    <w:p w14:paraId="38807400" w14:textId="77777777" w:rsidR="00486E44" w:rsidRDefault="00486E44" w:rsidP="00486E44">
      <w:pPr>
        <w:spacing w:line="259" w:lineRule="auto"/>
        <w:rPr>
          <w:lang w:eastAsia="en-AU"/>
        </w:rPr>
      </w:pPr>
      <w:r>
        <w:rPr>
          <w:lang w:eastAsia="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5031"/>
        <w:gridCol w:w="3985"/>
      </w:tblGrid>
      <w:tr w:rsidR="00486E44" w:rsidRPr="00972AE8" w14:paraId="2E741241" w14:textId="77777777" w:rsidTr="006509D4">
        <w:trPr>
          <w:cantSplit/>
        </w:trPr>
        <w:tc>
          <w:tcPr>
            <w:tcW w:w="2790" w:type="pct"/>
            <w:shd w:val="clear" w:color="auto" w:fill="0070C0"/>
          </w:tcPr>
          <w:p w14:paraId="32EEEBA2" w14:textId="77777777" w:rsidR="00486E44" w:rsidRPr="00972AE8" w:rsidRDefault="00486E44" w:rsidP="006509D4">
            <w:pPr>
              <w:pStyle w:val="Tableheadings"/>
            </w:pPr>
            <w:r w:rsidRPr="00D51C7E">
              <w:lastRenderedPageBreak/>
              <w:t>Minimum performance criteria</w:t>
            </w:r>
          </w:p>
        </w:tc>
        <w:tc>
          <w:tcPr>
            <w:tcW w:w="2210" w:type="pct"/>
            <w:shd w:val="clear" w:color="auto" w:fill="0070C0"/>
          </w:tcPr>
          <w:p w14:paraId="12D27235" w14:textId="77777777" w:rsidR="00486E44" w:rsidRDefault="00486E44" w:rsidP="006509D4">
            <w:pPr>
              <w:pStyle w:val="Tableheadings"/>
            </w:pPr>
            <w:r w:rsidRPr="0047552D">
              <w:t>Best practice performance criteria</w:t>
            </w:r>
          </w:p>
        </w:tc>
      </w:tr>
      <w:tr w:rsidR="00486E44" w14:paraId="6F03A10C" w14:textId="77777777" w:rsidTr="006509D4">
        <w:trPr>
          <w:cantSplit/>
        </w:trPr>
        <w:tc>
          <w:tcPr>
            <w:tcW w:w="2790" w:type="pct"/>
            <w:shd w:val="clear" w:color="auto" w:fill="auto"/>
          </w:tcPr>
          <w:p w14:paraId="35ED0787" w14:textId="77777777" w:rsidR="00486E44" w:rsidRPr="00FB09AB" w:rsidRDefault="00486E44" w:rsidP="006509D4">
            <w:pPr>
              <w:spacing w:before="20" w:after="20"/>
              <w:rPr>
                <w:rFonts w:cs="Arial"/>
                <w:b/>
                <w:szCs w:val="20"/>
              </w:rPr>
            </w:pPr>
            <w:r w:rsidRPr="00FB09AB">
              <w:rPr>
                <w:rFonts w:cs="Arial"/>
                <w:b/>
                <w:szCs w:val="20"/>
              </w:rPr>
              <w:t>Minimum specifications:</w:t>
            </w:r>
          </w:p>
          <w:p w14:paraId="61469D8F" w14:textId="77777777" w:rsidR="00486E44" w:rsidRPr="00FB09AB" w:rsidRDefault="00486E44" w:rsidP="006509D4">
            <w:pPr>
              <w:spacing w:before="20" w:after="20"/>
              <w:rPr>
                <w:rFonts w:cs="Arial"/>
                <w:b/>
                <w:i/>
                <w:szCs w:val="20"/>
              </w:rPr>
            </w:pPr>
            <w:r w:rsidRPr="00FB09AB">
              <w:rPr>
                <w:rFonts w:cs="Arial"/>
                <w:b/>
                <w:i/>
                <w:szCs w:val="20"/>
              </w:rPr>
              <w:t>Management and reduction of packaging</w:t>
            </w:r>
          </w:p>
          <w:p w14:paraId="6D1756C8" w14:textId="77777777" w:rsidR="00486E44" w:rsidRPr="00FB09AB" w:rsidRDefault="00486E44" w:rsidP="006509D4">
            <w:pPr>
              <w:spacing w:before="20" w:after="20"/>
              <w:rPr>
                <w:rFonts w:cs="Arial"/>
                <w:szCs w:val="20"/>
              </w:rPr>
            </w:pPr>
            <w:r w:rsidRPr="00FB09AB">
              <w:rPr>
                <w:rFonts w:cs="Arial"/>
                <w:szCs w:val="20"/>
              </w:rPr>
              <w:t>Offerors are required to demonstrate:</w:t>
            </w:r>
          </w:p>
          <w:p w14:paraId="33691CB6"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FB09AB">
              <w:rPr>
                <w:rFonts w:cs="Arial"/>
                <w:szCs w:val="20"/>
              </w:rPr>
              <w:t xml:space="preserve">initiatives implemented to reduce the amount of </w:t>
            </w:r>
            <w:r w:rsidRPr="002967A1">
              <w:rPr>
                <w:rFonts w:cs="Arial"/>
                <w:sz w:val="19"/>
                <w:szCs w:val="19"/>
              </w:rPr>
              <w:t>packaging used (e.g. improvement in the packaging design or packaging reduction targets)</w:t>
            </w:r>
          </w:p>
          <w:p w14:paraId="627F34E0" w14:textId="77777777" w:rsidR="00486E44" w:rsidRPr="00FB09A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initiatives implemented to reduce the environmental impact of product packaging at the end-of-life; this may include initiatives to collect and/or reuse the packaging materials; if the</w:t>
            </w:r>
            <w:r w:rsidRPr="00FB09AB">
              <w:rPr>
                <w:rFonts w:cs="Arial"/>
                <w:szCs w:val="20"/>
              </w:rPr>
              <w:t xml:space="preserve"> offeror is providing a packaging take-back service, they must disclose how the collected packaging will be managed and whether the packaging is recycled locally.</w:t>
            </w:r>
          </w:p>
          <w:p w14:paraId="451C6F82" w14:textId="77777777" w:rsidR="00486E44" w:rsidRPr="00FB09AB" w:rsidRDefault="00486E44" w:rsidP="006509D4">
            <w:pPr>
              <w:spacing w:before="20" w:after="20"/>
              <w:rPr>
                <w:rFonts w:cs="Arial"/>
                <w:szCs w:val="20"/>
              </w:rPr>
            </w:pPr>
          </w:p>
          <w:p w14:paraId="6EEEAAE9" w14:textId="77777777" w:rsidR="00486E44" w:rsidRPr="00FB09AB" w:rsidRDefault="00486E44" w:rsidP="006509D4">
            <w:pPr>
              <w:spacing w:before="20" w:after="20"/>
              <w:rPr>
                <w:rFonts w:cs="Arial"/>
                <w:b/>
                <w:i/>
                <w:szCs w:val="20"/>
              </w:rPr>
            </w:pPr>
            <w:r w:rsidRPr="00FB09AB">
              <w:rPr>
                <w:rFonts w:cs="Arial"/>
                <w:b/>
                <w:i/>
                <w:szCs w:val="20"/>
              </w:rPr>
              <w:t>Content of packaging materials</w:t>
            </w:r>
          </w:p>
          <w:p w14:paraId="551FA0EF" w14:textId="77777777" w:rsidR="00486E44" w:rsidRPr="00FB09AB" w:rsidRDefault="00486E44" w:rsidP="006509D4">
            <w:pPr>
              <w:spacing w:before="20" w:after="20"/>
              <w:rPr>
                <w:rFonts w:cs="Arial"/>
                <w:szCs w:val="20"/>
              </w:rPr>
            </w:pPr>
            <w:r w:rsidRPr="00FB09AB">
              <w:rPr>
                <w:rFonts w:cs="Arial"/>
                <w:szCs w:val="20"/>
              </w:rPr>
              <w:t>Offerors are required to provide a written declaration showing that packaging supplied with the offered products meets the following requirements:</w:t>
            </w:r>
          </w:p>
          <w:p w14:paraId="396DC71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FB09AB">
              <w:rPr>
                <w:rFonts w:cs="Arial"/>
                <w:szCs w:val="20"/>
              </w:rPr>
              <w:t xml:space="preserve">cartons/boxes must contain a minimum 50 per cent </w:t>
            </w:r>
            <w:r w:rsidRPr="002967A1">
              <w:rPr>
                <w:rFonts w:cs="Arial"/>
                <w:sz w:val="19"/>
                <w:szCs w:val="19"/>
              </w:rPr>
              <w:t>recycled content</w:t>
            </w:r>
          </w:p>
          <w:p w14:paraId="437AB3A3"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 xml:space="preserve">a minimum of 80 per cent of packaging by weight must consist of materials that are readily recyclable </w:t>
            </w:r>
          </w:p>
          <w:p w14:paraId="554A5399"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packaging must not contain chlorinated or halogenated plastics (including PVC)</w:t>
            </w:r>
          </w:p>
          <w:p w14:paraId="1F75F731" w14:textId="77777777" w:rsidR="00486E44" w:rsidRPr="00FB09A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heavy metals must not be added to any packaging</w:t>
            </w:r>
            <w:r w:rsidRPr="00FB09AB">
              <w:rPr>
                <w:rFonts w:cs="Arial"/>
                <w:szCs w:val="20"/>
              </w:rPr>
              <w:t xml:space="preserve"> component (heavy metals present in recycled content are acceptable).</w:t>
            </w:r>
          </w:p>
          <w:p w14:paraId="0B98C7C7" w14:textId="77777777" w:rsidR="00486E44" w:rsidRPr="00FB09AB" w:rsidRDefault="00486E44" w:rsidP="006509D4">
            <w:pPr>
              <w:spacing w:before="20" w:after="20"/>
              <w:rPr>
                <w:rFonts w:cs="Arial"/>
                <w:szCs w:val="20"/>
              </w:rPr>
            </w:pPr>
          </w:p>
          <w:p w14:paraId="7F34E0E0" w14:textId="77777777" w:rsidR="00486E44" w:rsidRPr="00FB09AB" w:rsidRDefault="00486E44" w:rsidP="006509D4">
            <w:pPr>
              <w:spacing w:before="20" w:after="20"/>
              <w:rPr>
                <w:rFonts w:cs="Arial"/>
                <w:szCs w:val="20"/>
              </w:rPr>
            </w:pPr>
            <w:r w:rsidRPr="00FB09AB">
              <w:rPr>
                <w:rFonts w:cs="Arial"/>
                <w:szCs w:val="20"/>
              </w:rPr>
              <w:t>Offerors must disclose the steps that have been taken to identify and eliminate the use of hazardous substances in product packaging.</w:t>
            </w:r>
          </w:p>
        </w:tc>
        <w:tc>
          <w:tcPr>
            <w:tcW w:w="2210" w:type="pct"/>
            <w:shd w:val="clear" w:color="auto" w:fill="auto"/>
          </w:tcPr>
          <w:p w14:paraId="2AA3EB6F" w14:textId="77777777" w:rsidR="00486E44" w:rsidRPr="00FB09AB" w:rsidRDefault="00486E44" w:rsidP="006509D4">
            <w:pPr>
              <w:spacing w:before="20" w:after="20"/>
              <w:rPr>
                <w:rFonts w:cs="Arial"/>
                <w:b/>
                <w:szCs w:val="20"/>
              </w:rPr>
            </w:pPr>
            <w:r w:rsidRPr="00FB09AB">
              <w:rPr>
                <w:rFonts w:cs="Arial"/>
                <w:b/>
                <w:szCs w:val="20"/>
              </w:rPr>
              <w:t>Best practice specifications:</w:t>
            </w:r>
          </w:p>
          <w:p w14:paraId="6D8BD71D" w14:textId="77777777" w:rsidR="00486E44" w:rsidRPr="00FB09AB" w:rsidRDefault="00486E44" w:rsidP="006509D4">
            <w:pPr>
              <w:spacing w:before="20" w:after="20"/>
              <w:rPr>
                <w:rFonts w:cs="Arial"/>
                <w:b/>
                <w:i/>
                <w:szCs w:val="20"/>
              </w:rPr>
            </w:pPr>
            <w:r w:rsidRPr="00FB09AB">
              <w:rPr>
                <w:rFonts w:cs="Arial"/>
                <w:b/>
                <w:i/>
                <w:szCs w:val="20"/>
              </w:rPr>
              <w:t>Take-back of packaging</w:t>
            </w:r>
          </w:p>
          <w:p w14:paraId="28C872EA" w14:textId="77777777" w:rsidR="00486E44" w:rsidRPr="00FB09AB" w:rsidRDefault="00486E44" w:rsidP="006509D4">
            <w:pPr>
              <w:spacing w:before="20" w:after="20"/>
              <w:rPr>
                <w:rFonts w:cs="Arial"/>
                <w:szCs w:val="20"/>
              </w:rPr>
            </w:pPr>
            <w:r w:rsidRPr="00FB09AB">
              <w:rPr>
                <w:rFonts w:cs="Arial"/>
                <w:szCs w:val="20"/>
              </w:rPr>
              <w:t>Throughout the term of the arrangement, the successful offeror will be required to provide take-back of packaging supplied with products and evidence that the collected packaging is recycled and/or re-used.</w:t>
            </w:r>
          </w:p>
          <w:p w14:paraId="2CED4CC2" w14:textId="77777777" w:rsidR="00486E44" w:rsidRPr="00FB09AB" w:rsidRDefault="00486E44" w:rsidP="006509D4">
            <w:pPr>
              <w:spacing w:before="20" w:after="20"/>
              <w:rPr>
                <w:rFonts w:cs="Arial"/>
                <w:szCs w:val="20"/>
              </w:rPr>
            </w:pPr>
          </w:p>
          <w:p w14:paraId="26A66879" w14:textId="77777777" w:rsidR="00486E44" w:rsidRPr="00FB09AB" w:rsidRDefault="00486E44" w:rsidP="006509D4">
            <w:pPr>
              <w:spacing w:before="20" w:after="20"/>
              <w:rPr>
                <w:rFonts w:cs="Arial"/>
                <w:szCs w:val="20"/>
              </w:rPr>
            </w:pPr>
            <w:r w:rsidRPr="00FB09AB">
              <w:rPr>
                <w:rFonts w:cs="Arial"/>
                <w:szCs w:val="20"/>
              </w:rPr>
              <w:t>Offerors are required to describe how the collected packaging will be managed and whether the packaging is recycled locally.</w:t>
            </w:r>
          </w:p>
          <w:p w14:paraId="5902B40F" w14:textId="77777777" w:rsidR="00486E44" w:rsidRPr="00FB09AB" w:rsidRDefault="00486E44" w:rsidP="006509D4">
            <w:pPr>
              <w:spacing w:before="20" w:after="20"/>
              <w:rPr>
                <w:rFonts w:cs="Arial"/>
                <w:szCs w:val="20"/>
              </w:rPr>
            </w:pPr>
          </w:p>
          <w:p w14:paraId="57C295F0" w14:textId="77777777" w:rsidR="00486E44" w:rsidRPr="00FB09AB" w:rsidRDefault="00486E44" w:rsidP="006509D4">
            <w:pPr>
              <w:spacing w:before="20" w:after="20"/>
              <w:rPr>
                <w:rFonts w:cs="Arial"/>
                <w:b/>
                <w:i/>
                <w:szCs w:val="20"/>
              </w:rPr>
            </w:pPr>
            <w:r w:rsidRPr="00FB09AB">
              <w:rPr>
                <w:rFonts w:cs="Arial"/>
                <w:b/>
                <w:i/>
                <w:szCs w:val="20"/>
              </w:rPr>
              <w:t>Content of packaging materials</w:t>
            </w:r>
          </w:p>
          <w:p w14:paraId="5EFF0701" w14:textId="77777777" w:rsidR="00486E44" w:rsidRPr="00FB09AB" w:rsidRDefault="00486E44" w:rsidP="006509D4">
            <w:pPr>
              <w:spacing w:before="20" w:after="20"/>
              <w:rPr>
                <w:rFonts w:cs="Arial"/>
                <w:szCs w:val="20"/>
              </w:rPr>
            </w:pPr>
            <w:r w:rsidRPr="00FB09AB">
              <w:rPr>
                <w:rFonts w:cs="Arial"/>
                <w:szCs w:val="20"/>
              </w:rPr>
              <w:t>Offerors are required to provide a written declaration showing that packaging supplied with the offered products meets the following requirements:</w:t>
            </w:r>
          </w:p>
          <w:p w14:paraId="78BCA400"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FB09AB">
              <w:rPr>
                <w:rFonts w:cs="Arial"/>
                <w:szCs w:val="20"/>
              </w:rPr>
              <w:t xml:space="preserve">cartons/boxes must contain 100 per </w:t>
            </w:r>
            <w:r w:rsidRPr="002967A1">
              <w:rPr>
                <w:rFonts w:cs="Arial"/>
                <w:sz w:val="19"/>
                <w:szCs w:val="19"/>
              </w:rPr>
              <w:t>cent recycled content</w:t>
            </w:r>
          </w:p>
          <w:p w14:paraId="77EC90C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 xml:space="preserve">all packaging must be able to be recycled </w:t>
            </w:r>
          </w:p>
          <w:p w14:paraId="497A2696"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packaging must not contain chlorinated or halogenated plastics (including PVC)</w:t>
            </w:r>
          </w:p>
          <w:p w14:paraId="6E2726AD" w14:textId="77777777" w:rsidR="00486E44" w:rsidRPr="00FB09A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heavy metals must not be added to any packaging</w:t>
            </w:r>
            <w:r w:rsidRPr="00FB09AB">
              <w:rPr>
                <w:rFonts w:cs="Arial"/>
                <w:szCs w:val="20"/>
              </w:rPr>
              <w:t xml:space="preserve"> component (heavy metals present in recycled content are acceptable).</w:t>
            </w:r>
          </w:p>
        </w:tc>
      </w:tr>
      <w:tr w:rsidR="00486E44" w:rsidRPr="00D51C7E" w14:paraId="49B88E7D" w14:textId="77777777" w:rsidTr="006509D4">
        <w:trPr>
          <w:cantSplit/>
        </w:trPr>
        <w:tc>
          <w:tcPr>
            <w:tcW w:w="5000" w:type="pct"/>
            <w:gridSpan w:val="2"/>
            <w:shd w:val="clear" w:color="auto" w:fill="auto"/>
          </w:tcPr>
          <w:p w14:paraId="79464044" w14:textId="77777777" w:rsidR="00486E44" w:rsidRPr="00FB09AB" w:rsidRDefault="00486E44" w:rsidP="006509D4">
            <w:pPr>
              <w:spacing w:before="20" w:after="20"/>
              <w:rPr>
                <w:rFonts w:cs="Arial"/>
                <w:b/>
                <w:szCs w:val="20"/>
              </w:rPr>
            </w:pPr>
            <w:r w:rsidRPr="00FB09AB">
              <w:rPr>
                <w:rFonts w:cs="Arial"/>
                <w:b/>
                <w:szCs w:val="20"/>
              </w:rPr>
              <w:t>Contract performance clause</w:t>
            </w:r>
          </w:p>
          <w:p w14:paraId="171C7B19" w14:textId="77777777" w:rsidR="00486E44" w:rsidRPr="00FB09AB" w:rsidRDefault="00486E44" w:rsidP="006509D4">
            <w:pPr>
              <w:spacing w:before="20" w:after="20"/>
              <w:rPr>
                <w:rFonts w:cs="Arial"/>
                <w:szCs w:val="20"/>
              </w:rPr>
            </w:pPr>
            <w:r w:rsidRPr="00FB09AB">
              <w:rPr>
                <w:rFonts w:cs="Arial"/>
                <w:szCs w:val="20"/>
              </w:rPr>
              <w:t>The contractor is required to provide quarterly reporting on:</w:t>
            </w:r>
          </w:p>
          <w:p w14:paraId="3AAB347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volume and percentage of total of packaging reduced through new initiatives</w:t>
            </w:r>
          </w:p>
          <w:p w14:paraId="55079C08"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volume and percentage of total of packaging collected through the take-back scheme</w:t>
            </w:r>
          </w:p>
          <w:p w14:paraId="1FF9B59A" w14:textId="77777777" w:rsidR="00486E44" w:rsidRPr="00FB09A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volume</w:t>
            </w:r>
            <w:r w:rsidRPr="00FB09AB">
              <w:rPr>
                <w:rFonts w:cs="Arial"/>
                <w:szCs w:val="20"/>
              </w:rPr>
              <w:t xml:space="preserve"> and percentage of total packaging recycled and/or re-used.</w:t>
            </w:r>
          </w:p>
        </w:tc>
      </w:tr>
      <w:tr w:rsidR="00486E44" w:rsidRPr="00D51C7E" w14:paraId="3D4AE6D1" w14:textId="77777777" w:rsidTr="006509D4">
        <w:trPr>
          <w:cantSplit/>
        </w:trPr>
        <w:tc>
          <w:tcPr>
            <w:tcW w:w="5000" w:type="pct"/>
            <w:gridSpan w:val="2"/>
          </w:tcPr>
          <w:p w14:paraId="483F3E6E" w14:textId="77777777" w:rsidR="00486E44" w:rsidRPr="00FB09AB" w:rsidRDefault="00486E44" w:rsidP="006509D4">
            <w:pPr>
              <w:spacing w:before="20" w:after="20"/>
              <w:rPr>
                <w:rFonts w:cs="Arial"/>
                <w:szCs w:val="20"/>
              </w:rPr>
            </w:pPr>
            <w:r w:rsidRPr="00FB09AB">
              <w:rPr>
                <w:rFonts w:cs="Arial"/>
                <w:szCs w:val="20"/>
              </w:rPr>
              <w:t xml:space="preserve">References: 1, 4 (see </w:t>
            </w:r>
            <w:r w:rsidRPr="00FB09AB">
              <w:rPr>
                <w:rFonts w:cs="Arial"/>
                <w:i/>
                <w:szCs w:val="20"/>
              </w:rPr>
              <w:t>References</w:t>
            </w:r>
            <w:r w:rsidRPr="00FB09AB">
              <w:rPr>
                <w:rFonts w:cs="Arial"/>
                <w:szCs w:val="20"/>
              </w:rPr>
              <w:t xml:space="preserve">, </w:t>
            </w:r>
            <w:r>
              <w:rPr>
                <w:rFonts w:cs="Arial"/>
                <w:szCs w:val="20"/>
              </w:rPr>
              <w:t>below</w:t>
            </w:r>
            <w:r w:rsidRPr="00FB09AB">
              <w:rPr>
                <w:rFonts w:cs="Arial"/>
                <w:szCs w:val="20"/>
              </w:rPr>
              <w:t>).</w:t>
            </w:r>
          </w:p>
        </w:tc>
      </w:tr>
    </w:tbl>
    <w:p w14:paraId="7D85A621" w14:textId="77777777" w:rsidR="00486E44" w:rsidRDefault="00486E44" w:rsidP="00486E44">
      <w:pPr>
        <w:pStyle w:val="Heading3"/>
      </w:pPr>
      <w:bookmarkStart w:id="88" w:name="_Toc389037161"/>
      <w:bookmarkStart w:id="89" w:name="_Toc485394990"/>
      <w:bookmarkStart w:id="90" w:name="_Toc529882345"/>
      <w:r>
        <w:t>Transportation</w:t>
      </w:r>
      <w:bookmarkEnd w:id="88"/>
      <w:bookmarkEnd w:id="89"/>
      <w:bookmarkEnd w:id="90"/>
    </w:p>
    <w:p w14:paraId="0B4347C3"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Issue. </w:t>
      </w:r>
      <w:r w:rsidRPr="0021550B">
        <w:rPr>
          <w:lang w:eastAsia="en-AU"/>
        </w:rPr>
        <w:t>Distribution of business machines to customers utilises transportation methods, which releases significant amounts of greenhouse gases to the atmosphere.</w:t>
      </w:r>
    </w:p>
    <w:p w14:paraId="2F24BC69"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Response. </w:t>
      </w:r>
      <w:r w:rsidRPr="0021550B">
        <w:rPr>
          <w:lang w:eastAsia="en-AU"/>
        </w:rPr>
        <w:t>Procure business machines from suppliers that can demonstrate initiatives to reduce the environmental impacts associated from transportation and distribution of the product.</w:t>
      </w:r>
    </w:p>
    <w:p w14:paraId="2F5CE74E" w14:textId="77777777" w:rsidR="00486E44" w:rsidRDefault="00486E44" w:rsidP="00486E4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5068C3EB" w14:textId="77777777" w:rsidTr="006509D4">
        <w:trPr>
          <w:cantSplit/>
        </w:trPr>
        <w:tc>
          <w:tcPr>
            <w:tcW w:w="2500" w:type="pct"/>
            <w:shd w:val="clear" w:color="auto" w:fill="0070C0"/>
          </w:tcPr>
          <w:p w14:paraId="1A22690A" w14:textId="77777777" w:rsidR="00486E44" w:rsidRPr="00972AE8" w:rsidRDefault="00486E44" w:rsidP="006509D4">
            <w:pPr>
              <w:pStyle w:val="Tableheadings"/>
            </w:pPr>
            <w:r w:rsidRPr="00D51C7E">
              <w:lastRenderedPageBreak/>
              <w:t>Minimum performance criteria</w:t>
            </w:r>
          </w:p>
        </w:tc>
        <w:tc>
          <w:tcPr>
            <w:tcW w:w="2500" w:type="pct"/>
            <w:shd w:val="clear" w:color="auto" w:fill="0070C0"/>
          </w:tcPr>
          <w:p w14:paraId="352465F9" w14:textId="77777777" w:rsidR="00486E44" w:rsidRDefault="00486E44" w:rsidP="006509D4">
            <w:pPr>
              <w:pStyle w:val="Tableheadings"/>
            </w:pPr>
            <w:r w:rsidRPr="0047552D">
              <w:t>Best practice performance criteria</w:t>
            </w:r>
          </w:p>
        </w:tc>
      </w:tr>
      <w:tr w:rsidR="00486E44" w14:paraId="251BDEB5" w14:textId="77777777" w:rsidTr="006509D4">
        <w:trPr>
          <w:cantSplit/>
        </w:trPr>
        <w:tc>
          <w:tcPr>
            <w:tcW w:w="2500" w:type="pct"/>
            <w:shd w:val="clear" w:color="auto" w:fill="auto"/>
          </w:tcPr>
          <w:p w14:paraId="5E30ECA1" w14:textId="77777777" w:rsidR="00486E44" w:rsidRPr="00FB09AB" w:rsidRDefault="00486E44" w:rsidP="006509D4">
            <w:pPr>
              <w:spacing w:before="20" w:after="20"/>
              <w:rPr>
                <w:rFonts w:cs="Arial"/>
                <w:b/>
                <w:szCs w:val="20"/>
              </w:rPr>
            </w:pPr>
            <w:r w:rsidRPr="00FB09AB">
              <w:rPr>
                <w:rFonts w:cs="Arial"/>
                <w:b/>
                <w:szCs w:val="20"/>
              </w:rPr>
              <w:t>Minimum specification:</w:t>
            </w:r>
          </w:p>
          <w:p w14:paraId="15F2C9A9" w14:textId="77777777" w:rsidR="00486E44" w:rsidRPr="00FB09AB" w:rsidRDefault="00486E44" w:rsidP="006509D4">
            <w:pPr>
              <w:spacing w:before="20" w:after="20"/>
              <w:rPr>
                <w:rFonts w:cs="Arial"/>
                <w:szCs w:val="20"/>
              </w:rPr>
            </w:pPr>
            <w:r w:rsidRPr="00FB09AB">
              <w:rPr>
                <w:rFonts w:cs="Arial"/>
                <w:szCs w:val="20"/>
              </w:rPr>
              <w:t>Offerors are required to demonstrate the steps that have</w:t>
            </w:r>
            <w:r>
              <w:rPr>
                <w:rFonts w:cs="Arial"/>
                <w:szCs w:val="20"/>
              </w:rPr>
              <w:t xml:space="preserve"> </w:t>
            </w:r>
            <w:r w:rsidRPr="00FB09AB">
              <w:rPr>
                <w:rFonts w:cs="Arial"/>
                <w:szCs w:val="20"/>
              </w:rPr>
              <w:t>been taken to minimise the impacts associated with</w:t>
            </w:r>
            <w:r>
              <w:rPr>
                <w:rFonts w:cs="Arial"/>
                <w:szCs w:val="20"/>
              </w:rPr>
              <w:t xml:space="preserve"> </w:t>
            </w:r>
            <w:r w:rsidRPr="00FB09AB">
              <w:rPr>
                <w:rFonts w:cs="Arial"/>
                <w:szCs w:val="20"/>
              </w:rPr>
              <w:t>transportation and distribution of the offered products.</w:t>
            </w:r>
          </w:p>
          <w:p w14:paraId="1E2F24D3" w14:textId="77777777" w:rsidR="00486E44" w:rsidRDefault="00486E44" w:rsidP="006509D4">
            <w:pPr>
              <w:spacing w:before="20" w:after="20"/>
              <w:rPr>
                <w:rFonts w:cs="Arial"/>
                <w:szCs w:val="20"/>
              </w:rPr>
            </w:pPr>
          </w:p>
          <w:p w14:paraId="11A4709F" w14:textId="77777777" w:rsidR="00486E44" w:rsidRPr="00FB09AB" w:rsidRDefault="00486E44" w:rsidP="006509D4">
            <w:pPr>
              <w:spacing w:before="20" w:after="20"/>
              <w:rPr>
                <w:rFonts w:cs="Arial"/>
                <w:szCs w:val="20"/>
              </w:rPr>
            </w:pPr>
            <w:r w:rsidRPr="00FB09AB">
              <w:rPr>
                <w:rFonts w:cs="Arial"/>
                <w:szCs w:val="20"/>
              </w:rPr>
              <w:t>This could include improved delivery/logistics efficiency,</w:t>
            </w:r>
            <w:r>
              <w:rPr>
                <w:rFonts w:cs="Arial"/>
                <w:szCs w:val="20"/>
              </w:rPr>
              <w:t xml:space="preserve"> </w:t>
            </w:r>
            <w:r w:rsidRPr="00FB09AB">
              <w:rPr>
                <w:rFonts w:cs="Arial"/>
                <w:szCs w:val="20"/>
              </w:rPr>
              <w:t>initiatives to reduce fuel consumption or the use of</w:t>
            </w:r>
            <w:r>
              <w:rPr>
                <w:rFonts w:cs="Arial"/>
                <w:szCs w:val="20"/>
              </w:rPr>
              <w:t xml:space="preserve"> </w:t>
            </w:r>
            <w:r w:rsidRPr="00FB09AB">
              <w:rPr>
                <w:rFonts w:cs="Arial"/>
                <w:szCs w:val="20"/>
              </w:rPr>
              <w:t>ethanol-blended fuels in delivery fleet.</w:t>
            </w:r>
          </w:p>
        </w:tc>
        <w:tc>
          <w:tcPr>
            <w:tcW w:w="2500" w:type="pct"/>
            <w:shd w:val="clear" w:color="auto" w:fill="auto"/>
          </w:tcPr>
          <w:p w14:paraId="6C813F8D" w14:textId="77777777" w:rsidR="00486E44" w:rsidRPr="00FB09AB" w:rsidRDefault="00486E44" w:rsidP="006509D4">
            <w:pPr>
              <w:spacing w:before="20" w:after="20"/>
              <w:rPr>
                <w:rFonts w:cs="Arial"/>
                <w:b/>
                <w:szCs w:val="20"/>
              </w:rPr>
            </w:pPr>
            <w:r w:rsidRPr="00FB09AB">
              <w:rPr>
                <w:rFonts w:cs="Arial"/>
                <w:b/>
                <w:szCs w:val="20"/>
              </w:rPr>
              <w:t>Best practice specification:</w:t>
            </w:r>
          </w:p>
          <w:p w14:paraId="3570027A" w14:textId="77777777" w:rsidR="00486E44" w:rsidRPr="00FB09AB" w:rsidRDefault="00486E44" w:rsidP="006509D4">
            <w:pPr>
              <w:spacing w:before="20" w:after="20"/>
              <w:rPr>
                <w:rFonts w:cs="Arial"/>
                <w:szCs w:val="20"/>
              </w:rPr>
            </w:pPr>
            <w:r w:rsidRPr="00FB09AB">
              <w:rPr>
                <w:rFonts w:cs="Arial"/>
                <w:szCs w:val="20"/>
              </w:rPr>
              <w:t>Offerors are required to disclose the greenhouse gas</w:t>
            </w:r>
            <w:r>
              <w:rPr>
                <w:rFonts w:cs="Arial"/>
                <w:szCs w:val="20"/>
              </w:rPr>
              <w:t xml:space="preserve"> </w:t>
            </w:r>
            <w:r w:rsidRPr="00FB09AB">
              <w:rPr>
                <w:rFonts w:cs="Arial"/>
                <w:szCs w:val="20"/>
              </w:rPr>
              <w:t>emissions associated with the delivery of the products</w:t>
            </w:r>
            <w:r>
              <w:rPr>
                <w:rFonts w:cs="Arial"/>
                <w:szCs w:val="20"/>
              </w:rPr>
              <w:t xml:space="preserve"> </w:t>
            </w:r>
            <w:r w:rsidRPr="00FB09AB">
              <w:rPr>
                <w:rFonts w:cs="Arial"/>
                <w:szCs w:val="20"/>
              </w:rPr>
              <w:t>from final production location to the customer.</w:t>
            </w:r>
          </w:p>
        </w:tc>
      </w:tr>
    </w:tbl>
    <w:p w14:paraId="393B9E2C" w14:textId="77777777" w:rsidR="00486E44" w:rsidRDefault="00486E44" w:rsidP="00486E44">
      <w:pPr>
        <w:spacing w:after="0"/>
      </w:pPr>
    </w:p>
    <w:p w14:paraId="3F2FBE59" w14:textId="77777777" w:rsidR="00486E44" w:rsidRDefault="00486E44" w:rsidP="00486E44">
      <w:pPr>
        <w:spacing w:after="0"/>
        <w:rPr>
          <w:rFonts w:cs="Arial"/>
          <w:b/>
          <w:bCs/>
          <w:color w:val="708090"/>
          <w:sz w:val="28"/>
          <w:szCs w:val="20"/>
          <w:lang w:eastAsia="en-AU"/>
        </w:rPr>
      </w:pPr>
      <w:bookmarkStart w:id="91" w:name="_Toc389037162"/>
      <w:bookmarkStart w:id="92" w:name="_Toc485394991"/>
      <w:bookmarkStart w:id="93" w:name="_Toc529882346"/>
      <w:r>
        <w:br w:type="page"/>
      </w:r>
    </w:p>
    <w:p w14:paraId="25A6374C" w14:textId="77777777" w:rsidR="00486E44" w:rsidRDefault="00486E44" w:rsidP="00486E44">
      <w:pPr>
        <w:pStyle w:val="Heading2"/>
      </w:pPr>
      <w:bookmarkStart w:id="94" w:name="_Toc207780072"/>
      <w:r>
        <w:lastRenderedPageBreak/>
        <w:t>Operational use</w:t>
      </w:r>
      <w:bookmarkEnd w:id="91"/>
      <w:bookmarkEnd w:id="92"/>
      <w:bookmarkEnd w:id="93"/>
      <w:bookmarkEnd w:id="94"/>
    </w:p>
    <w:p w14:paraId="74A425B7" w14:textId="77777777" w:rsidR="00486E44" w:rsidRDefault="00486E44" w:rsidP="00486E44">
      <w:pPr>
        <w:pStyle w:val="Heading3"/>
      </w:pPr>
      <w:bookmarkStart w:id="95" w:name="_Toc389037163"/>
      <w:bookmarkStart w:id="96" w:name="_Toc485394992"/>
      <w:bookmarkStart w:id="97" w:name="_Toc529882347"/>
      <w:r>
        <w:t>Use of consumables</w:t>
      </w:r>
      <w:bookmarkEnd w:id="95"/>
      <w:bookmarkEnd w:id="96"/>
      <w:bookmarkEnd w:id="97"/>
    </w:p>
    <w:p w14:paraId="5847C5C8"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Issue. </w:t>
      </w:r>
      <w:r w:rsidRPr="0021550B">
        <w:rPr>
          <w:lang w:eastAsia="en-AU"/>
        </w:rPr>
        <w:t>The operation of business machines requires the use of consumables including paper and toners, each of which has their own environmental and social impacts.</w:t>
      </w:r>
    </w:p>
    <w:p w14:paraId="547B5D80" w14:textId="77777777" w:rsidR="00486E44" w:rsidRPr="008B695B" w:rsidRDefault="00486E44" w:rsidP="00486E44">
      <w:pPr>
        <w:numPr>
          <w:ilvl w:val="0"/>
          <w:numId w:val="10"/>
        </w:numPr>
        <w:spacing w:before="180" w:after="60" w:line="264" w:lineRule="auto"/>
        <w:rPr>
          <w:b/>
          <w:lang w:eastAsia="en-AU"/>
        </w:rPr>
      </w:pPr>
      <w:r w:rsidRPr="0021550B">
        <w:rPr>
          <w:b/>
          <w:lang w:eastAsia="en-AU"/>
        </w:rPr>
        <w:t xml:space="preserve">Response. </w:t>
      </w:r>
      <w:r w:rsidRPr="0021550B">
        <w:rPr>
          <w:lang w:eastAsia="en-AU"/>
        </w:rPr>
        <w:t>Procure business machines with efficiencies that minimise the use of consumables during operation, and with features that assist users in reducing the use of consumables.</w:t>
      </w:r>
    </w:p>
    <w:p w14:paraId="1BBEDB28" w14:textId="77777777" w:rsidR="00486E44" w:rsidRDefault="00486E44" w:rsidP="00486E4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433554DD" w14:textId="77777777" w:rsidTr="006509D4">
        <w:trPr>
          <w:cantSplit/>
        </w:trPr>
        <w:tc>
          <w:tcPr>
            <w:tcW w:w="2500" w:type="pct"/>
            <w:shd w:val="clear" w:color="auto" w:fill="0070C0"/>
          </w:tcPr>
          <w:p w14:paraId="03EA5757" w14:textId="77777777" w:rsidR="00486E44" w:rsidRPr="00972AE8" w:rsidRDefault="00486E44" w:rsidP="006509D4">
            <w:pPr>
              <w:pStyle w:val="Tableheadings"/>
            </w:pPr>
            <w:r w:rsidRPr="00D51C7E">
              <w:t>Minimum performance criteria</w:t>
            </w:r>
          </w:p>
        </w:tc>
        <w:tc>
          <w:tcPr>
            <w:tcW w:w="2500" w:type="pct"/>
            <w:shd w:val="clear" w:color="auto" w:fill="0070C0"/>
          </w:tcPr>
          <w:p w14:paraId="502554DC" w14:textId="77777777" w:rsidR="00486E44" w:rsidRDefault="00486E44" w:rsidP="006509D4">
            <w:pPr>
              <w:pStyle w:val="Tableheadings"/>
            </w:pPr>
            <w:r w:rsidRPr="0047552D">
              <w:t>Best practice performance criteria</w:t>
            </w:r>
          </w:p>
        </w:tc>
      </w:tr>
      <w:tr w:rsidR="00486E44" w14:paraId="230260DC" w14:textId="77777777" w:rsidTr="006509D4">
        <w:trPr>
          <w:cantSplit/>
        </w:trPr>
        <w:tc>
          <w:tcPr>
            <w:tcW w:w="2500" w:type="pct"/>
            <w:shd w:val="clear" w:color="auto" w:fill="auto"/>
          </w:tcPr>
          <w:p w14:paraId="70056D10" w14:textId="77777777" w:rsidR="00486E44" w:rsidRPr="00FB09AB" w:rsidRDefault="00486E44" w:rsidP="006509D4">
            <w:pPr>
              <w:spacing w:before="20" w:after="20"/>
              <w:rPr>
                <w:rFonts w:cs="Arial"/>
                <w:b/>
                <w:szCs w:val="20"/>
              </w:rPr>
            </w:pPr>
            <w:r w:rsidRPr="00FB09AB">
              <w:rPr>
                <w:rFonts w:cs="Arial"/>
                <w:b/>
                <w:szCs w:val="20"/>
              </w:rPr>
              <w:t>Minimum specification:</w:t>
            </w:r>
          </w:p>
          <w:p w14:paraId="1B35E34B" w14:textId="77777777" w:rsidR="00486E44" w:rsidRPr="00FB09AB" w:rsidRDefault="00486E44" w:rsidP="006509D4">
            <w:pPr>
              <w:spacing w:before="20" w:after="20"/>
              <w:rPr>
                <w:rFonts w:cs="Arial"/>
                <w:szCs w:val="20"/>
              </w:rPr>
            </w:pPr>
            <w:r w:rsidRPr="00FB09AB">
              <w:rPr>
                <w:rFonts w:cs="Arial"/>
                <w:szCs w:val="20"/>
              </w:rPr>
              <w:t>Offerors are required to describe any features associated with the offered products that assist in reducing the use of consumables, in particular, toner, inks and paper. These features should include:</w:t>
            </w:r>
          </w:p>
          <w:p w14:paraId="7D5D7E0C"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FB09AB">
              <w:rPr>
                <w:rFonts w:cs="Arial"/>
                <w:szCs w:val="20"/>
              </w:rPr>
              <w:t>digita</w:t>
            </w:r>
            <w:r w:rsidRPr="002967A1">
              <w:rPr>
                <w:rFonts w:cs="Arial"/>
                <w:sz w:val="19"/>
                <w:szCs w:val="19"/>
              </w:rPr>
              <w:t>l imaging and archiving</w:t>
            </w:r>
          </w:p>
          <w:p w14:paraId="06B98F58"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print job review and confirmation at machine prior to printing</w:t>
            </w:r>
          </w:p>
          <w:p w14:paraId="17BCD58C" w14:textId="77777777" w:rsidR="00486E44" w:rsidRPr="00FB09AB"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toner and paper consumption tracking features</w:t>
            </w:r>
            <w:r w:rsidRPr="00FB09AB">
              <w:rPr>
                <w:rFonts w:cs="Arial"/>
                <w:szCs w:val="20"/>
              </w:rPr>
              <w:t>.</w:t>
            </w:r>
          </w:p>
          <w:p w14:paraId="425926A3" w14:textId="77777777" w:rsidR="00486E44" w:rsidRPr="00FB09AB" w:rsidRDefault="00486E44" w:rsidP="006509D4">
            <w:pPr>
              <w:spacing w:before="20" w:after="20"/>
              <w:rPr>
                <w:rFonts w:cs="Arial"/>
                <w:szCs w:val="20"/>
              </w:rPr>
            </w:pPr>
          </w:p>
          <w:p w14:paraId="712C1FB1" w14:textId="77777777" w:rsidR="00486E44" w:rsidRPr="00FB09AB" w:rsidRDefault="00486E44" w:rsidP="006509D4">
            <w:pPr>
              <w:spacing w:before="20" w:after="20"/>
              <w:rPr>
                <w:rFonts w:cs="Arial"/>
                <w:b/>
                <w:i/>
                <w:szCs w:val="20"/>
              </w:rPr>
            </w:pPr>
            <w:r w:rsidRPr="00FB09AB">
              <w:rPr>
                <w:rFonts w:cs="Arial"/>
                <w:b/>
                <w:i/>
                <w:szCs w:val="20"/>
              </w:rPr>
              <w:t>Printing</w:t>
            </w:r>
          </w:p>
          <w:p w14:paraId="44C8B965" w14:textId="77777777" w:rsidR="00486E44" w:rsidRPr="00FB09AB" w:rsidRDefault="00486E44" w:rsidP="006509D4">
            <w:pPr>
              <w:spacing w:before="20" w:after="20"/>
              <w:rPr>
                <w:rFonts w:cs="Arial"/>
                <w:szCs w:val="20"/>
              </w:rPr>
            </w:pPr>
            <w:r w:rsidRPr="00FB09AB">
              <w:rPr>
                <w:rFonts w:cs="Arial"/>
                <w:szCs w:val="20"/>
              </w:rPr>
              <w:t>All offered products with a printing function and a maximum operating speed of more than 21 sheets per minute for A4 paper must be equipped with automatic double-sided copying.</w:t>
            </w:r>
          </w:p>
          <w:p w14:paraId="637D2757" w14:textId="77777777" w:rsidR="00486E44" w:rsidRPr="00FB09AB" w:rsidRDefault="00486E44" w:rsidP="006509D4">
            <w:pPr>
              <w:spacing w:before="20" w:after="20"/>
              <w:rPr>
                <w:rFonts w:cs="Arial"/>
                <w:szCs w:val="20"/>
              </w:rPr>
            </w:pPr>
          </w:p>
          <w:p w14:paraId="535B11AA" w14:textId="77777777" w:rsidR="00486E44" w:rsidRPr="00FB09AB" w:rsidRDefault="00486E44" w:rsidP="006509D4">
            <w:pPr>
              <w:spacing w:before="20" w:after="20"/>
              <w:rPr>
                <w:rFonts w:cs="Arial"/>
                <w:szCs w:val="20"/>
              </w:rPr>
            </w:pPr>
            <w:r w:rsidRPr="00FB09AB">
              <w:rPr>
                <w:rFonts w:cs="Arial"/>
                <w:szCs w:val="20"/>
              </w:rPr>
              <w:t>All other offered products with a printing function with a lower maximum operating speed must at least offer a manual option for double-sided printing on A4 paper.</w:t>
            </w:r>
          </w:p>
          <w:p w14:paraId="67C19786" w14:textId="77777777" w:rsidR="00486E44" w:rsidRPr="00FB09AB" w:rsidRDefault="00486E44" w:rsidP="006509D4">
            <w:pPr>
              <w:spacing w:before="20" w:after="20"/>
              <w:rPr>
                <w:rFonts w:cs="Arial"/>
                <w:szCs w:val="20"/>
              </w:rPr>
            </w:pPr>
          </w:p>
          <w:p w14:paraId="08DED7AF" w14:textId="77777777" w:rsidR="00486E44" w:rsidRPr="00FB09AB" w:rsidRDefault="00486E44" w:rsidP="006509D4">
            <w:pPr>
              <w:spacing w:before="20" w:after="20"/>
              <w:rPr>
                <w:rFonts w:cs="Arial"/>
                <w:b/>
                <w:i/>
                <w:szCs w:val="20"/>
              </w:rPr>
            </w:pPr>
            <w:r w:rsidRPr="00FB09AB">
              <w:rPr>
                <w:rFonts w:cs="Arial"/>
                <w:b/>
                <w:i/>
                <w:szCs w:val="20"/>
              </w:rPr>
              <w:t>Paper</w:t>
            </w:r>
          </w:p>
          <w:p w14:paraId="68050C8B" w14:textId="77777777" w:rsidR="00486E44" w:rsidRPr="00FB09AB" w:rsidRDefault="00486E44" w:rsidP="006509D4">
            <w:pPr>
              <w:spacing w:before="20" w:after="20"/>
              <w:rPr>
                <w:rFonts w:cs="Arial"/>
                <w:szCs w:val="20"/>
              </w:rPr>
            </w:pPr>
            <w:r w:rsidRPr="00FB09AB">
              <w:rPr>
                <w:rFonts w:cs="Arial"/>
                <w:szCs w:val="20"/>
              </w:rPr>
              <w:t>All offered products must be capable of using recycled content paper without voiding the manufacturer’s warranty.</w:t>
            </w:r>
          </w:p>
          <w:p w14:paraId="24BF24A3" w14:textId="77777777" w:rsidR="00486E44" w:rsidRPr="00FB09AB" w:rsidRDefault="00486E44" w:rsidP="006509D4">
            <w:pPr>
              <w:spacing w:before="20" w:after="20"/>
              <w:rPr>
                <w:rFonts w:cs="Arial"/>
                <w:szCs w:val="20"/>
              </w:rPr>
            </w:pPr>
          </w:p>
          <w:p w14:paraId="53ED4985" w14:textId="77777777" w:rsidR="00486E44" w:rsidRPr="00FB09AB" w:rsidRDefault="00486E44" w:rsidP="006509D4">
            <w:pPr>
              <w:spacing w:before="20" w:after="20"/>
              <w:rPr>
                <w:rFonts w:cs="Arial"/>
                <w:b/>
                <w:i/>
                <w:szCs w:val="20"/>
              </w:rPr>
            </w:pPr>
            <w:r w:rsidRPr="00FB09AB">
              <w:rPr>
                <w:rFonts w:cs="Arial"/>
                <w:b/>
                <w:i/>
                <w:szCs w:val="20"/>
              </w:rPr>
              <w:t>Toner</w:t>
            </w:r>
          </w:p>
          <w:p w14:paraId="512A5805" w14:textId="77777777" w:rsidR="00486E44" w:rsidRPr="00FB09AB" w:rsidRDefault="00486E44" w:rsidP="006509D4">
            <w:pPr>
              <w:pStyle w:val="ListParagraph"/>
              <w:numPr>
                <w:ilvl w:val="0"/>
                <w:numId w:val="24"/>
              </w:numPr>
              <w:spacing w:before="20" w:after="20" w:line="276" w:lineRule="auto"/>
              <w:contextualSpacing/>
              <w:rPr>
                <w:rFonts w:cs="Arial"/>
                <w:szCs w:val="20"/>
              </w:rPr>
            </w:pPr>
            <w:r w:rsidRPr="00FB09AB">
              <w:rPr>
                <w:rFonts w:cs="Arial"/>
                <w:szCs w:val="20"/>
              </w:rPr>
              <w:t xml:space="preserve">The offered products must be designed to permit the use of </w:t>
            </w:r>
            <w:proofErr w:type="gramStart"/>
            <w:r w:rsidRPr="00FB09AB">
              <w:rPr>
                <w:rFonts w:cs="Arial"/>
                <w:szCs w:val="20"/>
              </w:rPr>
              <w:t>third party</w:t>
            </w:r>
            <w:proofErr w:type="gramEnd"/>
            <w:r w:rsidRPr="00FB09AB">
              <w:rPr>
                <w:rFonts w:cs="Arial"/>
                <w:szCs w:val="20"/>
              </w:rPr>
              <w:t xml:space="preserve"> remanufactured cartridges, or the reuse of original cartridges.</w:t>
            </w:r>
          </w:p>
          <w:p w14:paraId="607F9673" w14:textId="77777777" w:rsidR="00486E44" w:rsidRPr="00FB09AB" w:rsidRDefault="00486E44" w:rsidP="006509D4">
            <w:pPr>
              <w:pStyle w:val="ListParagraph"/>
              <w:numPr>
                <w:ilvl w:val="0"/>
                <w:numId w:val="24"/>
              </w:numPr>
              <w:spacing w:before="20" w:after="20" w:line="276" w:lineRule="auto"/>
              <w:contextualSpacing/>
              <w:rPr>
                <w:rFonts w:cs="Arial"/>
                <w:szCs w:val="20"/>
              </w:rPr>
            </w:pPr>
            <w:r w:rsidRPr="00FB09AB">
              <w:rPr>
                <w:rFonts w:cs="Arial"/>
                <w:szCs w:val="20"/>
              </w:rPr>
              <w:t>Offerors are required to disclose any program or arrangements for collection and recycling of toner cartridges.</w:t>
            </w:r>
          </w:p>
        </w:tc>
        <w:tc>
          <w:tcPr>
            <w:tcW w:w="2500" w:type="pct"/>
            <w:shd w:val="clear" w:color="auto" w:fill="auto"/>
          </w:tcPr>
          <w:p w14:paraId="19BBA36E" w14:textId="77777777" w:rsidR="00486E44" w:rsidRPr="00FB09AB" w:rsidRDefault="00486E44" w:rsidP="006509D4">
            <w:pPr>
              <w:spacing w:before="20" w:after="20"/>
              <w:rPr>
                <w:rFonts w:cs="Arial"/>
                <w:b/>
                <w:szCs w:val="20"/>
              </w:rPr>
            </w:pPr>
            <w:r w:rsidRPr="00FB09AB">
              <w:rPr>
                <w:rFonts w:cs="Arial"/>
                <w:b/>
                <w:szCs w:val="20"/>
              </w:rPr>
              <w:t>Best practice specification:</w:t>
            </w:r>
          </w:p>
          <w:p w14:paraId="4E796AC8" w14:textId="77777777" w:rsidR="00486E44" w:rsidRPr="00FB09AB" w:rsidRDefault="00486E44" w:rsidP="006509D4">
            <w:pPr>
              <w:spacing w:before="20" w:after="20"/>
              <w:rPr>
                <w:rFonts w:cs="Arial"/>
                <w:szCs w:val="20"/>
              </w:rPr>
            </w:pPr>
            <w:r w:rsidRPr="00FB09AB">
              <w:rPr>
                <w:rFonts w:cs="Arial"/>
                <w:szCs w:val="20"/>
              </w:rPr>
              <w:t>Preference will be given to products with features that minimise the use of consumables, in particular, toner, inks and paper.</w:t>
            </w:r>
          </w:p>
        </w:tc>
      </w:tr>
      <w:tr w:rsidR="00486E44" w:rsidRPr="00D51C7E" w14:paraId="242DE78D" w14:textId="77777777" w:rsidTr="006509D4">
        <w:trPr>
          <w:cantSplit/>
        </w:trPr>
        <w:tc>
          <w:tcPr>
            <w:tcW w:w="5000" w:type="pct"/>
            <w:gridSpan w:val="2"/>
          </w:tcPr>
          <w:p w14:paraId="2D4AA879" w14:textId="77777777" w:rsidR="00486E44" w:rsidRPr="00FB09AB" w:rsidRDefault="00486E44" w:rsidP="006509D4">
            <w:pPr>
              <w:spacing w:before="20" w:after="20"/>
              <w:rPr>
                <w:rFonts w:cs="Arial"/>
                <w:szCs w:val="20"/>
              </w:rPr>
            </w:pPr>
            <w:r w:rsidRPr="00FB09AB">
              <w:rPr>
                <w:rFonts w:cs="Arial"/>
                <w:szCs w:val="20"/>
              </w:rPr>
              <w:t xml:space="preserve">References: 1, 2, 4 (see </w:t>
            </w:r>
            <w:r w:rsidRPr="00FB09AB">
              <w:rPr>
                <w:rFonts w:cs="Arial"/>
                <w:i/>
                <w:szCs w:val="20"/>
              </w:rPr>
              <w:t>References</w:t>
            </w:r>
            <w:r w:rsidRPr="00FB09AB">
              <w:rPr>
                <w:rFonts w:cs="Arial"/>
                <w:szCs w:val="20"/>
              </w:rPr>
              <w:t xml:space="preserve">, </w:t>
            </w:r>
            <w:r>
              <w:rPr>
                <w:rFonts w:cs="Arial"/>
                <w:szCs w:val="20"/>
              </w:rPr>
              <w:t>below</w:t>
            </w:r>
            <w:r w:rsidRPr="00FB09AB">
              <w:rPr>
                <w:rFonts w:cs="Arial"/>
                <w:szCs w:val="20"/>
              </w:rPr>
              <w:t>).</w:t>
            </w:r>
          </w:p>
        </w:tc>
      </w:tr>
    </w:tbl>
    <w:p w14:paraId="1018CB8A" w14:textId="77777777" w:rsidR="00486E44" w:rsidRDefault="00486E44" w:rsidP="00486E44">
      <w:pPr>
        <w:spacing w:after="0"/>
      </w:pPr>
    </w:p>
    <w:p w14:paraId="22453345" w14:textId="77777777" w:rsidR="00486E44" w:rsidRDefault="00486E44" w:rsidP="00486E44">
      <w:pPr>
        <w:spacing w:after="0"/>
        <w:rPr>
          <w:b/>
          <w:bCs/>
          <w:szCs w:val="20"/>
          <w:lang w:eastAsia="en-AU"/>
        </w:rPr>
      </w:pPr>
      <w:bookmarkStart w:id="98" w:name="_Toc389037164"/>
      <w:bookmarkStart w:id="99" w:name="_Toc485394993"/>
      <w:bookmarkStart w:id="100" w:name="_Toc529882348"/>
      <w:r>
        <w:br w:type="page"/>
      </w:r>
    </w:p>
    <w:p w14:paraId="53CC9224" w14:textId="77777777" w:rsidR="00486E44" w:rsidRDefault="00486E44" w:rsidP="00486E44">
      <w:pPr>
        <w:pStyle w:val="Heading3"/>
      </w:pPr>
      <w:r>
        <w:lastRenderedPageBreak/>
        <w:t>Energy</w:t>
      </w:r>
      <w:bookmarkEnd w:id="98"/>
      <w:bookmarkEnd w:id="99"/>
      <w:bookmarkEnd w:id="100"/>
    </w:p>
    <w:p w14:paraId="6A0F5222"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Issue. </w:t>
      </w:r>
      <w:r w:rsidRPr="0021550B">
        <w:rPr>
          <w:lang w:eastAsia="en-AU"/>
        </w:rPr>
        <w:t>Business machines use significant amounts of energy for operation and in standby mode. In addition, business machines generate heat which contributes to the ambient air temperature and results in an increased load on energy intensive cooling systems.</w:t>
      </w:r>
    </w:p>
    <w:p w14:paraId="68CEC122" w14:textId="77777777" w:rsidR="00486E44" w:rsidRPr="008B695B" w:rsidRDefault="00486E44" w:rsidP="00486E44">
      <w:pPr>
        <w:numPr>
          <w:ilvl w:val="0"/>
          <w:numId w:val="10"/>
        </w:numPr>
        <w:spacing w:before="180" w:after="60" w:line="264" w:lineRule="auto"/>
        <w:rPr>
          <w:b/>
          <w:lang w:eastAsia="en-AU"/>
        </w:rPr>
      </w:pPr>
      <w:r w:rsidRPr="0021550B">
        <w:rPr>
          <w:b/>
          <w:lang w:eastAsia="en-AU"/>
        </w:rPr>
        <w:t xml:space="preserve">Response. </w:t>
      </w:r>
      <w:r w:rsidRPr="0021550B">
        <w:rPr>
          <w:lang w:eastAsia="en-AU"/>
        </w:rPr>
        <w:t>Procure business machines with features to assist with the reduction of energy consumption in all operational modes (i.e. on/standby/off) and which are compliant with the latest Energy Star standard.</w:t>
      </w:r>
    </w:p>
    <w:p w14:paraId="5ED42CF0" w14:textId="77777777" w:rsidR="00486E44" w:rsidRDefault="00486E44" w:rsidP="00486E4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4AEB300E" w14:textId="77777777" w:rsidTr="006509D4">
        <w:trPr>
          <w:cantSplit/>
        </w:trPr>
        <w:tc>
          <w:tcPr>
            <w:tcW w:w="2500" w:type="pct"/>
            <w:shd w:val="clear" w:color="auto" w:fill="0070C0"/>
          </w:tcPr>
          <w:p w14:paraId="0CCCC922" w14:textId="77777777" w:rsidR="00486E44" w:rsidRPr="00972AE8" w:rsidRDefault="00486E44" w:rsidP="006509D4">
            <w:pPr>
              <w:pStyle w:val="Tableheadings"/>
            </w:pPr>
            <w:r w:rsidRPr="00D51C7E">
              <w:t>Minimum performance criteria</w:t>
            </w:r>
          </w:p>
        </w:tc>
        <w:tc>
          <w:tcPr>
            <w:tcW w:w="2500" w:type="pct"/>
            <w:shd w:val="clear" w:color="auto" w:fill="0070C0"/>
          </w:tcPr>
          <w:p w14:paraId="274CDDF1" w14:textId="77777777" w:rsidR="00486E44" w:rsidRDefault="00486E44" w:rsidP="006509D4">
            <w:pPr>
              <w:pStyle w:val="Tableheadings"/>
            </w:pPr>
            <w:r w:rsidRPr="0047552D">
              <w:t>Best practice performance criteria</w:t>
            </w:r>
          </w:p>
        </w:tc>
      </w:tr>
      <w:tr w:rsidR="00486E44" w14:paraId="410395F9" w14:textId="77777777" w:rsidTr="006509D4">
        <w:trPr>
          <w:cantSplit/>
        </w:trPr>
        <w:tc>
          <w:tcPr>
            <w:tcW w:w="2500" w:type="pct"/>
            <w:shd w:val="clear" w:color="auto" w:fill="auto"/>
          </w:tcPr>
          <w:p w14:paraId="3B9F6A32" w14:textId="77777777" w:rsidR="00486E44" w:rsidRPr="00582B81" w:rsidRDefault="00486E44" w:rsidP="006509D4">
            <w:pPr>
              <w:spacing w:before="20" w:after="20"/>
              <w:rPr>
                <w:rFonts w:cs="Arial"/>
                <w:b/>
                <w:szCs w:val="20"/>
              </w:rPr>
            </w:pPr>
            <w:r w:rsidRPr="00582B81">
              <w:rPr>
                <w:rFonts w:cs="Arial"/>
                <w:b/>
                <w:szCs w:val="20"/>
              </w:rPr>
              <w:t>Minimum specification:</w:t>
            </w:r>
          </w:p>
          <w:p w14:paraId="6DB9C339" w14:textId="77777777" w:rsidR="00486E44" w:rsidRPr="00582B81" w:rsidRDefault="00486E44" w:rsidP="006509D4">
            <w:pPr>
              <w:pStyle w:val="ListParagraph"/>
              <w:numPr>
                <w:ilvl w:val="0"/>
                <w:numId w:val="25"/>
              </w:numPr>
              <w:spacing w:before="20" w:after="20" w:line="276" w:lineRule="auto"/>
              <w:contextualSpacing/>
              <w:rPr>
                <w:rFonts w:cs="Arial"/>
                <w:szCs w:val="20"/>
              </w:rPr>
            </w:pPr>
            <w:r w:rsidRPr="00582B81">
              <w:rPr>
                <w:rFonts w:cs="Arial"/>
                <w:szCs w:val="20"/>
              </w:rPr>
              <w:t>All offered products must meet the latest Energy Star standards for energy performance. For products which do not carry an Energy Star label, offerors are required to submit an appropriate means of proof of energy consumption levels such as a technical dossier of the manufacturer or a test report from a recognised body to demonstrate compliance with this requirement.</w:t>
            </w:r>
          </w:p>
          <w:p w14:paraId="0A83515B" w14:textId="77777777" w:rsidR="00486E44" w:rsidRPr="00582B81" w:rsidRDefault="00486E44" w:rsidP="006509D4">
            <w:pPr>
              <w:spacing w:before="20" w:after="20"/>
              <w:rPr>
                <w:rFonts w:cs="Arial"/>
                <w:szCs w:val="20"/>
              </w:rPr>
            </w:pPr>
          </w:p>
          <w:p w14:paraId="6AD4B60C" w14:textId="77777777" w:rsidR="00486E44" w:rsidRPr="00582B81" w:rsidRDefault="00486E44" w:rsidP="006509D4">
            <w:pPr>
              <w:pStyle w:val="ListParagraph"/>
              <w:numPr>
                <w:ilvl w:val="0"/>
                <w:numId w:val="25"/>
              </w:numPr>
              <w:spacing w:before="20" w:after="20" w:line="276" w:lineRule="auto"/>
              <w:contextualSpacing/>
              <w:rPr>
                <w:rFonts w:cs="Arial"/>
                <w:szCs w:val="20"/>
              </w:rPr>
            </w:pPr>
            <w:r w:rsidRPr="00582B81">
              <w:rPr>
                <w:rFonts w:cs="Arial"/>
                <w:szCs w:val="20"/>
              </w:rPr>
              <w:t xml:space="preserve">Offerors are required to disclose energy consumption of the offered products and demonstrate initiatives to reduce the energy consumption of the equipment in the following three modes: On (normal/operating use), Standby (sleep), and </w:t>
            </w:r>
            <w:proofErr w:type="gramStart"/>
            <w:r w:rsidRPr="00582B81">
              <w:rPr>
                <w:rFonts w:cs="Arial"/>
                <w:szCs w:val="20"/>
              </w:rPr>
              <w:t>Off</w:t>
            </w:r>
            <w:proofErr w:type="gramEnd"/>
            <w:r w:rsidRPr="00582B81">
              <w:rPr>
                <w:rFonts w:cs="Arial"/>
                <w:szCs w:val="20"/>
              </w:rPr>
              <w:t>. Preference will be given to products with reduced energy consumption in all three modes.</w:t>
            </w:r>
          </w:p>
        </w:tc>
        <w:tc>
          <w:tcPr>
            <w:tcW w:w="2500" w:type="pct"/>
            <w:shd w:val="clear" w:color="auto" w:fill="auto"/>
          </w:tcPr>
          <w:p w14:paraId="7D58C7B7" w14:textId="77777777" w:rsidR="00486E44" w:rsidRPr="00582B81" w:rsidRDefault="00486E44" w:rsidP="006509D4">
            <w:pPr>
              <w:spacing w:before="20" w:after="20"/>
              <w:rPr>
                <w:rFonts w:cs="Arial"/>
                <w:b/>
                <w:szCs w:val="20"/>
              </w:rPr>
            </w:pPr>
            <w:r w:rsidRPr="00582B81">
              <w:rPr>
                <w:rFonts w:cs="Arial"/>
                <w:b/>
                <w:szCs w:val="20"/>
              </w:rPr>
              <w:t>Best practice specification:</w:t>
            </w:r>
          </w:p>
          <w:p w14:paraId="51F2C445" w14:textId="77777777" w:rsidR="00486E44" w:rsidRPr="00582B81" w:rsidRDefault="00486E44" w:rsidP="006509D4">
            <w:pPr>
              <w:spacing w:before="20" w:after="20"/>
              <w:rPr>
                <w:rFonts w:cs="Arial"/>
                <w:szCs w:val="20"/>
              </w:rPr>
            </w:pPr>
            <w:r w:rsidRPr="00582B81">
              <w:rPr>
                <w:rFonts w:cs="Arial"/>
                <w:szCs w:val="20"/>
              </w:rPr>
              <w:t>Preference will be given to products with energy consumption lower than the levels specified by Energy Star standards.</w:t>
            </w:r>
          </w:p>
          <w:p w14:paraId="69607098" w14:textId="77777777" w:rsidR="00486E44" w:rsidRPr="00582B81" w:rsidRDefault="00486E44" w:rsidP="006509D4">
            <w:pPr>
              <w:spacing w:before="20" w:after="20"/>
              <w:rPr>
                <w:rFonts w:cs="Arial"/>
                <w:szCs w:val="20"/>
              </w:rPr>
            </w:pPr>
          </w:p>
          <w:p w14:paraId="33CC55C8" w14:textId="77777777" w:rsidR="00486E44" w:rsidRPr="00582B81" w:rsidRDefault="00486E44" w:rsidP="006509D4">
            <w:pPr>
              <w:spacing w:before="20" w:after="20"/>
              <w:rPr>
                <w:rFonts w:cs="Arial"/>
                <w:szCs w:val="20"/>
              </w:rPr>
            </w:pPr>
            <w:r w:rsidRPr="00582B81">
              <w:rPr>
                <w:rFonts w:cs="Arial"/>
                <w:szCs w:val="20"/>
              </w:rPr>
              <w:t>Offerors are required to submit an appropriate means of proof of energy consumption levels such as a technical dossier of the manufacturer or a test report from a recognised body.</w:t>
            </w:r>
          </w:p>
        </w:tc>
      </w:tr>
      <w:tr w:rsidR="00486E44" w:rsidRPr="00D51C7E" w14:paraId="51B48531" w14:textId="77777777" w:rsidTr="006509D4">
        <w:trPr>
          <w:cantSplit/>
        </w:trPr>
        <w:tc>
          <w:tcPr>
            <w:tcW w:w="5000" w:type="pct"/>
            <w:gridSpan w:val="2"/>
            <w:shd w:val="clear" w:color="auto" w:fill="auto"/>
          </w:tcPr>
          <w:p w14:paraId="419D53C3" w14:textId="77777777" w:rsidR="00486E44" w:rsidRPr="00582B81" w:rsidRDefault="00486E44" w:rsidP="006509D4">
            <w:pPr>
              <w:spacing w:before="20" w:after="20"/>
              <w:rPr>
                <w:rFonts w:cs="Arial"/>
                <w:b/>
                <w:szCs w:val="20"/>
              </w:rPr>
            </w:pPr>
            <w:r w:rsidRPr="00582B81">
              <w:rPr>
                <w:rFonts w:cs="Arial"/>
                <w:b/>
                <w:szCs w:val="20"/>
              </w:rPr>
              <w:t>Contract performance clause</w:t>
            </w:r>
          </w:p>
          <w:p w14:paraId="4BA345AB" w14:textId="77777777" w:rsidR="00486E44" w:rsidRPr="00582B81" w:rsidRDefault="00486E44" w:rsidP="006509D4">
            <w:pPr>
              <w:spacing w:before="20" w:after="20"/>
              <w:rPr>
                <w:rFonts w:cs="Arial"/>
                <w:szCs w:val="20"/>
              </w:rPr>
            </w:pPr>
            <w:r w:rsidRPr="00582B81">
              <w:rPr>
                <w:rFonts w:cs="Arial"/>
                <w:szCs w:val="20"/>
              </w:rPr>
              <w:t>The contractor is required to ensure that all products are delivered with the Energy Star capability enabled.</w:t>
            </w:r>
          </w:p>
        </w:tc>
      </w:tr>
    </w:tbl>
    <w:p w14:paraId="15667B00" w14:textId="77777777" w:rsidR="00486E44" w:rsidRDefault="00486E44" w:rsidP="00486E44">
      <w:pPr>
        <w:spacing w:after="0"/>
        <w:rPr>
          <w:rFonts w:cs="Arial"/>
          <w:b/>
          <w:bCs/>
          <w:color w:val="0083C8"/>
          <w:sz w:val="36"/>
          <w:szCs w:val="20"/>
          <w:lang w:eastAsia="en-AU"/>
        </w:rPr>
      </w:pPr>
    </w:p>
    <w:p w14:paraId="17896C72" w14:textId="77777777" w:rsidR="00486E44" w:rsidRDefault="00486E44" w:rsidP="00486E44">
      <w:pPr>
        <w:spacing w:after="0"/>
        <w:rPr>
          <w:b/>
          <w:bCs/>
          <w:szCs w:val="20"/>
          <w:lang w:eastAsia="en-AU"/>
        </w:rPr>
      </w:pPr>
      <w:bookmarkStart w:id="101" w:name="_Toc389037165"/>
      <w:bookmarkStart w:id="102" w:name="_Toc485394994"/>
      <w:bookmarkStart w:id="103" w:name="_Toc529882349"/>
      <w:r>
        <w:br w:type="page"/>
      </w:r>
    </w:p>
    <w:p w14:paraId="0E1202CC" w14:textId="77777777" w:rsidR="00486E44" w:rsidRDefault="00486E44" w:rsidP="00486E44">
      <w:pPr>
        <w:pStyle w:val="Heading3"/>
      </w:pPr>
      <w:r w:rsidRPr="00026AB3">
        <w:lastRenderedPageBreak/>
        <w:t>Noise and emissions</w:t>
      </w:r>
      <w:bookmarkEnd w:id="101"/>
      <w:bookmarkEnd w:id="102"/>
      <w:bookmarkEnd w:id="103"/>
    </w:p>
    <w:p w14:paraId="6401F41F"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Issue. </w:t>
      </w:r>
      <w:r w:rsidRPr="0021550B">
        <w:rPr>
          <w:lang w:eastAsia="en-AU"/>
        </w:rPr>
        <w:t>During operation, business machines generate emissions including volatile organic compounds (VOCs), which adversely affect indoor air quality and generate noise and electromagnetic fields, which can impact staff productivity, health and wellbeing.</w:t>
      </w:r>
    </w:p>
    <w:p w14:paraId="39FF22F4" w14:textId="77777777" w:rsidR="00486E44" w:rsidRPr="008B695B" w:rsidRDefault="00486E44" w:rsidP="00486E44">
      <w:pPr>
        <w:numPr>
          <w:ilvl w:val="0"/>
          <w:numId w:val="10"/>
        </w:numPr>
        <w:spacing w:before="180" w:after="60" w:line="264" w:lineRule="auto"/>
        <w:rPr>
          <w:b/>
          <w:lang w:eastAsia="en-AU"/>
        </w:rPr>
      </w:pPr>
      <w:r w:rsidRPr="0021550B">
        <w:rPr>
          <w:b/>
          <w:lang w:eastAsia="en-AU"/>
        </w:rPr>
        <w:t xml:space="preserve">Response. </w:t>
      </w:r>
      <w:r w:rsidRPr="0021550B">
        <w:rPr>
          <w:lang w:eastAsia="en-AU"/>
        </w:rPr>
        <w:t>Procure business machines with reduced noise and emission levels, from suppliers that can demonstrate initiatives and commitment towards providing low noise and emission products.</w:t>
      </w:r>
    </w:p>
    <w:p w14:paraId="0BECAE61" w14:textId="77777777" w:rsidR="00486E44" w:rsidRPr="0021550B" w:rsidRDefault="00486E44" w:rsidP="00486E44">
      <w:pPr>
        <w:rPr>
          <w:rFonts w:cs="Arial"/>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73BDBE2F" w14:textId="77777777" w:rsidTr="006509D4">
        <w:trPr>
          <w:cantSplit/>
        </w:trPr>
        <w:tc>
          <w:tcPr>
            <w:tcW w:w="2500" w:type="pct"/>
            <w:shd w:val="clear" w:color="auto" w:fill="0070C0"/>
          </w:tcPr>
          <w:p w14:paraId="11EA7A82" w14:textId="77777777" w:rsidR="00486E44" w:rsidRPr="00972AE8" w:rsidRDefault="00486E44" w:rsidP="006509D4">
            <w:pPr>
              <w:pStyle w:val="Tableheadings"/>
            </w:pPr>
            <w:r w:rsidRPr="00D51C7E">
              <w:t>Minimum performance criteria</w:t>
            </w:r>
          </w:p>
        </w:tc>
        <w:tc>
          <w:tcPr>
            <w:tcW w:w="2500" w:type="pct"/>
            <w:shd w:val="clear" w:color="auto" w:fill="0070C0"/>
          </w:tcPr>
          <w:p w14:paraId="6B6A9AB3" w14:textId="77777777" w:rsidR="00486E44" w:rsidRDefault="00486E44" w:rsidP="006509D4">
            <w:pPr>
              <w:pStyle w:val="Tableheadings"/>
            </w:pPr>
            <w:r w:rsidRPr="0047552D">
              <w:t>Best practice performance criteria</w:t>
            </w:r>
          </w:p>
        </w:tc>
      </w:tr>
      <w:tr w:rsidR="00486E44" w14:paraId="30509C28" w14:textId="77777777" w:rsidTr="006509D4">
        <w:trPr>
          <w:cantSplit/>
        </w:trPr>
        <w:tc>
          <w:tcPr>
            <w:tcW w:w="2500" w:type="pct"/>
            <w:shd w:val="clear" w:color="auto" w:fill="auto"/>
          </w:tcPr>
          <w:p w14:paraId="51360656" w14:textId="77777777" w:rsidR="00486E44" w:rsidRPr="00026AB3" w:rsidRDefault="00486E44" w:rsidP="006509D4">
            <w:pPr>
              <w:spacing w:before="20" w:after="20"/>
              <w:rPr>
                <w:rFonts w:cs="Arial"/>
                <w:b/>
                <w:szCs w:val="20"/>
              </w:rPr>
            </w:pPr>
            <w:r w:rsidRPr="00026AB3">
              <w:rPr>
                <w:rFonts w:cs="Arial"/>
                <w:b/>
                <w:szCs w:val="20"/>
              </w:rPr>
              <w:t>Minimum specification:</w:t>
            </w:r>
          </w:p>
          <w:p w14:paraId="209DF56C" w14:textId="77777777" w:rsidR="00486E44" w:rsidRPr="00026AB3" w:rsidRDefault="00486E44" w:rsidP="006509D4">
            <w:pPr>
              <w:spacing w:before="20" w:after="20"/>
              <w:rPr>
                <w:rFonts w:cs="Arial"/>
                <w:b/>
                <w:i/>
                <w:szCs w:val="20"/>
              </w:rPr>
            </w:pPr>
            <w:r w:rsidRPr="00026AB3">
              <w:rPr>
                <w:rFonts w:cs="Arial"/>
                <w:b/>
                <w:i/>
                <w:szCs w:val="20"/>
              </w:rPr>
              <w:t>Noise</w:t>
            </w:r>
          </w:p>
          <w:p w14:paraId="66DD0474" w14:textId="77777777" w:rsidR="00486E44" w:rsidRPr="00026AB3" w:rsidRDefault="00486E44" w:rsidP="006509D4">
            <w:pPr>
              <w:pStyle w:val="ListParagraph"/>
              <w:numPr>
                <w:ilvl w:val="0"/>
                <w:numId w:val="26"/>
              </w:numPr>
              <w:spacing w:before="20" w:after="20" w:line="276" w:lineRule="auto"/>
              <w:contextualSpacing/>
              <w:rPr>
                <w:rFonts w:cs="Arial"/>
                <w:szCs w:val="20"/>
              </w:rPr>
            </w:pPr>
            <w:r w:rsidRPr="00026AB3">
              <w:rPr>
                <w:rFonts w:cs="Arial"/>
                <w:szCs w:val="20"/>
              </w:rPr>
              <w:t>Offerors are required to demonstrate initiatives or product features that assist in lowering the noise levels of the offered product during operation.</w:t>
            </w:r>
          </w:p>
          <w:p w14:paraId="4800B646" w14:textId="77777777" w:rsidR="00486E44" w:rsidRDefault="00486E44" w:rsidP="006509D4">
            <w:pPr>
              <w:pStyle w:val="ListParagraph"/>
              <w:spacing w:before="20" w:after="20"/>
              <w:ind w:left="360"/>
              <w:rPr>
                <w:rFonts w:cs="Arial"/>
                <w:szCs w:val="20"/>
              </w:rPr>
            </w:pPr>
          </w:p>
          <w:p w14:paraId="5E5D76FE" w14:textId="77777777" w:rsidR="00486E44" w:rsidRPr="00026AB3" w:rsidRDefault="00486E44" w:rsidP="006509D4">
            <w:pPr>
              <w:pStyle w:val="ListParagraph"/>
              <w:numPr>
                <w:ilvl w:val="0"/>
                <w:numId w:val="26"/>
              </w:numPr>
              <w:spacing w:before="20" w:after="20" w:line="276" w:lineRule="auto"/>
              <w:contextualSpacing/>
              <w:rPr>
                <w:rFonts w:cs="Arial"/>
                <w:szCs w:val="20"/>
              </w:rPr>
            </w:pPr>
            <w:r w:rsidRPr="00026AB3">
              <w:rPr>
                <w:rFonts w:cs="Arial"/>
                <w:szCs w:val="20"/>
              </w:rPr>
              <w:t>Offerors are required to specify the maximum noise level of the offered product during operation.</w:t>
            </w:r>
          </w:p>
          <w:p w14:paraId="42AAC6C4" w14:textId="77777777" w:rsidR="00486E44" w:rsidRPr="00026AB3" w:rsidRDefault="00486E44" w:rsidP="006509D4">
            <w:pPr>
              <w:spacing w:before="20" w:after="20"/>
              <w:rPr>
                <w:rFonts w:cs="Arial"/>
                <w:szCs w:val="20"/>
              </w:rPr>
            </w:pPr>
          </w:p>
          <w:p w14:paraId="2C981489" w14:textId="77777777" w:rsidR="00486E44" w:rsidRPr="00026AB3" w:rsidRDefault="00486E44" w:rsidP="006509D4">
            <w:pPr>
              <w:spacing w:before="20" w:after="20"/>
              <w:rPr>
                <w:rFonts w:cs="Arial"/>
                <w:b/>
                <w:i/>
                <w:szCs w:val="20"/>
              </w:rPr>
            </w:pPr>
            <w:r w:rsidRPr="00026AB3">
              <w:rPr>
                <w:rFonts w:cs="Arial"/>
                <w:b/>
                <w:i/>
                <w:szCs w:val="20"/>
              </w:rPr>
              <w:t>Emissions</w:t>
            </w:r>
          </w:p>
          <w:p w14:paraId="6158A29C" w14:textId="77777777" w:rsidR="00486E44" w:rsidRPr="00026AB3" w:rsidRDefault="00486E44" w:rsidP="006509D4">
            <w:pPr>
              <w:spacing w:before="20" w:after="20"/>
              <w:rPr>
                <w:rFonts w:cs="Arial"/>
                <w:szCs w:val="20"/>
              </w:rPr>
            </w:pPr>
            <w:r w:rsidRPr="00026AB3">
              <w:rPr>
                <w:rFonts w:cs="Arial"/>
                <w:szCs w:val="20"/>
              </w:rPr>
              <w:t>Offerors are required to provide evidence that demonstrates preventative measures and commitment towards providing low emitting products.</w:t>
            </w:r>
          </w:p>
          <w:p w14:paraId="20632885" w14:textId="77777777" w:rsidR="00486E44" w:rsidRPr="00026AB3" w:rsidRDefault="00486E44" w:rsidP="006509D4">
            <w:pPr>
              <w:spacing w:before="20" w:after="20"/>
              <w:rPr>
                <w:rFonts w:cs="Arial"/>
                <w:szCs w:val="20"/>
              </w:rPr>
            </w:pPr>
          </w:p>
          <w:p w14:paraId="171634BC" w14:textId="77777777" w:rsidR="00486E44" w:rsidRPr="00026AB3" w:rsidRDefault="00486E44" w:rsidP="006509D4">
            <w:pPr>
              <w:spacing w:before="20" w:after="20"/>
              <w:rPr>
                <w:rFonts w:cs="Arial"/>
                <w:szCs w:val="20"/>
              </w:rPr>
            </w:pPr>
            <w:r w:rsidRPr="00026AB3">
              <w:rPr>
                <w:rFonts w:cs="Arial"/>
                <w:szCs w:val="20"/>
              </w:rPr>
              <w:t>This should include ongoing initiatives to reduce the emission levels of dust, ozone, styrene, benzene and any other volatile organic compounds (VOCs) and electromagnetic radiation.</w:t>
            </w:r>
          </w:p>
        </w:tc>
        <w:tc>
          <w:tcPr>
            <w:tcW w:w="2500" w:type="pct"/>
            <w:shd w:val="clear" w:color="auto" w:fill="auto"/>
          </w:tcPr>
          <w:p w14:paraId="49F1CF89" w14:textId="77777777" w:rsidR="00486E44" w:rsidRPr="00026AB3" w:rsidRDefault="00486E44" w:rsidP="006509D4">
            <w:pPr>
              <w:spacing w:before="20" w:after="20"/>
              <w:rPr>
                <w:rFonts w:cs="Arial"/>
                <w:b/>
                <w:szCs w:val="20"/>
              </w:rPr>
            </w:pPr>
            <w:r w:rsidRPr="00026AB3">
              <w:rPr>
                <w:rFonts w:cs="Arial"/>
                <w:b/>
                <w:szCs w:val="20"/>
              </w:rPr>
              <w:t>Best practice specification:</w:t>
            </w:r>
          </w:p>
          <w:p w14:paraId="5CB3A04C" w14:textId="77777777" w:rsidR="00486E44" w:rsidRPr="00026AB3" w:rsidRDefault="00486E44" w:rsidP="006509D4">
            <w:pPr>
              <w:spacing w:before="20" w:after="20"/>
              <w:rPr>
                <w:rFonts w:cs="Arial"/>
                <w:b/>
                <w:i/>
                <w:szCs w:val="20"/>
              </w:rPr>
            </w:pPr>
            <w:r w:rsidRPr="00026AB3">
              <w:rPr>
                <w:rFonts w:cs="Arial"/>
                <w:b/>
                <w:i/>
                <w:szCs w:val="20"/>
              </w:rPr>
              <w:t>Noise</w:t>
            </w:r>
          </w:p>
          <w:p w14:paraId="7219622B" w14:textId="77777777" w:rsidR="00486E44" w:rsidRPr="00026AB3" w:rsidRDefault="00486E44" w:rsidP="006509D4">
            <w:pPr>
              <w:spacing w:before="20" w:after="20"/>
              <w:rPr>
                <w:rFonts w:cs="Arial"/>
                <w:szCs w:val="20"/>
              </w:rPr>
            </w:pPr>
            <w:r w:rsidRPr="00026AB3">
              <w:rPr>
                <w:rFonts w:cs="Arial"/>
                <w:szCs w:val="20"/>
              </w:rPr>
              <w:t>All offered products with a printing function are required to have their sound power level measured in accordance with ISO 7779 and declared according to ISO 9296.</w:t>
            </w:r>
          </w:p>
          <w:p w14:paraId="52D7EE4D" w14:textId="77777777" w:rsidR="00486E44" w:rsidRPr="00026AB3" w:rsidRDefault="00486E44" w:rsidP="006509D4">
            <w:pPr>
              <w:spacing w:before="20" w:after="20"/>
              <w:rPr>
                <w:rFonts w:cs="Arial"/>
                <w:szCs w:val="20"/>
              </w:rPr>
            </w:pPr>
          </w:p>
          <w:p w14:paraId="40DDE25B" w14:textId="77777777" w:rsidR="00486E44" w:rsidRPr="00026AB3" w:rsidRDefault="00486E44" w:rsidP="006509D4">
            <w:pPr>
              <w:spacing w:before="20" w:after="20"/>
              <w:rPr>
                <w:rFonts w:cs="Arial"/>
                <w:szCs w:val="20"/>
              </w:rPr>
            </w:pPr>
            <w:r w:rsidRPr="00026AB3">
              <w:rPr>
                <w:rFonts w:cs="Arial"/>
                <w:szCs w:val="20"/>
              </w:rPr>
              <w:t xml:space="preserve">The A-weighted sound level for the offered products must not exceed the following level: </w:t>
            </w:r>
          </w:p>
          <w:p w14:paraId="1B41837E" w14:textId="77777777" w:rsidR="00486E44" w:rsidRPr="00026AB3" w:rsidRDefault="00486E44" w:rsidP="006509D4">
            <w:pPr>
              <w:spacing w:before="20" w:after="20"/>
              <w:rPr>
                <w:rFonts w:cs="Arial"/>
                <w:szCs w:val="20"/>
              </w:rPr>
            </w:pPr>
            <w:proofErr w:type="spellStart"/>
            <w:r w:rsidRPr="00026AB3">
              <w:rPr>
                <w:rFonts w:cs="Arial"/>
                <w:szCs w:val="20"/>
              </w:rPr>
              <w:t>LWAd</w:t>
            </w:r>
            <w:proofErr w:type="spellEnd"/>
            <w:r w:rsidRPr="00026AB3">
              <w:rPr>
                <w:rFonts w:cs="Arial"/>
                <w:szCs w:val="20"/>
              </w:rPr>
              <w:t>: 0.35 x CPM (copies per minute) + 59 (dB)</w:t>
            </w:r>
          </w:p>
          <w:p w14:paraId="3B5E48B9" w14:textId="77777777" w:rsidR="00486E44" w:rsidRPr="00026AB3" w:rsidRDefault="00486E44" w:rsidP="006509D4">
            <w:pPr>
              <w:spacing w:before="20" w:after="20"/>
              <w:rPr>
                <w:rFonts w:cs="Arial"/>
                <w:szCs w:val="20"/>
              </w:rPr>
            </w:pPr>
          </w:p>
          <w:p w14:paraId="2B18B3C8" w14:textId="77777777" w:rsidR="00486E44" w:rsidRPr="00026AB3" w:rsidRDefault="00486E44" w:rsidP="006509D4">
            <w:pPr>
              <w:spacing w:before="20" w:after="20"/>
              <w:rPr>
                <w:rFonts w:cs="Arial"/>
                <w:szCs w:val="20"/>
              </w:rPr>
            </w:pPr>
            <w:r w:rsidRPr="00026AB3">
              <w:rPr>
                <w:rFonts w:cs="Arial"/>
                <w:szCs w:val="20"/>
              </w:rPr>
              <w:t>If the copy rate is such that CPM &gt; 71, the above limit does not apply.</w:t>
            </w:r>
          </w:p>
          <w:p w14:paraId="6DB5B993" w14:textId="77777777" w:rsidR="00486E44" w:rsidRPr="00026AB3" w:rsidRDefault="00486E44" w:rsidP="006509D4">
            <w:pPr>
              <w:spacing w:before="20" w:after="20"/>
              <w:rPr>
                <w:rFonts w:cs="Arial"/>
                <w:szCs w:val="20"/>
              </w:rPr>
            </w:pPr>
          </w:p>
          <w:p w14:paraId="6F9D25E6" w14:textId="77777777" w:rsidR="00486E44" w:rsidRPr="00026AB3" w:rsidRDefault="00486E44" w:rsidP="006509D4">
            <w:pPr>
              <w:spacing w:before="20" w:after="20"/>
              <w:rPr>
                <w:rFonts w:cs="Arial"/>
                <w:szCs w:val="20"/>
              </w:rPr>
            </w:pPr>
            <w:r w:rsidRPr="00026AB3">
              <w:rPr>
                <w:rFonts w:cs="Arial"/>
                <w:szCs w:val="20"/>
              </w:rPr>
              <w:t>This limit applies to A4 paper or smaller.</w:t>
            </w:r>
          </w:p>
          <w:p w14:paraId="7AC3DF2A" w14:textId="77777777" w:rsidR="00486E44" w:rsidRPr="00026AB3" w:rsidRDefault="00486E44" w:rsidP="006509D4">
            <w:pPr>
              <w:spacing w:before="20" w:after="20"/>
              <w:rPr>
                <w:rFonts w:cs="Arial"/>
                <w:szCs w:val="20"/>
              </w:rPr>
            </w:pPr>
          </w:p>
          <w:p w14:paraId="47553CC7" w14:textId="77777777" w:rsidR="00486E44" w:rsidRPr="00026AB3" w:rsidRDefault="00486E44" w:rsidP="006509D4">
            <w:pPr>
              <w:spacing w:before="20" w:after="20"/>
              <w:rPr>
                <w:rFonts w:cs="Arial"/>
                <w:b/>
                <w:i/>
                <w:szCs w:val="20"/>
              </w:rPr>
            </w:pPr>
            <w:r w:rsidRPr="00026AB3">
              <w:rPr>
                <w:rFonts w:cs="Arial"/>
                <w:b/>
                <w:i/>
                <w:szCs w:val="20"/>
              </w:rPr>
              <w:t>Emissions</w:t>
            </w:r>
          </w:p>
          <w:p w14:paraId="2C097523" w14:textId="77777777" w:rsidR="00486E44" w:rsidRPr="00026AB3" w:rsidRDefault="00486E44" w:rsidP="006509D4">
            <w:pPr>
              <w:spacing w:before="20" w:after="20"/>
              <w:rPr>
                <w:rFonts w:cs="Arial"/>
                <w:szCs w:val="20"/>
              </w:rPr>
            </w:pPr>
            <w:r w:rsidRPr="00026AB3">
              <w:rPr>
                <w:rFonts w:cs="Arial"/>
                <w:szCs w:val="20"/>
              </w:rPr>
              <w:t xml:space="preserve">Indoor air emissions resulting from the offered products must not exceed the emission requirements specified by Type 1 eco-labels such as Good Environmental Choice Australia (GECA), Blue Angel, Nordic Swan or </w:t>
            </w:r>
            <w:proofErr w:type="spellStart"/>
            <w:r w:rsidRPr="00026AB3">
              <w:rPr>
                <w:rFonts w:cs="Arial"/>
                <w:szCs w:val="20"/>
              </w:rPr>
              <w:t>EcoMark</w:t>
            </w:r>
            <w:proofErr w:type="spellEnd"/>
            <w:r w:rsidRPr="00026AB3">
              <w:rPr>
                <w:rFonts w:cs="Arial"/>
                <w:szCs w:val="20"/>
              </w:rPr>
              <w:t>.</w:t>
            </w:r>
          </w:p>
          <w:p w14:paraId="01DF8733" w14:textId="77777777" w:rsidR="00486E44" w:rsidRPr="00026AB3" w:rsidRDefault="00486E44" w:rsidP="006509D4">
            <w:pPr>
              <w:spacing w:before="20" w:after="20"/>
              <w:rPr>
                <w:rFonts w:cs="Arial"/>
                <w:szCs w:val="20"/>
              </w:rPr>
            </w:pPr>
          </w:p>
          <w:p w14:paraId="77526DF1" w14:textId="77777777" w:rsidR="00486E44" w:rsidRPr="00026AB3" w:rsidRDefault="00486E44" w:rsidP="006509D4">
            <w:pPr>
              <w:spacing w:before="20" w:after="20"/>
              <w:rPr>
                <w:rFonts w:cs="Arial"/>
                <w:szCs w:val="20"/>
              </w:rPr>
            </w:pPr>
            <w:r w:rsidRPr="00026AB3">
              <w:rPr>
                <w:rFonts w:cs="Arial"/>
                <w:szCs w:val="20"/>
              </w:rPr>
              <w:t>Offerors are required to provide a written declaration or a current eco-label certificate to demonstrate compliance with the requirements above.</w:t>
            </w:r>
          </w:p>
        </w:tc>
      </w:tr>
      <w:tr w:rsidR="00486E44" w:rsidRPr="00D51C7E" w14:paraId="1D7EC3B7" w14:textId="77777777" w:rsidTr="006509D4">
        <w:trPr>
          <w:cantSplit/>
        </w:trPr>
        <w:tc>
          <w:tcPr>
            <w:tcW w:w="5000" w:type="pct"/>
            <w:gridSpan w:val="2"/>
            <w:shd w:val="clear" w:color="auto" w:fill="auto"/>
          </w:tcPr>
          <w:p w14:paraId="1F8380C7" w14:textId="77777777" w:rsidR="00486E44" w:rsidRPr="00026AB3" w:rsidRDefault="00486E44" w:rsidP="006509D4">
            <w:pPr>
              <w:spacing w:before="20" w:after="20"/>
              <w:rPr>
                <w:rFonts w:cs="Arial"/>
                <w:b/>
                <w:szCs w:val="20"/>
              </w:rPr>
            </w:pPr>
            <w:r w:rsidRPr="00026AB3">
              <w:rPr>
                <w:rFonts w:cs="Arial"/>
                <w:b/>
                <w:szCs w:val="20"/>
              </w:rPr>
              <w:t>Contract performance clauses</w:t>
            </w:r>
          </w:p>
          <w:p w14:paraId="12F00865" w14:textId="77777777" w:rsidR="00486E44" w:rsidRPr="00026AB3" w:rsidRDefault="00486E44" w:rsidP="006509D4">
            <w:pPr>
              <w:spacing w:before="20" w:after="20"/>
              <w:rPr>
                <w:rFonts w:cs="Arial"/>
                <w:szCs w:val="20"/>
              </w:rPr>
            </w:pPr>
            <w:r w:rsidRPr="00026AB3">
              <w:rPr>
                <w:rFonts w:cs="Arial"/>
                <w:szCs w:val="20"/>
              </w:rPr>
              <w:t>For all new products offered under the arrangement, the contractor is required to disclose noise and emission levels (for dust, ozone, styrene, benzene and any other VOCs) to the contract manager.</w:t>
            </w:r>
          </w:p>
        </w:tc>
      </w:tr>
      <w:tr w:rsidR="00486E44" w:rsidRPr="00D51C7E" w14:paraId="2A2D378C" w14:textId="77777777" w:rsidTr="006509D4">
        <w:trPr>
          <w:cantSplit/>
        </w:trPr>
        <w:tc>
          <w:tcPr>
            <w:tcW w:w="5000" w:type="pct"/>
            <w:gridSpan w:val="2"/>
          </w:tcPr>
          <w:p w14:paraId="2326FFBA" w14:textId="77777777" w:rsidR="00486E44" w:rsidRPr="00026AB3" w:rsidRDefault="00486E44" w:rsidP="006509D4">
            <w:pPr>
              <w:spacing w:before="20" w:after="20"/>
              <w:rPr>
                <w:rFonts w:cs="Arial"/>
                <w:szCs w:val="20"/>
              </w:rPr>
            </w:pPr>
            <w:r w:rsidRPr="00026AB3">
              <w:rPr>
                <w:rFonts w:cs="Arial"/>
                <w:szCs w:val="20"/>
              </w:rPr>
              <w:t xml:space="preserve">References: 1, 2, 4 (see </w:t>
            </w:r>
            <w:r w:rsidRPr="00026AB3">
              <w:rPr>
                <w:rFonts w:cs="Arial"/>
                <w:i/>
                <w:szCs w:val="20"/>
              </w:rPr>
              <w:t>References</w:t>
            </w:r>
            <w:r w:rsidRPr="00026AB3">
              <w:rPr>
                <w:rFonts w:cs="Arial"/>
                <w:szCs w:val="20"/>
              </w:rPr>
              <w:t xml:space="preserve">, </w:t>
            </w:r>
            <w:r>
              <w:rPr>
                <w:rFonts w:cs="Arial"/>
                <w:szCs w:val="20"/>
              </w:rPr>
              <w:t>below</w:t>
            </w:r>
            <w:r w:rsidRPr="00026AB3">
              <w:rPr>
                <w:rFonts w:cs="Arial"/>
                <w:szCs w:val="20"/>
              </w:rPr>
              <w:t>).</w:t>
            </w:r>
          </w:p>
        </w:tc>
      </w:tr>
    </w:tbl>
    <w:p w14:paraId="23B8B972" w14:textId="77777777" w:rsidR="00486E44" w:rsidRDefault="00486E44" w:rsidP="00486E44">
      <w:pPr>
        <w:spacing w:after="0"/>
        <w:rPr>
          <w:rFonts w:cs="Arial"/>
          <w:b/>
          <w:bCs/>
          <w:color w:val="0083C8"/>
          <w:sz w:val="36"/>
          <w:szCs w:val="20"/>
          <w:lang w:eastAsia="en-AU"/>
        </w:rPr>
      </w:pPr>
    </w:p>
    <w:p w14:paraId="00AF1E1D" w14:textId="77777777" w:rsidR="00486E44" w:rsidRDefault="00486E44" w:rsidP="00486E44">
      <w:pPr>
        <w:spacing w:after="0"/>
        <w:rPr>
          <w:rFonts w:cs="Arial"/>
          <w:b/>
          <w:bCs/>
          <w:color w:val="0083C8"/>
          <w:sz w:val="36"/>
          <w:szCs w:val="20"/>
          <w:lang w:eastAsia="en-AU"/>
        </w:rPr>
      </w:pPr>
      <w:r>
        <w:rPr>
          <w:rFonts w:cs="Arial"/>
          <w:b/>
          <w:bCs/>
          <w:color w:val="0083C8"/>
          <w:sz w:val="36"/>
          <w:szCs w:val="20"/>
          <w:lang w:eastAsia="en-AU"/>
        </w:rPr>
        <w:br w:type="page"/>
      </w:r>
    </w:p>
    <w:p w14:paraId="5922EDE3" w14:textId="77777777" w:rsidR="00486E44" w:rsidRDefault="00486E44" w:rsidP="00486E44">
      <w:pPr>
        <w:pStyle w:val="Heading2"/>
      </w:pPr>
      <w:bookmarkStart w:id="104" w:name="_Toc389037166"/>
      <w:bookmarkStart w:id="105" w:name="_Toc485394995"/>
      <w:bookmarkStart w:id="106" w:name="_Toc529882350"/>
      <w:bookmarkStart w:id="107" w:name="_Toc207780073"/>
      <w:r>
        <w:lastRenderedPageBreak/>
        <w:t>End-of-life management</w:t>
      </w:r>
      <w:bookmarkEnd w:id="104"/>
      <w:bookmarkEnd w:id="105"/>
      <w:bookmarkEnd w:id="106"/>
      <w:bookmarkEnd w:id="107"/>
    </w:p>
    <w:p w14:paraId="2C0D15E1" w14:textId="77777777" w:rsidR="00486E44" w:rsidRDefault="00486E44" w:rsidP="00486E44">
      <w:pPr>
        <w:pStyle w:val="Heading3"/>
      </w:pPr>
      <w:bookmarkStart w:id="108" w:name="_Toc389037167"/>
      <w:bookmarkStart w:id="109" w:name="_Toc485394996"/>
      <w:bookmarkStart w:id="110" w:name="_Toc529882351"/>
      <w:r>
        <w:t>End-of-life management</w:t>
      </w:r>
      <w:bookmarkEnd w:id="108"/>
      <w:bookmarkEnd w:id="109"/>
      <w:bookmarkEnd w:id="110"/>
    </w:p>
    <w:p w14:paraId="0D0D13B6" w14:textId="77777777" w:rsidR="00486E44" w:rsidRPr="0021550B" w:rsidRDefault="00486E44" w:rsidP="00486E44">
      <w:pPr>
        <w:numPr>
          <w:ilvl w:val="0"/>
          <w:numId w:val="10"/>
        </w:numPr>
        <w:spacing w:before="180" w:after="60" w:line="264" w:lineRule="auto"/>
        <w:rPr>
          <w:b/>
          <w:lang w:eastAsia="en-AU"/>
        </w:rPr>
      </w:pPr>
      <w:r w:rsidRPr="0021550B">
        <w:rPr>
          <w:b/>
          <w:lang w:eastAsia="en-AU"/>
        </w:rPr>
        <w:t xml:space="preserve">Issue. </w:t>
      </w:r>
      <w:r w:rsidRPr="0021550B">
        <w:rPr>
          <w:lang w:eastAsia="en-AU"/>
        </w:rPr>
        <w:t>The disposal of business machines without any attempt to reuse, remanufacture or recycle components and materials contributes to landfill, with subsequent impacts such as toxic leachates. It also wastes resources utilised to manufacture machines.</w:t>
      </w:r>
    </w:p>
    <w:p w14:paraId="49B9DEB8" w14:textId="77777777" w:rsidR="00486E44" w:rsidRPr="0021550B" w:rsidRDefault="00486E44" w:rsidP="00486E44">
      <w:pPr>
        <w:numPr>
          <w:ilvl w:val="0"/>
          <w:numId w:val="10"/>
        </w:numPr>
        <w:spacing w:before="180" w:after="60" w:line="264" w:lineRule="auto"/>
        <w:rPr>
          <w:b/>
          <w:lang w:eastAsia="en-AU"/>
        </w:rPr>
      </w:pPr>
      <w:r w:rsidRPr="0021550B">
        <w:rPr>
          <w:b/>
          <w:lang w:eastAsia="en-AU"/>
        </w:rPr>
        <w:t>Response</w:t>
      </w:r>
      <w:r w:rsidRPr="0021550B">
        <w:rPr>
          <w:lang w:eastAsia="en-AU"/>
        </w:rPr>
        <w:t xml:space="preserve">. Procure business machines from suppliers who offer life extension options, </w:t>
      </w:r>
      <w:proofErr w:type="gramStart"/>
      <w:r w:rsidRPr="0021550B">
        <w:rPr>
          <w:lang w:eastAsia="en-AU"/>
        </w:rPr>
        <w:t>and also</w:t>
      </w:r>
      <w:proofErr w:type="gramEnd"/>
      <w:r w:rsidRPr="0021550B">
        <w:rPr>
          <w:lang w:eastAsia="en-AU"/>
        </w:rPr>
        <w:t xml:space="preserve"> services to ensure responsible recycling and disposal of equipment at the end of its useful life.</w:t>
      </w:r>
    </w:p>
    <w:p w14:paraId="7AA21C1F" w14:textId="77777777" w:rsidR="00486E44" w:rsidRPr="0021550B" w:rsidRDefault="00486E44" w:rsidP="00486E44">
      <w:pPr>
        <w:rPr>
          <w:b/>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486E44" w:rsidRPr="00972AE8" w14:paraId="13BCCA92" w14:textId="77777777" w:rsidTr="006509D4">
        <w:trPr>
          <w:cantSplit/>
        </w:trPr>
        <w:tc>
          <w:tcPr>
            <w:tcW w:w="2500" w:type="pct"/>
            <w:shd w:val="clear" w:color="auto" w:fill="0070C0"/>
          </w:tcPr>
          <w:p w14:paraId="381DC4F4" w14:textId="77777777" w:rsidR="00486E44" w:rsidRPr="00972AE8" w:rsidRDefault="00486E44" w:rsidP="006509D4">
            <w:pPr>
              <w:pStyle w:val="Tableheadings"/>
            </w:pPr>
            <w:r w:rsidRPr="00D51C7E">
              <w:t>Minimum performance criteria</w:t>
            </w:r>
          </w:p>
        </w:tc>
        <w:tc>
          <w:tcPr>
            <w:tcW w:w="2500" w:type="pct"/>
            <w:shd w:val="clear" w:color="auto" w:fill="0070C0"/>
          </w:tcPr>
          <w:p w14:paraId="6919897F" w14:textId="77777777" w:rsidR="00486E44" w:rsidRDefault="00486E44" w:rsidP="006509D4">
            <w:pPr>
              <w:pStyle w:val="Tableheadings"/>
            </w:pPr>
            <w:r w:rsidRPr="0047552D">
              <w:t>Best practice performance criteria</w:t>
            </w:r>
          </w:p>
        </w:tc>
      </w:tr>
      <w:tr w:rsidR="00486E44" w14:paraId="6F72B2B7" w14:textId="77777777" w:rsidTr="006509D4">
        <w:trPr>
          <w:cantSplit/>
        </w:trPr>
        <w:tc>
          <w:tcPr>
            <w:tcW w:w="2500" w:type="pct"/>
            <w:shd w:val="clear" w:color="auto" w:fill="auto"/>
          </w:tcPr>
          <w:p w14:paraId="4CB3F910" w14:textId="77777777" w:rsidR="00486E44" w:rsidRPr="007A0163" w:rsidRDefault="00486E44" w:rsidP="006509D4">
            <w:pPr>
              <w:spacing w:before="20" w:after="20"/>
              <w:rPr>
                <w:rFonts w:cs="Arial"/>
                <w:b/>
                <w:szCs w:val="20"/>
              </w:rPr>
            </w:pPr>
            <w:r w:rsidRPr="007A0163">
              <w:rPr>
                <w:rFonts w:cs="Arial"/>
                <w:b/>
                <w:szCs w:val="20"/>
              </w:rPr>
              <w:t>Minimum specification:</w:t>
            </w:r>
          </w:p>
          <w:p w14:paraId="2F66B33B" w14:textId="77777777" w:rsidR="00486E44" w:rsidRPr="007A0163" w:rsidRDefault="00486E44" w:rsidP="006509D4">
            <w:pPr>
              <w:pStyle w:val="ListParagraph"/>
              <w:numPr>
                <w:ilvl w:val="0"/>
                <w:numId w:val="27"/>
              </w:numPr>
              <w:spacing w:before="20" w:after="20" w:line="276" w:lineRule="auto"/>
              <w:contextualSpacing/>
              <w:rPr>
                <w:rFonts w:cs="Arial"/>
                <w:szCs w:val="20"/>
              </w:rPr>
            </w:pPr>
            <w:r w:rsidRPr="007A0163">
              <w:rPr>
                <w:rFonts w:cs="Arial"/>
                <w:szCs w:val="20"/>
              </w:rPr>
              <w:t xml:space="preserve">Refer to </w:t>
            </w:r>
            <w:r w:rsidRPr="00977929">
              <w:rPr>
                <w:rFonts w:cs="Arial"/>
                <w:i/>
                <w:szCs w:val="20"/>
              </w:rPr>
              <w:t>Product design and manufacturing process</w:t>
            </w:r>
            <w:r w:rsidRPr="007A0163">
              <w:rPr>
                <w:rFonts w:cs="Arial"/>
                <w:szCs w:val="20"/>
              </w:rPr>
              <w:t xml:space="preserve"> (see </w:t>
            </w:r>
            <w:r>
              <w:rPr>
                <w:rFonts w:cs="Arial"/>
                <w:szCs w:val="20"/>
              </w:rPr>
              <w:t>above in</w:t>
            </w:r>
            <w:r w:rsidRPr="007A0163">
              <w:rPr>
                <w:rFonts w:cs="Arial"/>
                <w:szCs w:val="20"/>
              </w:rPr>
              <w:t xml:space="preserve"> this </w:t>
            </w:r>
            <w:r>
              <w:rPr>
                <w:rFonts w:cs="Arial"/>
                <w:szCs w:val="20"/>
              </w:rPr>
              <w:t>guide</w:t>
            </w:r>
            <w:r w:rsidRPr="007A0163">
              <w:rPr>
                <w:rFonts w:cs="Arial"/>
                <w:szCs w:val="20"/>
              </w:rPr>
              <w:t>) and ensure the suggested specifications for product design and contract conditions are included in the invitation to offer documentation.</w:t>
            </w:r>
          </w:p>
          <w:p w14:paraId="11F69ECD" w14:textId="77777777" w:rsidR="00486E44" w:rsidRDefault="00486E44" w:rsidP="006509D4">
            <w:pPr>
              <w:pStyle w:val="ListParagraph"/>
              <w:spacing w:before="20" w:after="20"/>
              <w:ind w:left="360"/>
              <w:rPr>
                <w:rFonts w:cs="Arial"/>
                <w:szCs w:val="20"/>
              </w:rPr>
            </w:pPr>
          </w:p>
          <w:p w14:paraId="3D36D313" w14:textId="77777777" w:rsidR="00486E44" w:rsidRPr="007A0163" w:rsidRDefault="00486E44" w:rsidP="006509D4">
            <w:pPr>
              <w:pStyle w:val="ListParagraph"/>
              <w:numPr>
                <w:ilvl w:val="0"/>
                <w:numId w:val="27"/>
              </w:numPr>
              <w:spacing w:before="20" w:after="20" w:line="276" w:lineRule="auto"/>
              <w:contextualSpacing/>
              <w:rPr>
                <w:rFonts w:cs="Arial"/>
                <w:szCs w:val="20"/>
              </w:rPr>
            </w:pPr>
            <w:r w:rsidRPr="007A0163">
              <w:rPr>
                <w:rFonts w:cs="Arial"/>
                <w:szCs w:val="20"/>
              </w:rPr>
              <w:t>Throughout the term of the arrangement the offeror is required to provide an end-of-life take-back scheme for all offered products and reporting of disposal outcomes. The offeror must provide an end-of-life take-back guarantee and must demonstrate that there are arrangements in place to re-use, recycle and/or dispose of waste.</w:t>
            </w:r>
          </w:p>
          <w:p w14:paraId="7B4C4702" w14:textId="77777777" w:rsidR="00486E44" w:rsidRDefault="00486E44" w:rsidP="006509D4">
            <w:pPr>
              <w:pStyle w:val="ListParagraph"/>
              <w:spacing w:before="20" w:after="20"/>
              <w:ind w:left="360"/>
              <w:rPr>
                <w:rFonts w:cs="Arial"/>
                <w:szCs w:val="20"/>
              </w:rPr>
            </w:pPr>
          </w:p>
          <w:p w14:paraId="384D0007" w14:textId="77777777" w:rsidR="00486E44" w:rsidRPr="007A0163" w:rsidRDefault="00486E44" w:rsidP="006509D4">
            <w:pPr>
              <w:pStyle w:val="ListParagraph"/>
              <w:numPr>
                <w:ilvl w:val="0"/>
                <w:numId w:val="27"/>
              </w:numPr>
              <w:spacing w:before="20" w:after="20" w:line="276" w:lineRule="auto"/>
              <w:contextualSpacing/>
              <w:rPr>
                <w:rFonts w:cs="Arial"/>
                <w:szCs w:val="20"/>
              </w:rPr>
            </w:pPr>
            <w:r w:rsidRPr="007A0163">
              <w:rPr>
                <w:rFonts w:cs="Arial"/>
                <w:szCs w:val="20"/>
              </w:rPr>
              <w:t>Offerors are required to disclose any special provisions/conditions/exclusions in relation to this scheme. Offerors are required to disclose any other industry-wide, local, state or national strategies/ initiatives that support waste management/reduction in which their organisation is currently engaged.</w:t>
            </w:r>
          </w:p>
        </w:tc>
        <w:tc>
          <w:tcPr>
            <w:tcW w:w="2500" w:type="pct"/>
            <w:shd w:val="clear" w:color="auto" w:fill="auto"/>
          </w:tcPr>
          <w:p w14:paraId="7D06E062" w14:textId="77777777" w:rsidR="00486E44" w:rsidRPr="007A0163" w:rsidRDefault="00486E44" w:rsidP="006509D4">
            <w:pPr>
              <w:spacing w:before="20" w:after="20"/>
              <w:rPr>
                <w:rFonts w:cs="Arial"/>
                <w:b/>
                <w:szCs w:val="20"/>
              </w:rPr>
            </w:pPr>
            <w:r w:rsidRPr="007A0163">
              <w:rPr>
                <w:rFonts w:cs="Arial"/>
                <w:b/>
                <w:szCs w:val="20"/>
              </w:rPr>
              <w:t>Best practice specification:</w:t>
            </w:r>
          </w:p>
          <w:p w14:paraId="0BDB199F" w14:textId="77777777" w:rsidR="00486E44" w:rsidRPr="007A0163" w:rsidRDefault="00486E44" w:rsidP="006509D4">
            <w:pPr>
              <w:spacing w:before="20" w:after="20"/>
              <w:rPr>
                <w:rFonts w:cs="Arial"/>
                <w:szCs w:val="20"/>
              </w:rPr>
            </w:pPr>
            <w:r w:rsidRPr="007A0163">
              <w:rPr>
                <w:rFonts w:cs="Arial"/>
                <w:szCs w:val="20"/>
              </w:rPr>
              <w:t>None currently expected to be met by majority of the supply market.</w:t>
            </w:r>
          </w:p>
        </w:tc>
      </w:tr>
      <w:tr w:rsidR="00486E44" w:rsidRPr="00D51C7E" w14:paraId="1AC68B10" w14:textId="77777777" w:rsidTr="006509D4">
        <w:trPr>
          <w:cantSplit/>
        </w:trPr>
        <w:tc>
          <w:tcPr>
            <w:tcW w:w="5000" w:type="pct"/>
            <w:gridSpan w:val="2"/>
            <w:shd w:val="clear" w:color="auto" w:fill="auto"/>
          </w:tcPr>
          <w:p w14:paraId="1E3EFB09" w14:textId="77777777" w:rsidR="00486E44" w:rsidRPr="007A0163" w:rsidRDefault="00486E44" w:rsidP="006509D4">
            <w:pPr>
              <w:spacing w:before="20" w:after="20"/>
              <w:rPr>
                <w:rFonts w:cs="Arial"/>
                <w:b/>
                <w:szCs w:val="20"/>
              </w:rPr>
            </w:pPr>
            <w:r w:rsidRPr="007A0163">
              <w:rPr>
                <w:rFonts w:cs="Arial"/>
                <w:b/>
                <w:szCs w:val="20"/>
              </w:rPr>
              <w:t>Contract performance clause</w:t>
            </w:r>
          </w:p>
          <w:p w14:paraId="7131591D" w14:textId="77777777" w:rsidR="00486E44" w:rsidRPr="007A0163" w:rsidRDefault="00486E44" w:rsidP="006509D4">
            <w:pPr>
              <w:spacing w:before="20" w:after="20"/>
              <w:rPr>
                <w:rFonts w:cs="Arial"/>
                <w:szCs w:val="20"/>
              </w:rPr>
            </w:pPr>
            <w:r w:rsidRPr="007A0163">
              <w:rPr>
                <w:rFonts w:cs="Arial"/>
                <w:szCs w:val="20"/>
              </w:rPr>
              <w:t>The contractor is required to provide quarterly reporting on disposal outcomes for all products collected under the take back scheme including:</w:t>
            </w:r>
          </w:p>
          <w:p w14:paraId="0D34AD5E"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7A0163">
              <w:rPr>
                <w:rFonts w:cs="Arial"/>
                <w:szCs w:val="20"/>
              </w:rPr>
              <w:t>volum</w:t>
            </w:r>
            <w:r w:rsidRPr="002967A1">
              <w:rPr>
                <w:rFonts w:cs="Arial"/>
                <w:sz w:val="19"/>
                <w:szCs w:val="19"/>
              </w:rPr>
              <w:t>e of products/materials collected</w:t>
            </w:r>
          </w:p>
          <w:p w14:paraId="38EB9E21" w14:textId="77777777" w:rsidR="00486E44" w:rsidRPr="002967A1" w:rsidRDefault="00486E44" w:rsidP="002967A1">
            <w:pPr>
              <w:pStyle w:val="ListParagraph"/>
              <w:numPr>
                <w:ilvl w:val="0"/>
                <w:numId w:val="11"/>
              </w:numPr>
              <w:spacing w:after="0" w:line="276" w:lineRule="auto"/>
              <w:ind w:left="589" w:hanging="283"/>
              <w:contextualSpacing/>
              <w:rPr>
                <w:rFonts w:cs="Arial"/>
                <w:sz w:val="19"/>
                <w:szCs w:val="19"/>
              </w:rPr>
            </w:pPr>
            <w:r w:rsidRPr="002967A1">
              <w:rPr>
                <w:rFonts w:cs="Arial"/>
                <w:sz w:val="19"/>
                <w:szCs w:val="19"/>
              </w:rPr>
              <w:t>volume and percentage of materials recycled (by material type)</w:t>
            </w:r>
          </w:p>
          <w:p w14:paraId="421E2D8E" w14:textId="77777777" w:rsidR="00486E44" w:rsidRPr="007A0163" w:rsidRDefault="00486E44" w:rsidP="002967A1">
            <w:pPr>
              <w:pStyle w:val="ListParagraph"/>
              <w:numPr>
                <w:ilvl w:val="0"/>
                <w:numId w:val="11"/>
              </w:numPr>
              <w:spacing w:after="0" w:line="276" w:lineRule="auto"/>
              <w:ind w:left="589" w:hanging="283"/>
              <w:contextualSpacing/>
              <w:rPr>
                <w:rFonts w:cs="Arial"/>
                <w:szCs w:val="20"/>
              </w:rPr>
            </w:pPr>
            <w:r w:rsidRPr="002967A1">
              <w:rPr>
                <w:rFonts w:cs="Arial"/>
                <w:sz w:val="19"/>
                <w:szCs w:val="19"/>
              </w:rPr>
              <w:t xml:space="preserve">volume </w:t>
            </w:r>
            <w:r w:rsidRPr="007A0163">
              <w:rPr>
                <w:rFonts w:cs="Arial"/>
                <w:szCs w:val="20"/>
              </w:rPr>
              <w:t>and percentage of waste sent to landfill.</w:t>
            </w:r>
          </w:p>
        </w:tc>
      </w:tr>
      <w:tr w:rsidR="00486E44" w:rsidRPr="00D51C7E" w14:paraId="7D6FF92E" w14:textId="77777777" w:rsidTr="006509D4">
        <w:trPr>
          <w:cantSplit/>
        </w:trPr>
        <w:tc>
          <w:tcPr>
            <w:tcW w:w="5000" w:type="pct"/>
            <w:gridSpan w:val="2"/>
          </w:tcPr>
          <w:p w14:paraId="4DD19C8F" w14:textId="77777777" w:rsidR="00486E44" w:rsidRPr="007A0163" w:rsidRDefault="00486E44" w:rsidP="006509D4">
            <w:pPr>
              <w:spacing w:before="20" w:after="20"/>
              <w:rPr>
                <w:rFonts w:cs="Arial"/>
                <w:szCs w:val="20"/>
              </w:rPr>
            </w:pPr>
            <w:r w:rsidRPr="007A0163">
              <w:rPr>
                <w:rFonts w:cs="Arial"/>
                <w:szCs w:val="20"/>
              </w:rPr>
              <w:t xml:space="preserve">References: 4 (see </w:t>
            </w:r>
            <w:r w:rsidRPr="007A0163">
              <w:rPr>
                <w:rFonts w:cs="Arial"/>
                <w:i/>
                <w:szCs w:val="20"/>
              </w:rPr>
              <w:t>References</w:t>
            </w:r>
            <w:r w:rsidRPr="007A0163">
              <w:rPr>
                <w:rFonts w:cs="Arial"/>
                <w:szCs w:val="20"/>
              </w:rPr>
              <w:t xml:space="preserve">, </w:t>
            </w:r>
            <w:r>
              <w:rPr>
                <w:rFonts w:cs="Arial"/>
                <w:szCs w:val="20"/>
              </w:rPr>
              <w:t>below</w:t>
            </w:r>
            <w:r w:rsidRPr="007A0163">
              <w:rPr>
                <w:rFonts w:cs="Arial"/>
                <w:szCs w:val="20"/>
              </w:rPr>
              <w:t>).</w:t>
            </w:r>
          </w:p>
        </w:tc>
      </w:tr>
    </w:tbl>
    <w:p w14:paraId="4BB754BE" w14:textId="77777777" w:rsidR="00486E44" w:rsidRDefault="00486E44" w:rsidP="00486E44">
      <w:pPr>
        <w:spacing w:after="0"/>
        <w:rPr>
          <w:rFonts w:cs="Arial"/>
          <w:b/>
          <w:bCs/>
          <w:color w:val="0083C8"/>
          <w:sz w:val="36"/>
          <w:szCs w:val="20"/>
          <w:lang w:eastAsia="en-AU"/>
        </w:rPr>
      </w:pPr>
    </w:p>
    <w:p w14:paraId="533AE0C1" w14:textId="77777777" w:rsidR="00486E44" w:rsidRDefault="00486E44" w:rsidP="00486E44">
      <w:pPr>
        <w:spacing w:after="0"/>
        <w:rPr>
          <w:rFonts w:cs="Arial"/>
          <w:b/>
          <w:bCs/>
          <w:color w:val="0083C8"/>
          <w:sz w:val="36"/>
          <w:szCs w:val="20"/>
          <w:lang w:eastAsia="en-AU"/>
        </w:rPr>
      </w:pPr>
      <w:r>
        <w:rPr>
          <w:rFonts w:cs="Arial"/>
          <w:b/>
          <w:bCs/>
          <w:color w:val="0083C8"/>
          <w:sz w:val="36"/>
          <w:szCs w:val="20"/>
          <w:lang w:eastAsia="en-AU"/>
        </w:rPr>
        <w:br w:type="page"/>
      </w:r>
    </w:p>
    <w:p w14:paraId="14CD1CE4" w14:textId="77777777" w:rsidR="00486E44" w:rsidRDefault="00486E44" w:rsidP="00486E44">
      <w:pPr>
        <w:pStyle w:val="Heading1"/>
      </w:pPr>
      <w:bookmarkStart w:id="111" w:name="_Toc389037168"/>
      <w:bookmarkStart w:id="112" w:name="_Toc485394997"/>
      <w:bookmarkStart w:id="113" w:name="_Toc529882352"/>
      <w:bookmarkStart w:id="114" w:name="_Toc207780074"/>
      <w:r>
        <w:lastRenderedPageBreak/>
        <w:t>Integrating sustainable procurement throughout the procurement process</w:t>
      </w:r>
      <w:bookmarkEnd w:id="111"/>
      <w:bookmarkEnd w:id="112"/>
      <w:bookmarkEnd w:id="113"/>
      <w:bookmarkEnd w:id="114"/>
    </w:p>
    <w:p w14:paraId="1BDA02F7" w14:textId="77777777" w:rsidR="00486E44" w:rsidRDefault="00486E44" w:rsidP="00486E44">
      <w:r>
        <w:t>Sustainability considerations should be incorporated at every stage of the procurement process. Prior to incorporating any specifications or information contained within this guide:</w:t>
      </w:r>
    </w:p>
    <w:p w14:paraId="15B070AF" w14:textId="77777777" w:rsidR="00486E44" w:rsidRDefault="00486E44" w:rsidP="00486E44">
      <w:pPr>
        <w:numPr>
          <w:ilvl w:val="0"/>
          <w:numId w:val="29"/>
        </w:numPr>
        <w:spacing w:before="180" w:after="60" w:line="264" w:lineRule="auto"/>
      </w:pPr>
      <w:r>
        <w:t>consider the specific market conditions and organisational needs prior to deciding if and where to apply these criteria</w:t>
      </w:r>
    </w:p>
    <w:p w14:paraId="2CDFB0D5" w14:textId="77777777" w:rsidR="00486E44" w:rsidRDefault="00486E44" w:rsidP="00486E44">
      <w:pPr>
        <w:numPr>
          <w:ilvl w:val="0"/>
          <w:numId w:val="29"/>
        </w:numPr>
        <w:spacing w:before="180" w:after="60" w:line="264" w:lineRule="auto"/>
      </w:pPr>
      <w:r>
        <w:t>document the options and decisions for how sustainability will be addressed in a plan for significant procurement or a business case.</w:t>
      </w:r>
    </w:p>
    <w:p w14:paraId="1C8FAB41" w14:textId="77777777" w:rsidR="00486E44" w:rsidRDefault="00486E44" w:rsidP="00486E44">
      <w:pPr>
        <w:pStyle w:val="Heading2"/>
        <w:spacing w:before="240"/>
      </w:pPr>
      <w:bookmarkStart w:id="115" w:name="_Toc389037169"/>
      <w:bookmarkStart w:id="116" w:name="_Toc485394998"/>
      <w:bookmarkStart w:id="117" w:name="_Toc529882353"/>
      <w:bookmarkStart w:id="118" w:name="_Toc207780075"/>
      <w:r>
        <w:t>Procurement planning</w:t>
      </w:r>
      <w:bookmarkEnd w:id="115"/>
      <w:bookmarkEnd w:id="116"/>
      <w:bookmarkEnd w:id="117"/>
      <w:bookmarkEnd w:id="118"/>
    </w:p>
    <w:p w14:paraId="4EA9A837" w14:textId="77777777" w:rsidR="00486E44" w:rsidRDefault="00486E44" w:rsidP="00486E44">
      <w:pPr>
        <w:pStyle w:val="Heading3"/>
      </w:pPr>
      <w:bookmarkStart w:id="119" w:name="_Toc389037170"/>
      <w:bookmarkStart w:id="120" w:name="_Toc485394999"/>
      <w:bookmarkStart w:id="121" w:name="_Toc529882354"/>
      <w:r>
        <w:t>Demand analysis</w:t>
      </w:r>
      <w:bookmarkEnd w:id="119"/>
      <w:bookmarkEnd w:id="120"/>
      <w:bookmarkEnd w:id="121"/>
    </w:p>
    <w:p w14:paraId="5DA72A62" w14:textId="77777777" w:rsidR="00486E44" w:rsidRPr="00747102" w:rsidRDefault="00486E44" w:rsidP="00486E44">
      <w:pPr>
        <w:rPr>
          <w:rFonts w:cs="Arial"/>
        </w:rPr>
      </w:pPr>
      <w:r w:rsidRPr="00747102">
        <w:rPr>
          <w:rFonts w:cs="Arial"/>
        </w:rPr>
        <w:t>Rethinking the need for a purchase can help avoid unnecessary consumption.</w:t>
      </w:r>
    </w:p>
    <w:p w14:paraId="7111DAB9" w14:textId="77777777" w:rsidR="00486E44" w:rsidRPr="00747102" w:rsidRDefault="00486E44" w:rsidP="00486E44">
      <w:pPr>
        <w:rPr>
          <w:rFonts w:cs="Arial"/>
        </w:rPr>
      </w:pPr>
      <w:r w:rsidRPr="00747102">
        <w:rPr>
          <w:rFonts w:cs="Arial"/>
        </w:rPr>
        <w:t>Consider both the ‘need’ for the business machine and how the use of the equipment is being managed. For example:</w:t>
      </w:r>
    </w:p>
    <w:p w14:paraId="5500E557" w14:textId="77777777" w:rsidR="00486E44" w:rsidRPr="00747102" w:rsidRDefault="00486E44" w:rsidP="00486E44">
      <w:pPr>
        <w:pStyle w:val="ListParagraph"/>
        <w:numPr>
          <w:ilvl w:val="0"/>
          <w:numId w:val="30"/>
        </w:numPr>
        <w:spacing w:before="180" w:line="276" w:lineRule="auto"/>
        <w:contextualSpacing/>
        <w:rPr>
          <w:rFonts w:cs="Arial"/>
        </w:rPr>
      </w:pPr>
      <w:r w:rsidRPr="00747102">
        <w:rPr>
          <w:rFonts w:cs="Arial"/>
        </w:rPr>
        <w:t>explore opportunities to reduce the number of business machines procured through improved planning of office layout and more centralised location of business machines</w:t>
      </w:r>
    </w:p>
    <w:p w14:paraId="1E6B1772" w14:textId="77777777" w:rsidR="00486E44" w:rsidRPr="00747102" w:rsidRDefault="00486E44" w:rsidP="00486E44">
      <w:pPr>
        <w:pStyle w:val="ListParagraph"/>
        <w:numPr>
          <w:ilvl w:val="0"/>
          <w:numId w:val="30"/>
        </w:numPr>
        <w:spacing w:before="180" w:line="276" w:lineRule="auto"/>
        <w:contextualSpacing/>
        <w:rPr>
          <w:rFonts w:cs="Arial"/>
        </w:rPr>
      </w:pPr>
      <w:r w:rsidRPr="00747102">
        <w:rPr>
          <w:rFonts w:cs="Arial"/>
        </w:rPr>
        <w:t>increase standardisation of configuration and limit the model range for ease of redistribution, repair, reuse and replacement</w:t>
      </w:r>
    </w:p>
    <w:p w14:paraId="0D6F25EB" w14:textId="77777777" w:rsidR="00486E44" w:rsidRPr="00747102" w:rsidRDefault="00486E44" w:rsidP="00486E44">
      <w:pPr>
        <w:pStyle w:val="ListParagraph"/>
        <w:numPr>
          <w:ilvl w:val="0"/>
          <w:numId w:val="30"/>
        </w:numPr>
        <w:spacing w:before="180" w:line="276" w:lineRule="auto"/>
        <w:contextualSpacing/>
        <w:rPr>
          <w:rFonts w:cs="Arial"/>
        </w:rPr>
      </w:pPr>
      <w:r w:rsidRPr="00747102">
        <w:rPr>
          <w:rFonts w:cs="Arial"/>
        </w:rPr>
        <w:t>ensure agencies’ asset management plans and asset disposal policies clearly address sustainability impacts as well as measures to improve sustainability outcomes through demand management and sustainable end-of-life disposal of products</w:t>
      </w:r>
    </w:p>
    <w:p w14:paraId="7C0E5001" w14:textId="77777777" w:rsidR="00486E44" w:rsidRPr="00747102" w:rsidRDefault="00486E44" w:rsidP="00486E44">
      <w:pPr>
        <w:pStyle w:val="ListParagraph"/>
        <w:numPr>
          <w:ilvl w:val="0"/>
          <w:numId w:val="30"/>
        </w:numPr>
        <w:spacing w:before="180" w:line="276" w:lineRule="auto"/>
        <w:contextualSpacing/>
        <w:rPr>
          <w:rFonts w:cs="Arial"/>
        </w:rPr>
      </w:pPr>
      <w:r w:rsidRPr="00747102">
        <w:rPr>
          <w:rFonts w:cs="Arial"/>
        </w:rPr>
        <w:t xml:space="preserve">consider how technical specifications may affect machine usage, and consumption of consumables </w:t>
      </w:r>
    </w:p>
    <w:p w14:paraId="4C2039F0" w14:textId="77777777" w:rsidR="00486E44" w:rsidRPr="00747102" w:rsidRDefault="00486E44" w:rsidP="00486E44">
      <w:pPr>
        <w:pStyle w:val="ListParagraph"/>
        <w:numPr>
          <w:ilvl w:val="0"/>
          <w:numId w:val="30"/>
        </w:numPr>
        <w:spacing w:before="180" w:line="276" w:lineRule="auto"/>
        <w:contextualSpacing/>
        <w:rPr>
          <w:rFonts w:cs="Arial"/>
        </w:rPr>
      </w:pPr>
      <w:r w:rsidRPr="00747102">
        <w:rPr>
          <w:rFonts w:cs="Arial"/>
        </w:rPr>
        <w:t>ensure staff are trained to utilise the machine features that assist in reduction of the use of consumables, for example:</w:t>
      </w:r>
    </w:p>
    <w:p w14:paraId="0B5B8488" w14:textId="77777777" w:rsidR="00486E44" w:rsidRPr="00747102" w:rsidRDefault="00486E44" w:rsidP="00486E44">
      <w:pPr>
        <w:pStyle w:val="ListParagraph"/>
        <w:numPr>
          <w:ilvl w:val="0"/>
          <w:numId w:val="31"/>
        </w:numPr>
        <w:spacing w:before="180" w:line="276" w:lineRule="auto"/>
        <w:contextualSpacing/>
        <w:rPr>
          <w:rFonts w:cs="Arial"/>
        </w:rPr>
      </w:pPr>
      <w:r w:rsidRPr="00747102">
        <w:rPr>
          <w:rFonts w:cs="Arial"/>
        </w:rPr>
        <w:t>digital imaging and archiving</w:t>
      </w:r>
    </w:p>
    <w:p w14:paraId="50F80ECD" w14:textId="77777777" w:rsidR="00486E44" w:rsidRPr="00747102" w:rsidRDefault="00486E44" w:rsidP="00486E44">
      <w:pPr>
        <w:pStyle w:val="ListParagraph"/>
        <w:numPr>
          <w:ilvl w:val="0"/>
          <w:numId w:val="31"/>
        </w:numPr>
        <w:spacing w:before="180" w:line="276" w:lineRule="auto"/>
        <w:contextualSpacing/>
        <w:rPr>
          <w:rFonts w:cs="Arial"/>
        </w:rPr>
      </w:pPr>
      <w:r w:rsidRPr="00747102">
        <w:rPr>
          <w:rFonts w:cs="Arial"/>
        </w:rPr>
        <w:t>sending and storing print requests at the multifunctional device or on a print server in an electronic state; the document is then only printed when the user enters personal details at the device, at which stage print requests made in error can also be deleted (this also reduces paper wastage).</w:t>
      </w:r>
    </w:p>
    <w:p w14:paraId="575CAD8E" w14:textId="77777777" w:rsidR="00486E44" w:rsidRDefault="00486E44" w:rsidP="00486E44">
      <w:pPr>
        <w:pStyle w:val="Heading3"/>
      </w:pPr>
      <w:bookmarkStart w:id="122" w:name="_Toc389037171"/>
      <w:bookmarkStart w:id="123" w:name="_Toc485395000"/>
      <w:bookmarkStart w:id="124" w:name="_Toc529882355"/>
      <w:r>
        <w:t>Supply market analysis</w:t>
      </w:r>
      <w:bookmarkEnd w:id="122"/>
      <w:bookmarkEnd w:id="123"/>
      <w:bookmarkEnd w:id="124"/>
    </w:p>
    <w:p w14:paraId="197B0DAF" w14:textId="77777777" w:rsidR="00486E44" w:rsidRDefault="00486E44" w:rsidP="00486E44">
      <w:r>
        <w:t>Collect information to identify the capacity of the supply chain to deliver the products in accordance with sustainability requirements.</w:t>
      </w:r>
    </w:p>
    <w:p w14:paraId="20C8B809" w14:textId="77777777" w:rsidR="00486E44" w:rsidRPr="00C70AA2" w:rsidRDefault="00486E44" w:rsidP="00486E44">
      <w:pPr>
        <w:rPr>
          <w:rFonts w:cs="Arial"/>
        </w:rPr>
      </w:pPr>
      <w:r w:rsidRPr="00C70AA2">
        <w:rPr>
          <w:rFonts w:cs="Arial"/>
        </w:rPr>
        <w:t xml:space="preserve">Use the sustainability issues identified in this </w:t>
      </w:r>
      <w:r>
        <w:rPr>
          <w:rFonts w:cs="Arial"/>
        </w:rPr>
        <w:t>guide</w:t>
      </w:r>
      <w:r w:rsidRPr="00C70AA2">
        <w:rPr>
          <w:rFonts w:cs="Arial"/>
        </w:rPr>
        <w:t xml:space="preserve"> to develop a pre-tender questionnaire that will help lead discussion with suppliers.</w:t>
      </w:r>
    </w:p>
    <w:p w14:paraId="4F48F35B" w14:textId="77777777" w:rsidR="00486E44" w:rsidRPr="00C70AA2" w:rsidRDefault="00486E44" w:rsidP="00486E44">
      <w:pPr>
        <w:rPr>
          <w:rFonts w:cs="Arial"/>
        </w:rPr>
      </w:pPr>
      <w:r w:rsidRPr="00C70AA2">
        <w:rPr>
          <w:rFonts w:cs="Arial"/>
        </w:rPr>
        <w:t xml:space="preserve">Conduct pre-tender supplier briefings </w:t>
      </w:r>
      <w:proofErr w:type="gramStart"/>
      <w:r w:rsidRPr="00C70AA2">
        <w:rPr>
          <w:rFonts w:cs="Arial"/>
        </w:rPr>
        <w:t>in order to</w:t>
      </w:r>
      <w:proofErr w:type="gramEnd"/>
      <w:r w:rsidRPr="00C70AA2">
        <w:rPr>
          <w:rFonts w:cs="Arial"/>
        </w:rPr>
        <w:t>:</w:t>
      </w:r>
    </w:p>
    <w:p w14:paraId="3CACCBD7" w14:textId="77777777" w:rsidR="00486E44" w:rsidRPr="00C70AA2" w:rsidRDefault="00486E44" w:rsidP="00486E44">
      <w:pPr>
        <w:pStyle w:val="ListParagraph"/>
        <w:numPr>
          <w:ilvl w:val="0"/>
          <w:numId w:val="32"/>
        </w:numPr>
        <w:spacing w:before="180" w:line="276" w:lineRule="auto"/>
        <w:contextualSpacing/>
        <w:rPr>
          <w:rFonts w:cs="Arial"/>
        </w:rPr>
      </w:pPr>
      <w:r w:rsidRPr="00C70AA2">
        <w:rPr>
          <w:rFonts w:cs="Arial"/>
        </w:rPr>
        <w:t>engage potential suppliers, identify existing sustainable suppliers and develop an overall understanding of the market’s sustainability performance and capability</w:t>
      </w:r>
    </w:p>
    <w:p w14:paraId="4C14D284" w14:textId="77777777" w:rsidR="00486E44" w:rsidRPr="00C70AA2" w:rsidRDefault="00486E44" w:rsidP="00486E44">
      <w:pPr>
        <w:pStyle w:val="ListParagraph"/>
        <w:numPr>
          <w:ilvl w:val="0"/>
          <w:numId w:val="32"/>
        </w:numPr>
        <w:spacing w:before="180" w:line="276" w:lineRule="auto"/>
        <w:contextualSpacing/>
        <w:rPr>
          <w:rFonts w:cs="Arial"/>
        </w:rPr>
      </w:pPr>
      <w:r w:rsidRPr="00C70AA2">
        <w:rPr>
          <w:rFonts w:cs="Arial"/>
        </w:rPr>
        <w:t xml:space="preserve">determine whether the recommended minimum performance criteria identified in this </w:t>
      </w:r>
      <w:r>
        <w:rPr>
          <w:rFonts w:cs="Arial"/>
        </w:rPr>
        <w:t>guide</w:t>
      </w:r>
      <w:r w:rsidRPr="00C70AA2">
        <w:rPr>
          <w:rFonts w:cs="Arial"/>
        </w:rPr>
        <w:t xml:space="preserve"> are sufficient or if the best practice performance criteria would be more suitable.</w:t>
      </w:r>
    </w:p>
    <w:p w14:paraId="55DD02DE" w14:textId="77777777" w:rsidR="00486E44" w:rsidRPr="00C70AA2" w:rsidRDefault="00486E44" w:rsidP="00486E44">
      <w:pPr>
        <w:rPr>
          <w:rFonts w:cs="Arial"/>
        </w:rPr>
      </w:pPr>
      <w:r w:rsidRPr="00C70AA2">
        <w:rPr>
          <w:rFonts w:cs="Arial"/>
        </w:rPr>
        <w:t xml:space="preserve">Identify opportunities for collaboration between government and industry/specific suppliers in relation to sustainability issues contained in this </w:t>
      </w:r>
      <w:r>
        <w:rPr>
          <w:rFonts w:cs="Arial"/>
        </w:rPr>
        <w:t>guide</w:t>
      </w:r>
      <w:r w:rsidRPr="00C70AA2">
        <w:rPr>
          <w:rFonts w:cs="Arial"/>
        </w:rPr>
        <w:t>.</w:t>
      </w:r>
    </w:p>
    <w:p w14:paraId="1AC3F497" w14:textId="77777777" w:rsidR="00486E44" w:rsidRDefault="00486E44" w:rsidP="00486E44">
      <w:pPr>
        <w:pStyle w:val="Heading2"/>
        <w:spacing w:before="240"/>
      </w:pPr>
      <w:bookmarkStart w:id="125" w:name="_Toc389037172"/>
      <w:bookmarkStart w:id="126" w:name="_Toc485395001"/>
      <w:bookmarkStart w:id="127" w:name="_Toc529882356"/>
      <w:bookmarkStart w:id="128" w:name="_Toc207780076"/>
      <w:r>
        <w:lastRenderedPageBreak/>
        <w:t>Supplier engagement</w:t>
      </w:r>
      <w:bookmarkEnd w:id="125"/>
      <w:bookmarkEnd w:id="126"/>
      <w:bookmarkEnd w:id="127"/>
      <w:bookmarkEnd w:id="128"/>
    </w:p>
    <w:p w14:paraId="6A8AF495" w14:textId="77777777" w:rsidR="00486E44" w:rsidRPr="00EB10D6" w:rsidRDefault="00486E44" w:rsidP="00486E44">
      <w:pPr>
        <w:rPr>
          <w:rFonts w:cs="Arial"/>
        </w:rPr>
      </w:pPr>
      <w:r w:rsidRPr="00EB10D6">
        <w:rPr>
          <w:rFonts w:cs="Arial"/>
        </w:rPr>
        <w:t xml:space="preserve">The criteria in this </w:t>
      </w:r>
      <w:r>
        <w:rPr>
          <w:rFonts w:cs="Arial"/>
        </w:rPr>
        <w:t>guide</w:t>
      </w:r>
      <w:r w:rsidRPr="00EB10D6">
        <w:rPr>
          <w:rFonts w:cs="Arial"/>
        </w:rPr>
        <w:t xml:space="preserve"> can be used to develop requirements in the invitation to offer documents, as follows:</w:t>
      </w:r>
    </w:p>
    <w:p w14:paraId="6FD5ED04" w14:textId="77777777" w:rsidR="00486E44" w:rsidRPr="00EB10D6" w:rsidRDefault="00486E44" w:rsidP="00486E44">
      <w:pPr>
        <w:pStyle w:val="ListParagraph"/>
        <w:numPr>
          <w:ilvl w:val="0"/>
          <w:numId w:val="33"/>
        </w:numPr>
        <w:spacing w:before="180" w:line="276" w:lineRule="auto"/>
        <w:contextualSpacing/>
        <w:rPr>
          <w:rFonts w:cs="Arial"/>
        </w:rPr>
      </w:pPr>
      <w:r w:rsidRPr="00EB10D6">
        <w:rPr>
          <w:rFonts w:cs="Arial"/>
        </w:rPr>
        <w:t>minimum performance criteria for business machines may be set as mandatory specifications:</w:t>
      </w:r>
    </w:p>
    <w:p w14:paraId="7CF29A13" w14:textId="77777777" w:rsidR="00486E44" w:rsidRPr="00EB10D6" w:rsidRDefault="00486E44" w:rsidP="00486E44">
      <w:pPr>
        <w:pStyle w:val="ListParagraph"/>
        <w:numPr>
          <w:ilvl w:val="0"/>
          <w:numId w:val="35"/>
        </w:numPr>
        <w:spacing w:before="180" w:line="276" w:lineRule="auto"/>
        <w:contextualSpacing/>
        <w:rPr>
          <w:rFonts w:cs="Arial"/>
        </w:rPr>
      </w:pPr>
      <w:r w:rsidRPr="00EB10D6">
        <w:rPr>
          <w:rFonts w:cs="Arial"/>
        </w:rPr>
        <w:t xml:space="preserve">ensure that ‘mandatory’ requirements </w:t>
      </w:r>
      <w:proofErr w:type="gramStart"/>
      <w:r w:rsidRPr="00EB10D6">
        <w:rPr>
          <w:rFonts w:cs="Arial"/>
        </w:rPr>
        <w:t>are able to</w:t>
      </w:r>
      <w:proofErr w:type="gramEnd"/>
      <w:r w:rsidRPr="00EB10D6">
        <w:rPr>
          <w:rFonts w:cs="Arial"/>
        </w:rPr>
        <w:t xml:space="preserve"> be delivered by </w:t>
      </w:r>
      <w:proofErr w:type="gramStart"/>
      <w:r w:rsidRPr="00EB10D6">
        <w:rPr>
          <w:rFonts w:cs="Arial"/>
        </w:rPr>
        <w:t>the majority of</w:t>
      </w:r>
      <w:proofErr w:type="gramEnd"/>
      <w:r w:rsidRPr="00EB10D6">
        <w:rPr>
          <w:rFonts w:cs="Arial"/>
        </w:rPr>
        <w:t xml:space="preserve"> potential suppliers - those who do not meet the mandatory specifications are not evaluated during the tendering process</w:t>
      </w:r>
      <w:r>
        <w:rPr>
          <w:rFonts w:cs="Arial"/>
        </w:rPr>
        <w:br/>
      </w:r>
    </w:p>
    <w:p w14:paraId="020DD333" w14:textId="77777777" w:rsidR="00486E44" w:rsidRPr="00EB10D6" w:rsidRDefault="00486E44" w:rsidP="00486E44">
      <w:pPr>
        <w:pStyle w:val="ListParagraph"/>
        <w:numPr>
          <w:ilvl w:val="0"/>
          <w:numId w:val="33"/>
        </w:numPr>
        <w:spacing w:before="180" w:line="276" w:lineRule="auto"/>
        <w:contextualSpacing/>
        <w:rPr>
          <w:rFonts w:cs="Arial"/>
        </w:rPr>
      </w:pPr>
      <w:r w:rsidRPr="00EB10D6">
        <w:rPr>
          <w:rFonts w:cs="Arial"/>
        </w:rPr>
        <w:t>best practice performance criteria for business machines criteria may be set as desirable specifications:</w:t>
      </w:r>
    </w:p>
    <w:p w14:paraId="676C0E96" w14:textId="77777777" w:rsidR="00486E44" w:rsidRPr="00EB10D6" w:rsidRDefault="00486E44" w:rsidP="00486E44">
      <w:pPr>
        <w:pStyle w:val="ListParagraph"/>
        <w:numPr>
          <w:ilvl w:val="0"/>
          <w:numId w:val="34"/>
        </w:numPr>
        <w:spacing w:before="180" w:line="276" w:lineRule="auto"/>
        <w:contextualSpacing/>
        <w:rPr>
          <w:rFonts w:cs="Arial"/>
        </w:rPr>
      </w:pPr>
      <w:r w:rsidRPr="00EB10D6">
        <w:rPr>
          <w:rFonts w:cs="Arial"/>
        </w:rPr>
        <w:t>these criteria relate to industry leaders in the sustainability field and therefore it is unlikely that all suppliers will be able to compete on this level</w:t>
      </w:r>
    </w:p>
    <w:p w14:paraId="37788023" w14:textId="77777777" w:rsidR="00486E44" w:rsidRPr="00EB10D6" w:rsidRDefault="00486E44" w:rsidP="00486E44">
      <w:pPr>
        <w:pStyle w:val="ListParagraph"/>
        <w:numPr>
          <w:ilvl w:val="0"/>
          <w:numId w:val="34"/>
        </w:numPr>
        <w:spacing w:before="180" w:line="276" w:lineRule="auto"/>
        <w:contextualSpacing/>
        <w:rPr>
          <w:rFonts w:cs="Arial"/>
        </w:rPr>
      </w:pPr>
      <w:r w:rsidRPr="00EB10D6">
        <w:rPr>
          <w:rFonts w:cs="Arial"/>
        </w:rPr>
        <w:t>best practice performance criteria provide a market for more sustainable products</w:t>
      </w:r>
    </w:p>
    <w:p w14:paraId="24D8A1EC" w14:textId="77777777" w:rsidR="00486E44" w:rsidRPr="00EB10D6" w:rsidRDefault="00486E44" w:rsidP="00486E44">
      <w:pPr>
        <w:pStyle w:val="ListParagraph"/>
        <w:numPr>
          <w:ilvl w:val="0"/>
          <w:numId w:val="34"/>
        </w:numPr>
        <w:spacing w:before="180" w:line="276" w:lineRule="auto"/>
        <w:contextualSpacing/>
        <w:rPr>
          <w:rFonts w:cs="Arial"/>
        </w:rPr>
      </w:pPr>
      <w:r w:rsidRPr="00EB10D6">
        <w:rPr>
          <w:rFonts w:cs="Arial"/>
        </w:rPr>
        <w:t>specifying for best practices may incur a price differential</w:t>
      </w:r>
      <w:r>
        <w:rPr>
          <w:rFonts w:cs="Arial"/>
        </w:rPr>
        <w:t>; i</w:t>
      </w:r>
      <w:r w:rsidRPr="00EB10D6">
        <w:rPr>
          <w:rFonts w:cs="Arial"/>
        </w:rPr>
        <w:t xml:space="preserve">dentify </w:t>
      </w:r>
      <w:proofErr w:type="gramStart"/>
      <w:r w:rsidRPr="00EB10D6">
        <w:rPr>
          <w:rFonts w:cs="Arial"/>
        </w:rPr>
        <w:t>whether or not</w:t>
      </w:r>
      <w:proofErr w:type="gramEnd"/>
      <w:r w:rsidRPr="00EB10D6">
        <w:rPr>
          <w:rFonts w:cs="Arial"/>
        </w:rPr>
        <w:t xml:space="preserve"> there is a price differential in the upfront cost and whether ongoing savings may</w:t>
      </w:r>
      <w:r>
        <w:rPr>
          <w:rFonts w:cs="Arial"/>
        </w:rPr>
        <w:t xml:space="preserve"> </w:t>
      </w:r>
      <w:r w:rsidRPr="00EB10D6">
        <w:rPr>
          <w:rFonts w:cs="Arial"/>
        </w:rPr>
        <w:t>be realised over the life of the product (e.g. where the price of the product includes costs for end-of-life take-back and sustainable disposal of the product)</w:t>
      </w:r>
      <w:r>
        <w:rPr>
          <w:rFonts w:cs="Arial"/>
        </w:rPr>
        <w:br/>
      </w:r>
    </w:p>
    <w:p w14:paraId="25C8A118" w14:textId="77777777" w:rsidR="00486E44" w:rsidRPr="00EB10D6" w:rsidRDefault="00486E44" w:rsidP="00486E44">
      <w:pPr>
        <w:pStyle w:val="ListParagraph"/>
        <w:numPr>
          <w:ilvl w:val="0"/>
          <w:numId w:val="33"/>
        </w:numPr>
        <w:spacing w:before="180" w:line="276" w:lineRule="auto"/>
        <w:contextualSpacing/>
        <w:rPr>
          <w:rFonts w:cs="Arial"/>
        </w:rPr>
      </w:pPr>
      <w:r>
        <w:rPr>
          <w:rFonts w:cs="Arial"/>
        </w:rPr>
        <w:t>a</w:t>
      </w:r>
      <w:r w:rsidRPr="00EB10D6">
        <w:rPr>
          <w:rFonts w:cs="Arial"/>
        </w:rPr>
        <w:t xml:space="preserve"> full value for money assessment should be undertaken. This includes costs for the business machine, consumables and maintenance. The whole-of-life environmental, social and economic gains that derive from improved sustainability outcomes may warrant an increased upfront cost.</w:t>
      </w:r>
    </w:p>
    <w:p w14:paraId="1CD8DEB4" w14:textId="77777777" w:rsidR="00486E44" w:rsidRDefault="00486E44" w:rsidP="00486E44">
      <w:pPr>
        <w:pStyle w:val="Heading2"/>
        <w:spacing w:before="240"/>
      </w:pPr>
      <w:bookmarkStart w:id="129" w:name="_Toc389037173"/>
      <w:bookmarkStart w:id="130" w:name="_Toc485395002"/>
      <w:bookmarkStart w:id="131" w:name="_Toc529882357"/>
      <w:bookmarkStart w:id="132" w:name="_Toc207780077"/>
      <w:r>
        <w:t>Managing supply arrangements</w:t>
      </w:r>
      <w:bookmarkEnd w:id="129"/>
      <w:bookmarkEnd w:id="130"/>
      <w:bookmarkEnd w:id="131"/>
      <w:bookmarkEnd w:id="132"/>
    </w:p>
    <w:p w14:paraId="46E44FB8" w14:textId="77777777" w:rsidR="00486E44" w:rsidRPr="00EB10D6" w:rsidRDefault="00486E44" w:rsidP="00486E44">
      <w:pPr>
        <w:rPr>
          <w:rFonts w:cs="Arial"/>
        </w:rPr>
      </w:pPr>
      <w:r>
        <w:t xml:space="preserve">Key Performance Indicators (KPIs) are an effective tool to ensure suppliers implement progressive </w:t>
      </w:r>
      <w:r w:rsidRPr="00EB10D6">
        <w:rPr>
          <w:rFonts w:cs="Arial"/>
        </w:rPr>
        <w:t>sustainability improvements during the term of the arrangement. For example:</w:t>
      </w:r>
    </w:p>
    <w:p w14:paraId="3FD325C1" w14:textId="77777777" w:rsidR="00486E44" w:rsidRPr="00EB10D6" w:rsidRDefault="00486E44" w:rsidP="00486E44">
      <w:pPr>
        <w:pStyle w:val="ListParagraph"/>
        <w:numPr>
          <w:ilvl w:val="0"/>
          <w:numId w:val="36"/>
        </w:numPr>
        <w:spacing w:before="180" w:line="276" w:lineRule="auto"/>
        <w:contextualSpacing/>
        <w:rPr>
          <w:rFonts w:cs="Arial"/>
        </w:rPr>
      </w:pPr>
      <w:r w:rsidRPr="00EB10D6">
        <w:rPr>
          <w:rFonts w:cs="Arial"/>
        </w:rPr>
        <w:t>if at the specification development stage it is determined that the potential supplier does not currently have a capability or capacity to meet a particular sustainability requirement, the sustainability criterion may be set as part of KPIs; for example, the supplier may be required to demonstrate that the levels of emissions resulting from the business machines are decreased in future product models</w:t>
      </w:r>
      <w:r>
        <w:rPr>
          <w:rFonts w:cs="Arial"/>
        </w:rPr>
        <w:br/>
      </w:r>
    </w:p>
    <w:p w14:paraId="225C23C6" w14:textId="77777777" w:rsidR="00486E44" w:rsidRPr="00EB10D6" w:rsidRDefault="00486E44" w:rsidP="00486E44">
      <w:pPr>
        <w:pStyle w:val="ListParagraph"/>
        <w:numPr>
          <w:ilvl w:val="0"/>
          <w:numId w:val="36"/>
        </w:numPr>
        <w:spacing w:before="180" w:line="276" w:lineRule="auto"/>
        <w:contextualSpacing/>
        <w:rPr>
          <w:rFonts w:cs="Arial"/>
        </w:rPr>
      </w:pPr>
      <w:r w:rsidRPr="00EB10D6">
        <w:rPr>
          <w:rFonts w:cs="Arial"/>
        </w:rPr>
        <w:t>best practice criteria that are set as KPIs could be used to progress a supplier towards best practice via continuous improvement over time.</w:t>
      </w:r>
    </w:p>
    <w:p w14:paraId="43D5216C" w14:textId="77777777" w:rsidR="00486E44" w:rsidRDefault="00486E44" w:rsidP="00486E44">
      <w:pPr>
        <w:pStyle w:val="Heading3"/>
      </w:pPr>
      <w:bookmarkStart w:id="133" w:name="_Toc389037174"/>
      <w:bookmarkStart w:id="134" w:name="_Toc485395003"/>
      <w:bookmarkStart w:id="135" w:name="_Toc529882358"/>
      <w:r>
        <w:t>Reporting and measurement</w:t>
      </w:r>
      <w:bookmarkEnd w:id="133"/>
      <w:bookmarkEnd w:id="134"/>
      <w:bookmarkEnd w:id="135"/>
    </w:p>
    <w:p w14:paraId="626FF271" w14:textId="77777777" w:rsidR="00486E44" w:rsidRDefault="00486E44" w:rsidP="00486E44">
      <w:pPr>
        <w:rPr>
          <w:lang w:eastAsia="en-AU"/>
        </w:rPr>
      </w:pPr>
      <w:r>
        <w:rPr>
          <w:lang w:eastAsia="en-AU"/>
        </w:rPr>
        <w:t>Contract reporting requirements should specifically demonstrate the environmental and social benefits achieved by procuring more sustainable products.</w:t>
      </w:r>
    </w:p>
    <w:p w14:paraId="7BB4BA74" w14:textId="77777777" w:rsidR="00486E44" w:rsidRDefault="00486E44" w:rsidP="00486E44">
      <w:pPr>
        <w:rPr>
          <w:lang w:eastAsia="en-AU"/>
        </w:rPr>
      </w:pPr>
      <w:r>
        <w:rPr>
          <w:lang w:eastAsia="en-AU"/>
        </w:rPr>
        <w:t>Incorporate sustainability reporting requirements into contract/arrangement terms and conditions.</w:t>
      </w:r>
    </w:p>
    <w:p w14:paraId="5F61F970" w14:textId="77777777" w:rsidR="00486E44" w:rsidRPr="00EB10D6" w:rsidRDefault="00486E44" w:rsidP="00486E44">
      <w:pPr>
        <w:rPr>
          <w:rFonts w:cs="Arial"/>
          <w:lang w:eastAsia="en-AU"/>
        </w:rPr>
      </w:pPr>
      <w:r w:rsidRPr="00EB10D6">
        <w:rPr>
          <w:rFonts w:cs="Arial"/>
          <w:lang w:eastAsia="en-AU"/>
        </w:rPr>
        <w:t>Measurements of sustainability performance for business machines could include:</w:t>
      </w:r>
    </w:p>
    <w:p w14:paraId="4CAB1CEC" w14:textId="77777777" w:rsidR="00486E44" w:rsidRPr="00EB10D6"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t>improvements in product design resulting in decreased consumption of consumables</w:t>
      </w:r>
    </w:p>
    <w:p w14:paraId="5B815E67" w14:textId="77777777" w:rsidR="00486E44" w:rsidRPr="00EB10D6"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t>volume of packaging recycled and reused</w:t>
      </w:r>
    </w:p>
    <w:p w14:paraId="0D0F7900" w14:textId="77777777" w:rsidR="00486E44" w:rsidRPr="00EB10D6"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t>reductions in energy use</w:t>
      </w:r>
    </w:p>
    <w:p w14:paraId="25A1B7D7" w14:textId="77777777" w:rsidR="00486E44" w:rsidRPr="00EB10D6"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t>reductions in levels of emissions of hazardous substance during use</w:t>
      </w:r>
    </w:p>
    <w:p w14:paraId="4816677B" w14:textId="77777777" w:rsidR="00486E44" w:rsidRPr="00EB10D6"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t>recycled content of machines</w:t>
      </w:r>
    </w:p>
    <w:p w14:paraId="1E8CB240" w14:textId="77777777" w:rsidR="00486E44" w:rsidRDefault="00486E44" w:rsidP="00486E44">
      <w:pPr>
        <w:pStyle w:val="ListParagraph"/>
        <w:numPr>
          <w:ilvl w:val="0"/>
          <w:numId w:val="37"/>
        </w:numPr>
        <w:spacing w:before="180" w:line="360" w:lineRule="auto"/>
        <w:contextualSpacing/>
        <w:rPr>
          <w:rFonts w:cs="Arial"/>
          <w:lang w:eastAsia="en-AU"/>
        </w:rPr>
      </w:pPr>
      <w:r w:rsidRPr="00EB10D6">
        <w:rPr>
          <w:rFonts w:cs="Arial"/>
          <w:lang w:eastAsia="en-AU"/>
        </w:rPr>
        <w:lastRenderedPageBreak/>
        <w:t>disclosure on volumes of machines taken back and information on what is done with these items (e.g. per cent recycled, per cent refurbished).</w:t>
      </w:r>
    </w:p>
    <w:p w14:paraId="169F0F8E" w14:textId="77777777" w:rsidR="00486E44" w:rsidRDefault="00486E44" w:rsidP="00486E44">
      <w:pPr>
        <w:spacing w:after="0"/>
        <w:rPr>
          <w:rFonts w:cs="Arial"/>
          <w:b/>
          <w:bCs/>
          <w:color w:val="A70240"/>
          <w:sz w:val="32"/>
          <w:szCs w:val="20"/>
          <w:lang w:eastAsia="en-AU"/>
        </w:rPr>
      </w:pPr>
      <w:bookmarkStart w:id="136" w:name="_Toc389037175"/>
      <w:bookmarkStart w:id="137" w:name="_Toc485395004"/>
    </w:p>
    <w:p w14:paraId="6F2466F1" w14:textId="77777777" w:rsidR="00486E44" w:rsidRDefault="00486E44" w:rsidP="00486E44">
      <w:pPr>
        <w:pStyle w:val="Heading1"/>
      </w:pPr>
      <w:bookmarkStart w:id="138" w:name="_Toc529882359"/>
      <w:bookmarkStart w:id="139" w:name="_Toc207780078"/>
      <w:r>
        <w:t>References</w:t>
      </w:r>
      <w:bookmarkEnd w:id="136"/>
      <w:bookmarkEnd w:id="137"/>
      <w:bookmarkEnd w:id="138"/>
      <w:bookmarkEnd w:id="139"/>
    </w:p>
    <w:p w14:paraId="628E19C5" w14:textId="77777777" w:rsidR="00486E44" w:rsidRDefault="00486E44" w:rsidP="00486E44">
      <w:pPr>
        <w:numPr>
          <w:ilvl w:val="0"/>
          <w:numId w:val="38"/>
        </w:numPr>
        <w:spacing w:before="180" w:after="60" w:line="264" w:lineRule="auto"/>
      </w:pPr>
      <w:r>
        <w:t>Good Environmental Choice Australia Ltd-GECA (Australia), Printers and Imaging Equipment, February 2008.</w:t>
      </w:r>
    </w:p>
    <w:p w14:paraId="007F7BE7" w14:textId="77777777" w:rsidR="00486E44" w:rsidRDefault="00486E44" w:rsidP="00486E44">
      <w:pPr>
        <w:numPr>
          <w:ilvl w:val="0"/>
          <w:numId w:val="38"/>
        </w:numPr>
        <w:spacing w:before="180" w:after="60" w:line="264" w:lineRule="auto"/>
      </w:pPr>
      <w:r>
        <w:t>European Union Green Public Procurement (EU), IT equipment product guide, June 2009.</w:t>
      </w:r>
    </w:p>
    <w:p w14:paraId="35C0FE85" w14:textId="77777777" w:rsidR="00486E44" w:rsidRDefault="00486E44" w:rsidP="00486E44">
      <w:pPr>
        <w:numPr>
          <w:ilvl w:val="0"/>
          <w:numId w:val="38"/>
        </w:numPr>
        <w:spacing w:before="180" w:after="60" w:line="264" w:lineRule="auto"/>
      </w:pPr>
      <w:r>
        <w:t>Department for Environment, Food and Rural Affairs, UK Government, Buy-Sustainable, Quick Wins, Office Machinery, June 2009.</w:t>
      </w:r>
    </w:p>
    <w:p w14:paraId="47F11799" w14:textId="77777777" w:rsidR="00486E44" w:rsidRDefault="00486E44" w:rsidP="00486E44">
      <w:pPr>
        <w:numPr>
          <w:ilvl w:val="0"/>
          <w:numId w:val="38"/>
        </w:numPr>
        <w:spacing w:before="180" w:after="60" w:line="264" w:lineRule="auto"/>
      </w:pPr>
      <w:r>
        <w:t xml:space="preserve"> Local Governments for Sustainability for the United Nations Environment Programme (UNEP)- Division of Technology, Industry and Economics, Sustainable procurement guidelines for office IT equipment (basic and advanced), 2008.</w:t>
      </w:r>
    </w:p>
    <w:p w14:paraId="07232160" w14:textId="77777777" w:rsidR="00486E44" w:rsidRDefault="00486E44" w:rsidP="00486E44">
      <w:pPr>
        <w:spacing w:before="180" w:after="60" w:line="264" w:lineRule="auto"/>
        <w:ind w:left="360"/>
      </w:pPr>
    </w:p>
    <w:p w14:paraId="69C41CB7" w14:textId="77777777" w:rsidR="00486E44" w:rsidRDefault="00486E44" w:rsidP="00486E44">
      <w:pPr>
        <w:spacing w:before="180" w:after="0" w:line="264" w:lineRule="auto"/>
        <w:ind w:left="360"/>
      </w:pPr>
    </w:p>
    <w:p w14:paraId="238E8534" w14:textId="77777777" w:rsidR="00486E44" w:rsidRDefault="00486E44" w:rsidP="00486E44"/>
    <w:p w14:paraId="1BAC09F9" w14:textId="15440DAE" w:rsidR="007E6504" w:rsidRPr="007E6504" w:rsidRDefault="007E6504" w:rsidP="00486E44">
      <w:pPr>
        <w:pStyle w:val="Heading1"/>
      </w:pPr>
    </w:p>
    <w:sectPr w:rsidR="007E6504" w:rsidRPr="007E6504" w:rsidSect="00AF090D">
      <w:headerReference w:type="default" r:id="rId13"/>
      <w:footerReference w:type="default" r:id="rId14"/>
      <w:headerReference w:type="first" r:id="rId15"/>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EC55" w14:textId="77777777" w:rsidR="00530DB8" w:rsidRDefault="00530DB8" w:rsidP="00F752DB">
      <w:pPr>
        <w:spacing w:after="0"/>
      </w:pPr>
      <w:r>
        <w:separator/>
      </w:r>
    </w:p>
  </w:endnote>
  <w:endnote w:type="continuationSeparator" w:id="0">
    <w:p w14:paraId="70BB6653" w14:textId="77777777" w:rsidR="00530DB8" w:rsidRDefault="00530DB8"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D03975E"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3AAC" w14:textId="77777777" w:rsidR="00530DB8" w:rsidRDefault="00530DB8" w:rsidP="00F752DB">
      <w:pPr>
        <w:spacing w:after="0"/>
      </w:pPr>
      <w:r>
        <w:separator/>
      </w:r>
    </w:p>
  </w:footnote>
  <w:footnote w:type="continuationSeparator" w:id="0">
    <w:p w14:paraId="24636C49" w14:textId="77777777" w:rsidR="00530DB8" w:rsidRDefault="00530DB8"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53A89053" w:rsidR="00F752DB" w:rsidRPr="00AB0F2F" w:rsidRDefault="00486E44"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Sustainable procurement guide: Business machines</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634"/>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A036FE"/>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A32505"/>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23DC6"/>
    <w:multiLevelType w:val="hybridMultilevel"/>
    <w:tmpl w:val="C05C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B3B5F"/>
    <w:multiLevelType w:val="hybridMultilevel"/>
    <w:tmpl w:val="ED4C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24CC4"/>
    <w:multiLevelType w:val="hybridMultilevel"/>
    <w:tmpl w:val="7E44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C50CC"/>
    <w:multiLevelType w:val="hybridMultilevel"/>
    <w:tmpl w:val="D362F5FC"/>
    <w:lvl w:ilvl="0" w:tplc="919EC362">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1AD64B01"/>
    <w:multiLevelType w:val="hybridMultilevel"/>
    <w:tmpl w:val="4A08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1691B"/>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9B3776"/>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46C09D8"/>
    <w:multiLevelType w:val="hybridMultilevel"/>
    <w:tmpl w:val="B316F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7F3165"/>
    <w:multiLevelType w:val="hybridMultilevel"/>
    <w:tmpl w:val="6A8AC0F2"/>
    <w:lvl w:ilvl="0" w:tplc="919EC362">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DC2DB9"/>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EB3A0C"/>
    <w:multiLevelType w:val="hybridMultilevel"/>
    <w:tmpl w:val="453A2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493C16"/>
    <w:multiLevelType w:val="hybridMultilevel"/>
    <w:tmpl w:val="8EFA8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76728"/>
    <w:multiLevelType w:val="hybridMultilevel"/>
    <w:tmpl w:val="69A0B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31075"/>
    <w:multiLevelType w:val="hybridMultilevel"/>
    <w:tmpl w:val="1722F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18504F"/>
    <w:multiLevelType w:val="hybridMultilevel"/>
    <w:tmpl w:val="4872B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1712F8"/>
    <w:multiLevelType w:val="hybridMultilevel"/>
    <w:tmpl w:val="B704A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3A5912"/>
    <w:multiLevelType w:val="hybridMultilevel"/>
    <w:tmpl w:val="9798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945ECF"/>
    <w:multiLevelType w:val="hybridMultilevel"/>
    <w:tmpl w:val="119038B0"/>
    <w:lvl w:ilvl="0" w:tplc="10A86E10">
      <w:start w:val="1"/>
      <w:numFmt w:val="bullet"/>
      <w:pStyle w:val="Style1"/>
      <w:lvlText w:val=""/>
      <w:lvlJc w:val="left"/>
      <w:pPr>
        <w:ind w:left="1582" w:hanging="360"/>
      </w:pPr>
      <w:rPr>
        <w:rFonts w:ascii="Symbol" w:hAnsi="Symbol" w:hint="default"/>
      </w:rPr>
    </w:lvl>
    <w:lvl w:ilvl="1" w:tplc="FFFFFFFF">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2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F32BF8"/>
    <w:multiLevelType w:val="hybridMultilevel"/>
    <w:tmpl w:val="2B4C5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FC3525"/>
    <w:multiLevelType w:val="hybridMultilevel"/>
    <w:tmpl w:val="FEB89CCA"/>
    <w:lvl w:ilvl="0" w:tplc="919EC362">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0" w15:restartNumberingAfterBreak="0">
    <w:nsid w:val="540A3FF8"/>
    <w:multiLevelType w:val="hybridMultilevel"/>
    <w:tmpl w:val="C08C3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573419"/>
    <w:multiLevelType w:val="hybridMultilevel"/>
    <w:tmpl w:val="A8EE2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4452B"/>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9650D5F"/>
    <w:multiLevelType w:val="hybridMultilevel"/>
    <w:tmpl w:val="538E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3168B8"/>
    <w:multiLevelType w:val="hybridMultilevel"/>
    <w:tmpl w:val="1FA6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546F40"/>
    <w:multiLevelType w:val="hybridMultilevel"/>
    <w:tmpl w:val="803017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BA2490E"/>
    <w:multiLevelType w:val="hybridMultilevel"/>
    <w:tmpl w:val="CB52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12"/>
  </w:num>
  <w:num w:numId="2" w16cid:durableId="2098823096">
    <w:abstractNumId w:val="20"/>
  </w:num>
  <w:num w:numId="3" w16cid:durableId="213465528">
    <w:abstractNumId w:val="31"/>
  </w:num>
  <w:num w:numId="4" w16cid:durableId="1380545305">
    <w:abstractNumId w:val="38"/>
  </w:num>
  <w:num w:numId="5" w16cid:durableId="1241986595">
    <w:abstractNumId w:val="14"/>
  </w:num>
  <w:num w:numId="6" w16cid:durableId="1657955551">
    <w:abstractNumId w:val="15"/>
  </w:num>
  <w:num w:numId="7" w16cid:durableId="1390375665">
    <w:abstractNumId w:val="22"/>
  </w:num>
  <w:num w:numId="8" w16cid:durableId="512770342">
    <w:abstractNumId w:val="27"/>
  </w:num>
  <w:num w:numId="9" w16cid:durableId="65885117">
    <w:abstractNumId w:val="26"/>
  </w:num>
  <w:num w:numId="10" w16cid:durableId="254436278">
    <w:abstractNumId w:val="16"/>
  </w:num>
  <w:num w:numId="11" w16cid:durableId="1646085307">
    <w:abstractNumId w:val="4"/>
  </w:num>
  <w:num w:numId="12" w16cid:durableId="37049401">
    <w:abstractNumId w:val="2"/>
  </w:num>
  <w:num w:numId="13" w16cid:durableId="1437480627">
    <w:abstractNumId w:val="23"/>
  </w:num>
  <w:num w:numId="14" w16cid:durableId="1309632509">
    <w:abstractNumId w:val="5"/>
  </w:num>
  <w:num w:numId="15" w16cid:durableId="1708678239">
    <w:abstractNumId w:val="0"/>
  </w:num>
  <w:num w:numId="16" w16cid:durableId="970404859">
    <w:abstractNumId w:val="37"/>
  </w:num>
  <w:num w:numId="17" w16cid:durableId="2032411253">
    <w:abstractNumId w:val="1"/>
  </w:num>
  <w:num w:numId="18" w16cid:durableId="1967735815">
    <w:abstractNumId w:val="24"/>
  </w:num>
  <w:num w:numId="19" w16cid:durableId="878009495">
    <w:abstractNumId w:val="10"/>
  </w:num>
  <w:num w:numId="20" w16cid:durableId="1230068569">
    <w:abstractNumId w:val="21"/>
  </w:num>
  <w:num w:numId="21" w16cid:durableId="1021394309">
    <w:abstractNumId w:val="34"/>
  </w:num>
  <w:num w:numId="22" w16cid:durableId="173110358">
    <w:abstractNumId w:val="17"/>
  </w:num>
  <w:num w:numId="23" w16cid:durableId="1386031456">
    <w:abstractNumId w:val="18"/>
  </w:num>
  <w:num w:numId="24" w16cid:durableId="1429617669">
    <w:abstractNumId w:val="13"/>
  </w:num>
  <w:num w:numId="25" w16cid:durableId="1306158890">
    <w:abstractNumId w:val="9"/>
  </w:num>
  <w:num w:numId="26" w16cid:durableId="1224489227">
    <w:abstractNumId w:val="8"/>
  </w:num>
  <w:num w:numId="27" w16cid:durableId="1904220513">
    <w:abstractNumId w:val="33"/>
  </w:num>
  <w:num w:numId="28" w16cid:durableId="1368986282">
    <w:abstractNumId w:val="28"/>
  </w:num>
  <w:num w:numId="29" w16cid:durableId="2097823170">
    <w:abstractNumId w:val="7"/>
  </w:num>
  <w:num w:numId="30" w16cid:durableId="1952349387">
    <w:abstractNumId w:val="25"/>
  </w:num>
  <w:num w:numId="31" w16cid:durableId="287443629">
    <w:abstractNumId w:val="11"/>
  </w:num>
  <w:num w:numId="32" w16cid:durableId="1653483533">
    <w:abstractNumId w:val="30"/>
  </w:num>
  <w:num w:numId="33" w16cid:durableId="640572854">
    <w:abstractNumId w:val="35"/>
  </w:num>
  <w:num w:numId="34" w16cid:durableId="1012147195">
    <w:abstractNumId w:val="29"/>
  </w:num>
  <w:num w:numId="35" w16cid:durableId="1189610361">
    <w:abstractNumId w:val="6"/>
  </w:num>
  <w:num w:numId="36" w16cid:durableId="1813206472">
    <w:abstractNumId w:val="3"/>
  </w:num>
  <w:num w:numId="37" w16cid:durableId="727648148">
    <w:abstractNumId w:val="32"/>
  </w:num>
  <w:num w:numId="38" w16cid:durableId="476067364">
    <w:abstractNumId w:val="36"/>
  </w:num>
  <w:num w:numId="39" w16cid:durableId="155540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4BE1"/>
    <w:rsid w:val="000F6454"/>
    <w:rsid w:val="00104BCB"/>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967A1"/>
    <w:rsid w:val="002D7A1A"/>
    <w:rsid w:val="00381F07"/>
    <w:rsid w:val="003A1CD0"/>
    <w:rsid w:val="003D6913"/>
    <w:rsid w:val="00430856"/>
    <w:rsid w:val="00447E5E"/>
    <w:rsid w:val="00486E44"/>
    <w:rsid w:val="004A0CF6"/>
    <w:rsid w:val="004B2130"/>
    <w:rsid w:val="00514250"/>
    <w:rsid w:val="00530DB8"/>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847102"/>
    <w:rsid w:val="00872A83"/>
    <w:rsid w:val="00880CAD"/>
    <w:rsid w:val="00937196"/>
    <w:rsid w:val="009908A1"/>
    <w:rsid w:val="009C4A6F"/>
    <w:rsid w:val="009F3608"/>
    <w:rsid w:val="00A03BA7"/>
    <w:rsid w:val="00A40C60"/>
    <w:rsid w:val="00AB0F2F"/>
    <w:rsid w:val="00AB1166"/>
    <w:rsid w:val="00AB27C1"/>
    <w:rsid w:val="00AF090D"/>
    <w:rsid w:val="00AF33CA"/>
    <w:rsid w:val="00AF4B5F"/>
    <w:rsid w:val="00B00BA3"/>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 w:val="00FC0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486E44"/>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486E44"/>
    <w:pPr>
      <w:tabs>
        <w:tab w:val="right" w:leader="dot" w:pos="9346"/>
      </w:tabs>
      <w:spacing w:after="100" w:line="260" w:lineRule="exact"/>
    </w:pPr>
  </w:style>
  <w:style w:type="paragraph" w:styleId="TOC2">
    <w:name w:val="toc 2"/>
    <w:basedOn w:val="Normal"/>
    <w:next w:val="Normal"/>
    <w:autoRedefine/>
    <w:uiPriority w:val="39"/>
    <w:unhideWhenUsed/>
    <w:qFormat/>
    <w:rsid w:val="00486E44"/>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486E44"/>
    <w:pPr>
      <w:tabs>
        <w:tab w:val="left" w:pos="1100"/>
        <w:tab w:val="right" w:leader="dot" w:pos="9346"/>
      </w:tabs>
      <w:spacing w:after="100" w:line="260" w:lineRule="exact"/>
      <w:ind w:left="400"/>
    </w:pPr>
  </w:style>
  <w:style w:type="paragraph" w:customStyle="1" w:styleId="Tableheadings">
    <w:name w:val="Table headings"/>
    <w:basedOn w:val="Normal"/>
    <w:uiPriority w:val="99"/>
    <w:rsid w:val="00486E44"/>
    <w:pPr>
      <w:spacing w:after="0" w:line="264" w:lineRule="auto"/>
    </w:pPr>
    <w:rPr>
      <w:rFonts w:eastAsia="Times New Roman" w:cs="Times New Roman"/>
      <w:b/>
      <w:bCs/>
      <w:color w:val="FFFFFF"/>
      <w:sz w:val="24"/>
      <w:szCs w:val="20"/>
    </w:rPr>
  </w:style>
  <w:style w:type="paragraph" w:customStyle="1" w:styleId="Style1">
    <w:name w:val="Style1"/>
    <w:basedOn w:val="IntenseQuote"/>
    <w:link w:val="Style1Char"/>
    <w:qFormat/>
    <w:rsid w:val="00486E44"/>
    <w:pPr>
      <w:numPr>
        <w:numId w:val="9"/>
      </w:numPr>
      <w:pBdr>
        <w:top w:val="none" w:sz="0" w:space="0" w:color="auto"/>
        <w:bottom w:val="none" w:sz="0" w:space="0" w:color="auto"/>
      </w:pBdr>
      <w:spacing w:line="260" w:lineRule="exact"/>
      <w:ind w:right="862"/>
      <w:jc w:val="left"/>
    </w:pPr>
    <w:rPr>
      <w:rFonts w:ascii="Arial" w:hAnsi="Arial"/>
      <w:color w:val="415569"/>
      <w:sz w:val="20"/>
    </w:rPr>
  </w:style>
  <w:style w:type="character" w:customStyle="1" w:styleId="Style1Char">
    <w:name w:val="Style1 Char"/>
    <w:basedOn w:val="IntenseQuoteChar"/>
    <w:link w:val="Style1"/>
    <w:rsid w:val="00486E44"/>
    <w:rPr>
      <w:rFonts w:ascii="Arial" w:hAnsi="Arial"/>
      <w:iCs/>
      <w:color w:val="415569"/>
      <w:sz w:val="20"/>
    </w:rPr>
  </w:style>
  <w:style w:type="paragraph" w:styleId="Revision">
    <w:name w:val="Revision"/>
    <w:hidden/>
    <w:uiPriority w:val="99"/>
    <w:semiHidden/>
    <w:rsid w:val="00486E44"/>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486E44"/>
    <w:rPr>
      <w:sz w:val="16"/>
      <w:szCs w:val="16"/>
    </w:rPr>
  </w:style>
  <w:style w:type="paragraph" w:styleId="CommentText">
    <w:name w:val="annotation text"/>
    <w:basedOn w:val="Normal"/>
    <w:link w:val="CommentTextChar"/>
    <w:uiPriority w:val="99"/>
    <w:unhideWhenUsed/>
    <w:rsid w:val="00486E44"/>
    <w:rPr>
      <w:szCs w:val="20"/>
    </w:rPr>
  </w:style>
  <w:style w:type="character" w:customStyle="1" w:styleId="CommentTextChar">
    <w:name w:val="Comment Text Char"/>
    <w:basedOn w:val="DefaultParagraphFont"/>
    <w:link w:val="CommentText"/>
    <w:uiPriority w:val="99"/>
    <w:rsid w:val="00486E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6E44"/>
    <w:rPr>
      <w:b/>
      <w:bCs/>
    </w:rPr>
  </w:style>
  <w:style w:type="character" w:customStyle="1" w:styleId="CommentSubjectChar">
    <w:name w:val="Comment Subject Char"/>
    <w:basedOn w:val="CommentTextChar"/>
    <w:link w:val="CommentSubject"/>
    <w:uiPriority w:val="99"/>
    <w:semiHidden/>
    <w:rsid w:val="00486E4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terprocurement@hpw.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5E35-A229-49C6-B75E-B27C2ED723D1}">
  <ds:schemaRefs>
    <ds:schemaRef ds:uri="http://schemas.microsoft.com/office/infopath/2007/PartnerControls"/>
    <ds:schemaRef ds:uri="5ec4e1a3-9465-43a5-9858-85b06e73710c"/>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2f64b93e-5338-4201-ad42-2a14a08fead3"/>
    <ds:schemaRef ds:uri="http://www.w3.org/XML/1998/namespace"/>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FBE3BF2B-E6FB-4231-99BE-EFBD06CD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04D55-F09C-4564-A547-F26D60B0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4440</Words>
  <Characters>28816</Characters>
  <Application>Microsoft Office Word</Application>
  <DocSecurity>0</DocSecurity>
  <Lines>423</Lines>
  <Paragraphs>268</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procurement guide: Business machines</dc:title>
  <dc:subject/>
  <dc:creator>Queensland Government</dc:creator>
  <cp:keywords>A4, portrait, template, cover, document</cp:keywords>
  <dc:description/>
  <cp:lastModifiedBy>Diana Chalmers</cp:lastModifiedBy>
  <cp:revision>8</cp:revision>
  <cp:lastPrinted>2023-06-07T00:24:00Z</cp:lastPrinted>
  <dcterms:created xsi:type="dcterms:W3CDTF">2025-06-05T04:50:00Z</dcterms:created>
  <dcterms:modified xsi:type="dcterms:W3CDTF">2025-09-02T22:23:00Z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