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56FB6" w14:textId="1726930E" w:rsidR="00701011" w:rsidRDefault="00701011" w:rsidP="000140F8">
      <w:pPr>
        <w:pStyle w:val="Title"/>
      </w:pPr>
    </w:p>
    <w:p w14:paraId="19E8F2D1" w14:textId="77777777" w:rsidR="00701011" w:rsidRDefault="00701011" w:rsidP="000140F8">
      <w:pPr>
        <w:pStyle w:val="Title"/>
      </w:pPr>
    </w:p>
    <w:p w14:paraId="117AEE9A" w14:textId="77777777" w:rsidR="00DB5E09" w:rsidRDefault="00DB5E09" w:rsidP="00DB5E09"/>
    <w:p w14:paraId="56A44A17" w14:textId="77777777" w:rsidR="00DB5E09" w:rsidRPr="00DB5E09" w:rsidRDefault="00DB5E09" w:rsidP="00DB5E09"/>
    <w:p w14:paraId="10C2A9D0" w14:textId="77777777" w:rsidR="00704279" w:rsidRPr="00704279" w:rsidRDefault="00704279" w:rsidP="00704279"/>
    <w:p w14:paraId="05AB4F0D" w14:textId="0E2485FE" w:rsidR="00AF090D" w:rsidRPr="005C5212" w:rsidRDefault="005C5212" w:rsidP="005C5212">
      <w:pPr>
        <w:pStyle w:val="Title"/>
        <w:rPr>
          <w:rStyle w:val="SubtleEmphasis"/>
          <w:rFonts w:ascii="Arial Nova" w:hAnsi="Arial Nova"/>
          <w:b w:val="0"/>
          <w:bCs/>
          <w:i w:val="0"/>
          <w:iCs w:val="0"/>
          <w:color w:val="FFFFFF" w:themeColor="background1"/>
          <w:sz w:val="56"/>
        </w:rPr>
      </w:pPr>
      <w:r>
        <w:rPr>
          <w:rFonts w:ascii="Arial Nova" w:hAnsi="Arial Nova"/>
          <w:bCs/>
        </w:rPr>
        <w:t>Sustainable procurement guide: Information communication and technology products</w:t>
      </w:r>
    </w:p>
    <w:p w14:paraId="773B4996" w14:textId="7F729D7A" w:rsidR="00AF090D" w:rsidRDefault="00AF090D" w:rsidP="00F905BC">
      <w:pPr>
        <w:ind w:left="851"/>
        <w:rPr>
          <w:rStyle w:val="SubtleEmphasis"/>
        </w:rPr>
      </w:pPr>
    </w:p>
    <w:p w14:paraId="15EE3219" w14:textId="44CF2A73" w:rsidR="00AF090D" w:rsidRDefault="00AF090D" w:rsidP="00F905BC">
      <w:pPr>
        <w:ind w:left="851"/>
        <w:rPr>
          <w:rStyle w:val="SubtleEmphasis"/>
        </w:rPr>
      </w:pPr>
    </w:p>
    <w:p w14:paraId="62B1A47A" w14:textId="570F3B46" w:rsidR="00F752DB" w:rsidRDefault="00F752DB" w:rsidP="009C4A6F">
      <w:pPr>
        <w:rPr>
          <w:rStyle w:val="SubtleEmphasis"/>
        </w:rPr>
      </w:pPr>
    </w:p>
    <w:p w14:paraId="0B2AB246" w14:textId="0005CF39" w:rsidR="009C4A6F" w:rsidRDefault="009C4A6F">
      <w:pPr>
        <w:spacing w:line="259" w:lineRule="auto"/>
        <w:rPr>
          <w:rStyle w:val="SubtleEmphasis"/>
        </w:rPr>
      </w:pPr>
      <w:r>
        <w:rPr>
          <w:rStyle w:val="SubtleEmphasis"/>
        </w:rPr>
        <w:br w:type="page"/>
      </w:r>
    </w:p>
    <w:p w14:paraId="79939D46" w14:textId="77777777" w:rsidR="005C5212" w:rsidRDefault="005C5212" w:rsidP="005C5212">
      <w:pPr>
        <w:ind w:left="360"/>
        <w:rPr>
          <w:b/>
          <w:i/>
          <w:sz w:val="18"/>
        </w:rPr>
      </w:pPr>
    </w:p>
    <w:p w14:paraId="2F057001" w14:textId="77777777" w:rsidR="005C5212" w:rsidRDefault="005C5212" w:rsidP="005C5212">
      <w:pPr>
        <w:ind w:left="360"/>
        <w:rPr>
          <w:b/>
          <w:i/>
          <w:sz w:val="18"/>
        </w:rPr>
      </w:pPr>
    </w:p>
    <w:p w14:paraId="7EA6ADA7" w14:textId="77777777" w:rsidR="005C5212" w:rsidRDefault="005C5212" w:rsidP="005C5212">
      <w:pPr>
        <w:ind w:left="360"/>
        <w:rPr>
          <w:b/>
          <w:i/>
          <w:sz w:val="18"/>
        </w:rPr>
      </w:pPr>
    </w:p>
    <w:p w14:paraId="5B60D0F5" w14:textId="77777777" w:rsidR="005C5212" w:rsidRDefault="005C5212" w:rsidP="005C5212">
      <w:pPr>
        <w:ind w:left="360"/>
        <w:rPr>
          <w:b/>
          <w:i/>
          <w:sz w:val="18"/>
        </w:rPr>
      </w:pPr>
    </w:p>
    <w:p w14:paraId="2C3D396C" w14:textId="77777777" w:rsidR="005C5212" w:rsidRDefault="005C5212" w:rsidP="005C5212">
      <w:pPr>
        <w:ind w:left="360"/>
        <w:rPr>
          <w:b/>
          <w:i/>
          <w:sz w:val="18"/>
        </w:rPr>
      </w:pPr>
    </w:p>
    <w:p w14:paraId="43D0A5B9" w14:textId="77777777" w:rsidR="005C5212" w:rsidRDefault="005C5212" w:rsidP="005C5212">
      <w:pPr>
        <w:ind w:left="360"/>
        <w:rPr>
          <w:b/>
          <w:i/>
          <w:sz w:val="18"/>
        </w:rPr>
      </w:pPr>
    </w:p>
    <w:p w14:paraId="36727A9B" w14:textId="77777777" w:rsidR="005C5212" w:rsidRDefault="005C5212" w:rsidP="005C5212">
      <w:pPr>
        <w:ind w:left="360"/>
        <w:rPr>
          <w:b/>
          <w:i/>
          <w:sz w:val="18"/>
        </w:rPr>
      </w:pPr>
    </w:p>
    <w:p w14:paraId="60D66253" w14:textId="77777777" w:rsidR="005C5212" w:rsidRDefault="005C5212" w:rsidP="005C5212">
      <w:pPr>
        <w:ind w:left="360"/>
        <w:rPr>
          <w:b/>
          <w:i/>
          <w:sz w:val="18"/>
        </w:rPr>
      </w:pPr>
    </w:p>
    <w:p w14:paraId="23E7B64A" w14:textId="77777777" w:rsidR="005C5212" w:rsidRDefault="005C5212" w:rsidP="005C5212">
      <w:pPr>
        <w:rPr>
          <w:b/>
          <w:i/>
          <w:sz w:val="18"/>
        </w:rPr>
      </w:pPr>
    </w:p>
    <w:p w14:paraId="0B48F001" w14:textId="77777777" w:rsidR="005C5212" w:rsidRDefault="005C5212" w:rsidP="005C5212">
      <w:pPr>
        <w:ind w:left="360"/>
        <w:rPr>
          <w:b/>
          <w:i/>
          <w:sz w:val="18"/>
        </w:rPr>
      </w:pPr>
    </w:p>
    <w:p w14:paraId="082C15E8" w14:textId="77777777" w:rsidR="005C5212" w:rsidRDefault="005C5212" w:rsidP="005C5212">
      <w:pPr>
        <w:ind w:left="360"/>
        <w:rPr>
          <w:b/>
          <w:i/>
          <w:sz w:val="18"/>
        </w:rPr>
      </w:pPr>
    </w:p>
    <w:p w14:paraId="1E5119F5" w14:textId="77777777" w:rsidR="005C5212" w:rsidRPr="00385067" w:rsidRDefault="005C5212" w:rsidP="005C5212">
      <w:pPr>
        <w:rPr>
          <w:b/>
          <w:i/>
          <w:sz w:val="18"/>
        </w:rPr>
      </w:pPr>
      <w:r>
        <w:rPr>
          <w:b/>
          <w:i/>
          <w:sz w:val="18"/>
        </w:rPr>
        <w:t>Sustainable procurement guide: Information communication and technology products</w:t>
      </w:r>
    </w:p>
    <w:tbl>
      <w:tblPr>
        <w:tblStyle w:val="TableGrid"/>
        <w:tblW w:w="9069"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794"/>
        <w:gridCol w:w="2172"/>
        <w:gridCol w:w="5103"/>
      </w:tblGrid>
      <w:tr w:rsidR="005C5212" w14:paraId="14CD08FD" w14:textId="77777777" w:rsidTr="004B058E">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285D9A15" w14:textId="77777777" w:rsidR="005C5212" w:rsidRDefault="005C5212" w:rsidP="004B058E">
            <w:pPr>
              <w:jc w:val="center"/>
              <w:rPr>
                <w:rFonts w:cs="Arial"/>
                <w:b/>
                <w:bCs/>
              </w:rPr>
            </w:pPr>
            <w:bookmarkStart w:id="0" w:name="_Hlk170226698"/>
            <w:r>
              <w:rPr>
                <w:rFonts w:cs="Arial"/>
                <w:b/>
                <w:bCs/>
                <w:color w:val="FFFFFF" w:themeColor="background1"/>
              </w:rPr>
              <w:t>Version</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29ECD572" w14:textId="77777777" w:rsidR="005C5212" w:rsidRDefault="005C5212" w:rsidP="004B058E">
            <w:pPr>
              <w:jc w:val="center"/>
              <w:rPr>
                <w:rFonts w:cs="Arial"/>
              </w:rPr>
            </w:pPr>
            <w:r>
              <w:rPr>
                <w:rFonts w:cs="Arial"/>
                <w:b/>
                <w:bCs/>
                <w:color w:val="FFFFFF" w:themeColor="background1"/>
              </w:rPr>
              <w:t>Date</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7DC54AA1" w14:textId="77777777" w:rsidR="005C5212" w:rsidRDefault="005C5212" w:rsidP="004B058E">
            <w:pPr>
              <w:jc w:val="center"/>
              <w:rPr>
                <w:rFonts w:cs="Arial"/>
              </w:rPr>
            </w:pPr>
            <w:r>
              <w:rPr>
                <w:rFonts w:cs="Arial"/>
                <w:b/>
                <w:bCs/>
                <w:color w:val="FFFFFF" w:themeColor="background1"/>
              </w:rPr>
              <w:t>Comments</w:t>
            </w:r>
          </w:p>
        </w:tc>
      </w:tr>
      <w:tr w:rsidR="005C5212" w:rsidRPr="00986344" w14:paraId="0E7BB367" w14:textId="77777777" w:rsidTr="004B058E">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18DE8730" w14:textId="77777777" w:rsidR="005C5212" w:rsidRPr="00CF48F4" w:rsidRDefault="005C5212" w:rsidP="004B058E">
            <w:pPr>
              <w:rPr>
                <w:rFonts w:cs="Arial"/>
                <w:sz w:val="16"/>
                <w:szCs w:val="16"/>
              </w:rPr>
            </w:pPr>
            <w:r>
              <w:rPr>
                <w:rFonts w:cs="Arial"/>
                <w:sz w:val="16"/>
                <w:szCs w:val="16"/>
              </w:rPr>
              <w:t>v1.3</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2BF4F589" w14:textId="77777777" w:rsidR="005C5212" w:rsidRPr="00CF48F4" w:rsidRDefault="005C5212" w:rsidP="004B058E">
            <w:pPr>
              <w:rPr>
                <w:rFonts w:cs="Arial"/>
                <w:sz w:val="16"/>
                <w:szCs w:val="16"/>
              </w:rPr>
            </w:pPr>
            <w:r>
              <w:rPr>
                <w:rFonts w:cs="Arial"/>
                <w:sz w:val="16"/>
                <w:szCs w:val="16"/>
              </w:rPr>
              <w:t>November 2018</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6F7C4BFA" w14:textId="77777777" w:rsidR="005C5212" w:rsidRPr="00CF48F4" w:rsidRDefault="005C5212" w:rsidP="004B058E">
            <w:pPr>
              <w:rPr>
                <w:rFonts w:cs="Arial"/>
                <w:sz w:val="16"/>
                <w:szCs w:val="16"/>
              </w:rPr>
            </w:pPr>
            <w:r>
              <w:rPr>
                <w:rFonts w:cs="Arial"/>
                <w:sz w:val="16"/>
                <w:szCs w:val="16"/>
              </w:rPr>
              <w:t>Published</w:t>
            </w:r>
          </w:p>
        </w:tc>
      </w:tr>
      <w:tr w:rsidR="005C5212" w14:paraId="4351DA3B" w14:textId="77777777" w:rsidTr="004B058E">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3A9E3A61" w14:textId="77777777" w:rsidR="005C5212" w:rsidRPr="006B61ED" w:rsidRDefault="005C5212" w:rsidP="004B058E">
            <w:pPr>
              <w:rPr>
                <w:rFonts w:cs="Arial"/>
                <w:sz w:val="16"/>
                <w:szCs w:val="16"/>
              </w:rPr>
            </w:pPr>
            <w:r>
              <w:rPr>
                <w:rFonts w:cs="Arial"/>
                <w:sz w:val="16"/>
                <w:szCs w:val="16"/>
              </w:rPr>
              <w:t>v1.4</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63326B69" w14:textId="77777777" w:rsidR="005C5212" w:rsidRDefault="005C5212" w:rsidP="004B058E">
            <w:pPr>
              <w:rPr>
                <w:rFonts w:cs="Arial"/>
                <w:sz w:val="16"/>
                <w:szCs w:val="16"/>
              </w:rPr>
            </w:pPr>
            <w:r>
              <w:rPr>
                <w:rFonts w:cs="Arial"/>
                <w:sz w:val="16"/>
                <w:szCs w:val="16"/>
              </w:rPr>
              <w:t>July 2025</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204F829F" w14:textId="77777777" w:rsidR="005C5212" w:rsidRDefault="005C5212" w:rsidP="004B058E">
            <w:pPr>
              <w:rPr>
                <w:rFonts w:cs="Arial"/>
                <w:sz w:val="16"/>
                <w:szCs w:val="16"/>
              </w:rPr>
            </w:pPr>
            <w:r>
              <w:rPr>
                <w:rFonts w:cs="Arial"/>
                <w:sz w:val="16"/>
                <w:szCs w:val="16"/>
              </w:rPr>
              <w:t>Minor updates made – highlights:</w:t>
            </w:r>
          </w:p>
          <w:p w14:paraId="2552E1AF" w14:textId="77777777" w:rsidR="005C5212" w:rsidRDefault="005C5212" w:rsidP="004B058E">
            <w:pPr>
              <w:pStyle w:val="ListParagraph"/>
              <w:numPr>
                <w:ilvl w:val="0"/>
                <w:numId w:val="31"/>
              </w:numPr>
              <w:spacing w:after="0"/>
              <w:rPr>
                <w:rFonts w:cs="Arial"/>
                <w:sz w:val="16"/>
                <w:szCs w:val="16"/>
              </w:rPr>
            </w:pPr>
            <w:r>
              <w:rPr>
                <w:rFonts w:cs="Arial"/>
                <w:sz w:val="16"/>
                <w:szCs w:val="16"/>
              </w:rPr>
              <w:t>DHPW corporate branding</w:t>
            </w:r>
          </w:p>
          <w:p w14:paraId="77A8BAD5" w14:textId="77777777" w:rsidR="005C5212" w:rsidRDefault="005C5212" w:rsidP="004B058E">
            <w:pPr>
              <w:pStyle w:val="ListParagraph"/>
              <w:numPr>
                <w:ilvl w:val="0"/>
                <w:numId w:val="31"/>
              </w:numPr>
              <w:spacing w:after="0"/>
              <w:rPr>
                <w:rFonts w:cs="Arial"/>
                <w:sz w:val="16"/>
                <w:szCs w:val="16"/>
              </w:rPr>
            </w:pPr>
            <w:r>
              <w:rPr>
                <w:rFonts w:cs="Arial"/>
                <w:sz w:val="16"/>
                <w:szCs w:val="16"/>
              </w:rPr>
              <w:t>Machinery-of-government changes</w:t>
            </w:r>
          </w:p>
          <w:p w14:paraId="1F14696E" w14:textId="77777777" w:rsidR="005C5212" w:rsidRDefault="005C5212" w:rsidP="004B058E">
            <w:pPr>
              <w:pStyle w:val="ListParagraph"/>
              <w:numPr>
                <w:ilvl w:val="0"/>
                <w:numId w:val="31"/>
              </w:numPr>
              <w:spacing w:after="0"/>
              <w:rPr>
                <w:rFonts w:cs="Arial"/>
                <w:sz w:val="16"/>
                <w:szCs w:val="16"/>
              </w:rPr>
            </w:pPr>
            <w:r>
              <w:rPr>
                <w:rFonts w:cs="Arial"/>
                <w:sz w:val="16"/>
                <w:szCs w:val="16"/>
              </w:rPr>
              <w:t>Hyperlinks verified and updated or removed</w:t>
            </w:r>
          </w:p>
          <w:p w14:paraId="6D1D51BD" w14:textId="77777777" w:rsidR="005C5212" w:rsidRDefault="005C5212" w:rsidP="004B058E">
            <w:pPr>
              <w:pStyle w:val="ListParagraph"/>
              <w:numPr>
                <w:ilvl w:val="0"/>
                <w:numId w:val="31"/>
              </w:numPr>
              <w:spacing w:after="0"/>
              <w:rPr>
                <w:rFonts w:cs="Arial"/>
                <w:sz w:val="16"/>
                <w:szCs w:val="16"/>
              </w:rPr>
            </w:pPr>
            <w:r>
              <w:rPr>
                <w:rFonts w:cs="Arial"/>
                <w:sz w:val="16"/>
                <w:szCs w:val="16"/>
              </w:rPr>
              <w:t>Document date updated</w:t>
            </w:r>
          </w:p>
          <w:p w14:paraId="18D5A305" w14:textId="77777777" w:rsidR="005C5212" w:rsidRDefault="005C5212" w:rsidP="004B058E">
            <w:pPr>
              <w:pStyle w:val="ListParagraph"/>
              <w:numPr>
                <w:ilvl w:val="0"/>
                <w:numId w:val="31"/>
              </w:numPr>
              <w:spacing w:after="0"/>
              <w:rPr>
                <w:rFonts w:cs="Arial"/>
                <w:sz w:val="16"/>
                <w:szCs w:val="16"/>
              </w:rPr>
            </w:pPr>
            <w:r>
              <w:rPr>
                <w:rFonts w:cs="Arial"/>
                <w:sz w:val="16"/>
                <w:szCs w:val="16"/>
              </w:rPr>
              <w:t xml:space="preserve">New </w:t>
            </w:r>
            <w:proofErr w:type="gramStart"/>
            <w:r>
              <w:rPr>
                <w:rFonts w:cs="Arial"/>
                <w:sz w:val="16"/>
                <w:szCs w:val="16"/>
              </w:rPr>
              <w:t>version</w:t>
            </w:r>
            <w:proofErr w:type="gramEnd"/>
            <w:r>
              <w:rPr>
                <w:rFonts w:cs="Arial"/>
                <w:sz w:val="16"/>
                <w:szCs w:val="16"/>
              </w:rPr>
              <w:t xml:space="preserve"> history log and ‘Administration’ section added</w:t>
            </w:r>
          </w:p>
          <w:p w14:paraId="56DBA4E5" w14:textId="77777777" w:rsidR="005C5212" w:rsidRPr="00DE163F" w:rsidRDefault="005C5212" w:rsidP="004B058E">
            <w:pPr>
              <w:pStyle w:val="ListParagraph"/>
              <w:numPr>
                <w:ilvl w:val="0"/>
                <w:numId w:val="31"/>
              </w:numPr>
              <w:spacing w:after="0"/>
              <w:rPr>
                <w:rFonts w:cs="Arial"/>
                <w:sz w:val="16"/>
                <w:szCs w:val="16"/>
              </w:rPr>
            </w:pPr>
            <w:r>
              <w:rPr>
                <w:rFonts w:cs="Arial"/>
                <w:sz w:val="16"/>
                <w:szCs w:val="16"/>
              </w:rPr>
              <w:t>Updated document title</w:t>
            </w:r>
          </w:p>
        </w:tc>
      </w:tr>
      <w:tr w:rsidR="005C5212" w14:paraId="76AC1B95" w14:textId="77777777" w:rsidTr="004B058E">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6F00E7A6" w14:textId="6A898EC8" w:rsidR="005C5212" w:rsidRDefault="005C5212" w:rsidP="005C5212">
            <w:pPr>
              <w:rPr>
                <w:rFonts w:cs="Arial"/>
                <w:sz w:val="16"/>
                <w:szCs w:val="16"/>
              </w:rPr>
            </w:pPr>
            <w:r>
              <w:rPr>
                <w:rFonts w:cs="Arial"/>
                <w:sz w:val="16"/>
                <w:szCs w:val="16"/>
              </w:rPr>
              <w:t>v1.5</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10C3CA63" w14:textId="25AB8DD9" w:rsidR="005C5212" w:rsidRDefault="005C5212" w:rsidP="005C5212">
            <w:pPr>
              <w:rPr>
                <w:rFonts w:cs="Arial"/>
                <w:sz w:val="16"/>
                <w:szCs w:val="16"/>
              </w:rPr>
            </w:pPr>
            <w:r>
              <w:rPr>
                <w:rFonts w:cs="Arial"/>
                <w:sz w:val="16"/>
                <w:szCs w:val="16"/>
              </w:rPr>
              <w:t>August 2025</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4237EDD7" w14:textId="1279A755" w:rsidR="005C5212" w:rsidRDefault="005C5212" w:rsidP="005C5212">
            <w:pPr>
              <w:rPr>
                <w:rFonts w:cs="Arial"/>
                <w:sz w:val="16"/>
                <w:szCs w:val="16"/>
              </w:rPr>
            </w:pPr>
            <w:r w:rsidRPr="005C5212">
              <w:rPr>
                <w:rFonts w:cs="Arial"/>
                <w:sz w:val="16"/>
                <w:szCs w:val="16"/>
              </w:rPr>
              <w:t>Minor updates made - Queensland Government Corporate Branding</w:t>
            </w:r>
          </w:p>
        </w:tc>
      </w:tr>
      <w:bookmarkEnd w:id="0"/>
    </w:tbl>
    <w:p w14:paraId="362DD8A2" w14:textId="77777777" w:rsidR="005C5212" w:rsidRDefault="005C5212" w:rsidP="005C5212">
      <w:pPr>
        <w:rPr>
          <w:b/>
          <w:sz w:val="18"/>
        </w:rPr>
      </w:pPr>
    </w:p>
    <w:p w14:paraId="17DC9878" w14:textId="77777777" w:rsidR="005C5212" w:rsidRPr="0039469C" w:rsidRDefault="005C5212" w:rsidP="005C5212">
      <w:pPr>
        <w:rPr>
          <w:b/>
          <w:sz w:val="18"/>
        </w:rPr>
      </w:pPr>
      <w:r w:rsidRPr="0039469C">
        <w:rPr>
          <w:b/>
          <w:sz w:val="18"/>
        </w:rPr>
        <w:t xml:space="preserve">The State of Queensland (Department of Housing and Public Works) </w:t>
      </w:r>
      <w:r>
        <w:rPr>
          <w:b/>
          <w:sz w:val="18"/>
        </w:rPr>
        <w:t>2025</w:t>
      </w:r>
      <w:r w:rsidRPr="0039469C">
        <w:rPr>
          <w:b/>
          <w:sz w:val="18"/>
        </w:rPr>
        <w:t xml:space="preserve">. </w:t>
      </w:r>
    </w:p>
    <w:p w14:paraId="04D1F05D" w14:textId="77777777" w:rsidR="005C5212" w:rsidRDefault="005C5212" w:rsidP="005C5212">
      <w:pPr>
        <w:rPr>
          <w:sz w:val="18"/>
        </w:rPr>
      </w:pPr>
      <w:r w:rsidRPr="00850C98">
        <w:rPr>
          <w:noProof/>
          <w:sz w:val="18"/>
          <w:lang w:eastAsia="en-AU"/>
        </w:rPr>
        <w:drawing>
          <wp:inline distT="0" distB="0" distL="0" distR="0" wp14:anchorId="4BFEA41D" wp14:editId="02EAD19E">
            <wp:extent cx="828675" cy="276225"/>
            <wp:effectExtent l="0" t="0" r="9525" b="9525"/>
            <wp:docPr id="6" name="Picture 6"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8675" cy="276225"/>
                    </a:xfrm>
                    <a:prstGeom prst="rect">
                      <a:avLst/>
                    </a:prstGeom>
                    <a:noFill/>
                    <a:ln>
                      <a:noFill/>
                    </a:ln>
                  </pic:spPr>
                </pic:pic>
              </a:graphicData>
            </a:graphic>
          </wp:inline>
        </w:drawing>
      </w:r>
    </w:p>
    <w:p w14:paraId="04FEDF2E" w14:textId="2194A6FD" w:rsidR="005C5212" w:rsidRPr="005C5212" w:rsidRDefault="005C5212" w:rsidP="005C5212">
      <w:pPr>
        <w:rPr>
          <w:rStyle w:val="Hyperlink"/>
          <w:sz w:val="18"/>
        </w:rPr>
      </w:pPr>
      <w:r>
        <w:rPr>
          <w:sz w:val="18"/>
        </w:rPr>
        <w:fldChar w:fldCharType="begin"/>
      </w:r>
      <w:r>
        <w:rPr>
          <w:sz w:val="18"/>
        </w:rPr>
        <w:instrText>HYPERLINK "http://creativecommons.org/licenses/by/4.0/deed.en"</w:instrText>
      </w:r>
      <w:r>
        <w:rPr>
          <w:sz w:val="18"/>
        </w:rPr>
      </w:r>
      <w:r>
        <w:rPr>
          <w:sz w:val="18"/>
        </w:rPr>
        <w:fldChar w:fldCharType="separate"/>
      </w:r>
      <w:r w:rsidRPr="005C5212">
        <w:rPr>
          <w:rStyle w:val="Hyperlink"/>
          <w:sz w:val="18"/>
        </w:rPr>
        <w:t xml:space="preserve">http://creativecommons.org/licenses/by/4.0/deed.en </w:t>
      </w:r>
    </w:p>
    <w:p w14:paraId="40C48E73" w14:textId="671606AA" w:rsidR="005C5212" w:rsidRPr="0039469C" w:rsidRDefault="005C5212" w:rsidP="005C5212">
      <w:pPr>
        <w:rPr>
          <w:sz w:val="18"/>
        </w:rPr>
      </w:pPr>
      <w:r>
        <w:rPr>
          <w:sz w:val="18"/>
        </w:rPr>
        <w:fldChar w:fldCharType="end"/>
      </w:r>
      <w:r w:rsidRPr="0039469C">
        <w:rPr>
          <w:sz w:val="18"/>
        </w:rPr>
        <w:t xml:space="preserve">This work is licensed under a Creative Commons Attribution 4.0 Australia Licence. You are free to copy, communicate and adapt this work, </w:t>
      </w:r>
      <w:proofErr w:type="gramStart"/>
      <w:r w:rsidRPr="0039469C">
        <w:rPr>
          <w:sz w:val="18"/>
        </w:rPr>
        <w:t>as long as</w:t>
      </w:r>
      <w:proofErr w:type="gramEnd"/>
      <w:r w:rsidRPr="0039469C">
        <w:rPr>
          <w:sz w:val="18"/>
        </w:rPr>
        <w:t xml:space="preserve"> you attribute by citing ‘</w:t>
      </w:r>
      <w:r>
        <w:rPr>
          <w:sz w:val="18"/>
        </w:rPr>
        <w:t>Sustainable procurement guide: Information communication and technology products</w:t>
      </w:r>
      <w:r w:rsidRPr="0039469C">
        <w:rPr>
          <w:sz w:val="18"/>
        </w:rPr>
        <w:t xml:space="preserve">, State of Queensland (Department of Housing and Public Works) </w:t>
      </w:r>
      <w:r>
        <w:rPr>
          <w:sz w:val="18"/>
        </w:rPr>
        <w:t>2025</w:t>
      </w:r>
      <w:r w:rsidRPr="0039469C">
        <w:rPr>
          <w:sz w:val="18"/>
        </w:rPr>
        <w:t xml:space="preserve">’. </w:t>
      </w:r>
    </w:p>
    <w:p w14:paraId="4F99A818" w14:textId="77777777" w:rsidR="005C5212" w:rsidRPr="0039469C" w:rsidRDefault="005C5212" w:rsidP="005C5212">
      <w:pPr>
        <w:rPr>
          <w:b/>
          <w:sz w:val="18"/>
        </w:rPr>
      </w:pPr>
      <w:r w:rsidRPr="0039469C">
        <w:rPr>
          <w:b/>
          <w:sz w:val="18"/>
        </w:rPr>
        <w:t xml:space="preserve">Contact us </w:t>
      </w:r>
    </w:p>
    <w:p w14:paraId="54D28426" w14:textId="51145D88" w:rsidR="005C5212" w:rsidRPr="0039469C" w:rsidRDefault="005C5212" w:rsidP="005C5212">
      <w:pPr>
        <w:rPr>
          <w:sz w:val="18"/>
        </w:rPr>
      </w:pPr>
      <w:r w:rsidRPr="0039469C">
        <w:rPr>
          <w:sz w:val="18"/>
        </w:rPr>
        <w:t xml:space="preserve">We are committed to continuous improvement. If you have any suggestions about how we can improve this </w:t>
      </w:r>
      <w:r>
        <w:rPr>
          <w:sz w:val="18"/>
        </w:rPr>
        <w:t>document</w:t>
      </w:r>
      <w:r w:rsidRPr="0039469C">
        <w:rPr>
          <w:sz w:val="18"/>
        </w:rPr>
        <w:t xml:space="preserve">, or if you have any questions, contact us at </w:t>
      </w:r>
      <w:hyperlink r:id="rId11" w:history="1">
        <w:r w:rsidRPr="00690537">
          <w:rPr>
            <w:rStyle w:val="Hyperlink"/>
            <w:sz w:val="18"/>
          </w:rPr>
          <w:t>betterprocurement@hpw.qld.gov.au.</w:t>
        </w:r>
      </w:hyperlink>
      <w:r w:rsidRPr="0039469C">
        <w:rPr>
          <w:sz w:val="18"/>
        </w:rPr>
        <w:t xml:space="preserve"> </w:t>
      </w:r>
    </w:p>
    <w:p w14:paraId="2B248112" w14:textId="77777777" w:rsidR="005C5212" w:rsidRPr="0039469C" w:rsidRDefault="005C5212" w:rsidP="005C5212">
      <w:pPr>
        <w:rPr>
          <w:b/>
          <w:sz w:val="18"/>
        </w:rPr>
      </w:pPr>
      <w:r w:rsidRPr="0039469C">
        <w:rPr>
          <w:b/>
          <w:sz w:val="18"/>
        </w:rPr>
        <w:t xml:space="preserve">Disclaimer </w:t>
      </w:r>
    </w:p>
    <w:p w14:paraId="32784C28" w14:textId="77777777" w:rsidR="005C5212" w:rsidRPr="0039469C" w:rsidRDefault="005C5212" w:rsidP="005C5212">
      <w:pPr>
        <w:rPr>
          <w:sz w:val="18"/>
        </w:rPr>
      </w:pPr>
      <w:r w:rsidRPr="0039469C">
        <w:rPr>
          <w:sz w:val="18"/>
        </w:rPr>
        <w:t xml:space="preserve">This document is intended as a guide only for the internal use and benefit of government agencies. It may not be relied on by any other party. It should be read in conjunction with the Queensland Procurement Policy, your agency’s procurement policies and procedures, and any other relevant documents. </w:t>
      </w:r>
    </w:p>
    <w:p w14:paraId="4C0E7259" w14:textId="77777777" w:rsidR="005C5212" w:rsidRDefault="005C5212" w:rsidP="005C5212">
      <w:pPr>
        <w:rPr>
          <w:sz w:val="18"/>
        </w:rPr>
      </w:pPr>
      <w:r w:rsidRPr="0039469C">
        <w:rPr>
          <w:sz w:val="18"/>
        </w:rPr>
        <w:t>The Department of Housing and Public Works disclaim</w:t>
      </w:r>
      <w:r>
        <w:rPr>
          <w:sz w:val="18"/>
        </w:rPr>
        <w:t>s</w:t>
      </w:r>
      <w:r w:rsidRPr="0039469C">
        <w:rPr>
          <w:sz w:val="18"/>
        </w:rPr>
        <w:t xml:space="preserve"> all liability that may arise from the use of this document. This </w:t>
      </w:r>
      <w:r>
        <w:rPr>
          <w:sz w:val="18"/>
        </w:rPr>
        <w:t>document</w:t>
      </w:r>
      <w:r w:rsidRPr="0039469C">
        <w:rPr>
          <w:sz w:val="18"/>
        </w:rPr>
        <w:t xml:space="preserve"> should not be used as a substitute for obtaining appropriate probity and legal advice as may be required. In preparing this document, reasonable efforts have been made to use accurate and current information. It should be noted that information may have changed since the publication of this document. Where errors or inaccuracies are brought to attention a reasonable effort will be made to correct them.</w:t>
      </w:r>
    </w:p>
    <w:p w14:paraId="614595AC" w14:textId="77777777" w:rsidR="005C5212" w:rsidRPr="00F471EC" w:rsidRDefault="005C5212" w:rsidP="005C5212">
      <w:pPr>
        <w:rPr>
          <w:b/>
          <w:bCs/>
          <w:sz w:val="18"/>
        </w:rPr>
      </w:pPr>
      <w:r w:rsidRPr="00F471EC">
        <w:rPr>
          <w:b/>
          <w:bCs/>
          <w:sz w:val="18"/>
        </w:rPr>
        <w:t>Administration</w:t>
      </w:r>
    </w:p>
    <w:p w14:paraId="458BE36A" w14:textId="77A094A8" w:rsidR="005C5212" w:rsidRDefault="005C5212" w:rsidP="005C5212">
      <w:r>
        <w:rPr>
          <w:sz w:val="18"/>
        </w:rPr>
        <w:t>Version 1.5 of this document replaces all previous versions of this document and takes effect immediately.</w:t>
      </w:r>
    </w:p>
    <w:p w14:paraId="22A043FC" w14:textId="77777777" w:rsidR="005C5212" w:rsidRDefault="005C5212" w:rsidP="005C5212">
      <w:pPr>
        <w:ind w:left="360"/>
        <w:rPr>
          <w:sz w:val="18"/>
        </w:rPr>
      </w:pPr>
    </w:p>
    <w:p w14:paraId="795CD24A" w14:textId="77777777" w:rsidR="005C5212" w:rsidRDefault="005C5212" w:rsidP="005C5212">
      <w:pPr>
        <w:spacing w:after="0"/>
        <w:rPr>
          <w:sz w:val="18"/>
        </w:rPr>
      </w:pPr>
      <w:r>
        <w:rPr>
          <w:sz w:val="18"/>
        </w:rPr>
        <w:br w:type="page"/>
      </w:r>
    </w:p>
    <w:sdt>
      <w:sdtPr>
        <w:rPr>
          <w:rFonts w:ascii="Arial" w:eastAsiaTheme="minorEastAsia" w:hAnsi="Arial" w:cstheme="minorBidi"/>
          <w:b/>
          <w:bCs/>
          <w:color w:val="auto"/>
          <w:sz w:val="22"/>
          <w:szCs w:val="22"/>
          <w:lang w:val="en-AU"/>
        </w:rPr>
        <w:id w:val="1307663630"/>
        <w:docPartObj>
          <w:docPartGallery w:val="Table of Contents"/>
          <w:docPartUnique/>
        </w:docPartObj>
      </w:sdtPr>
      <w:sdtEndPr>
        <w:rPr>
          <w:b w:val="0"/>
          <w:bCs w:val="0"/>
          <w:noProof/>
          <w:sz w:val="20"/>
          <w:szCs w:val="20"/>
        </w:rPr>
      </w:sdtEndPr>
      <w:sdtContent>
        <w:p w14:paraId="78FC667A" w14:textId="77777777" w:rsidR="005C5212" w:rsidRPr="007C557F" w:rsidRDefault="005C5212" w:rsidP="005C5212">
          <w:pPr>
            <w:pStyle w:val="TOCHeading"/>
            <w:rPr>
              <w:rStyle w:val="Heading1Char"/>
            </w:rPr>
          </w:pPr>
          <w:r w:rsidRPr="007C557F">
            <w:rPr>
              <w:rStyle w:val="Heading1Char"/>
            </w:rPr>
            <w:t>Table of Contents</w:t>
          </w:r>
        </w:p>
        <w:p w14:paraId="05F4516E" w14:textId="075AF6A7" w:rsidR="005C5212" w:rsidRDefault="005C5212" w:rsidP="005C5212">
          <w:pPr>
            <w:pStyle w:val="TOC1"/>
            <w:rPr>
              <w:rFonts w:asciiTheme="minorHAnsi" w:eastAsiaTheme="minorEastAsia" w:hAnsiTheme="minorHAnsi"/>
              <w:noProof/>
              <w:kern w:val="2"/>
              <w:sz w:val="24"/>
              <w:szCs w:val="24"/>
              <w:lang w:eastAsia="en-AU"/>
              <w14:ligatures w14:val="standardContextual"/>
            </w:rPr>
          </w:pPr>
          <w:r>
            <w:rPr>
              <w:rFonts w:cs="Arial"/>
              <w:color w:val="A70236"/>
              <w:szCs w:val="20"/>
              <w:lang w:eastAsia="en-AU"/>
            </w:rPr>
            <w:fldChar w:fldCharType="begin"/>
          </w:r>
          <w:r>
            <w:instrText xml:space="preserve"> TOC \o "1-3" \h \z \u </w:instrText>
          </w:r>
          <w:r>
            <w:rPr>
              <w:rFonts w:cs="Arial"/>
              <w:color w:val="A70236"/>
              <w:szCs w:val="20"/>
              <w:lang w:eastAsia="en-AU"/>
            </w:rPr>
            <w:fldChar w:fldCharType="separate"/>
          </w:r>
          <w:hyperlink w:anchor="_Toc203375946" w:history="1">
            <w:r w:rsidRPr="00902BBE">
              <w:rPr>
                <w:rStyle w:val="Hyperlink"/>
                <w:noProof/>
              </w:rPr>
              <w:t>Purpose</w:t>
            </w:r>
            <w:r>
              <w:rPr>
                <w:noProof/>
                <w:webHidden/>
              </w:rPr>
              <w:tab/>
            </w:r>
            <w:r>
              <w:rPr>
                <w:noProof/>
                <w:webHidden/>
              </w:rPr>
              <w:fldChar w:fldCharType="begin"/>
            </w:r>
            <w:r>
              <w:rPr>
                <w:noProof/>
                <w:webHidden/>
              </w:rPr>
              <w:instrText xml:space="preserve"> PAGEREF _Toc203375946 \h </w:instrText>
            </w:r>
            <w:r>
              <w:rPr>
                <w:noProof/>
                <w:webHidden/>
              </w:rPr>
            </w:r>
            <w:r>
              <w:rPr>
                <w:noProof/>
                <w:webHidden/>
              </w:rPr>
              <w:fldChar w:fldCharType="separate"/>
            </w:r>
            <w:r>
              <w:rPr>
                <w:noProof/>
                <w:webHidden/>
              </w:rPr>
              <w:t>4</w:t>
            </w:r>
            <w:r>
              <w:rPr>
                <w:noProof/>
                <w:webHidden/>
              </w:rPr>
              <w:fldChar w:fldCharType="end"/>
            </w:r>
          </w:hyperlink>
        </w:p>
        <w:p w14:paraId="08E4AD39" w14:textId="45A88333" w:rsidR="005C5212" w:rsidRDefault="005C5212" w:rsidP="005C5212">
          <w:pPr>
            <w:pStyle w:val="TOC2"/>
            <w:rPr>
              <w:rFonts w:asciiTheme="minorHAnsi" w:eastAsiaTheme="minorEastAsia" w:hAnsiTheme="minorHAnsi"/>
              <w:noProof/>
              <w:kern w:val="2"/>
              <w:sz w:val="24"/>
              <w:szCs w:val="24"/>
              <w:lang w:eastAsia="en-AU"/>
              <w14:ligatures w14:val="standardContextual"/>
            </w:rPr>
          </w:pPr>
          <w:hyperlink w:anchor="_Toc203375947" w:history="1">
            <w:r w:rsidRPr="00902BBE">
              <w:rPr>
                <w:rStyle w:val="Hyperlink"/>
                <w:noProof/>
              </w:rPr>
              <w:t>Target audience</w:t>
            </w:r>
            <w:r>
              <w:rPr>
                <w:noProof/>
                <w:webHidden/>
              </w:rPr>
              <w:tab/>
            </w:r>
            <w:r>
              <w:rPr>
                <w:noProof/>
                <w:webHidden/>
              </w:rPr>
              <w:fldChar w:fldCharType="begin"/>
            </w:r>
            <w:r>
              <w:rPr>
                <w:noProof/>
                <w:webHidden/>
              </w:rPr>
              <w:instrText xml:space="preserve"> PAGEREF _Toc203375947 \h </w:instrText>
            </w:r>
            <w:r>
              <w:rPr>
                <w:noProof/>
                <w:webHidden/>
              </w:rPr>
            </w:r>
            <w:r>
              <w:rPr>
                <w:noProof/>
                <w:webHidden/>
              </w:rPr>
              <w:fldChar w:fldCharType="separate"/>
            </w:r>
            <w:r>
              <w:rPr>
                <w:noProof/>
                <w:webHidden/>
              </w:rPr>
              <w:t>4</w:t>
            </w:r>
            <w:r>
              <w:rPr>
                <w:noProof/>
                <w:webHidden/>
              </w:rPr>
              <w:fldChar w:fldCharType="end"/>
            </w:r>
          </w:hyperlink>
        </w:p>
        <w:p w14:paraId="47D62964" w14:textId="6C000DC5" w:rsidR="005C5212" w:rsidRDefault="005C5212" w:rsidP="005C5212">
          <w:pPr>
            <w:pStyle w:val="TOC2"/>
            <w:rPr>
              <w:rFonts w:asciiTheme="minorHAnsi" w:eastAsiaTheme="minorEastAsia" w:hAnsiTheme="minorHAnsi"/>
              <w:noProof/>
              <w:kern w:val="2"/>
              <w:sz w:val="24"/>
              <w:szCs w:val="24"/>
              <w:lang w:eastAsia="en-AU"/>
              <w14:ligatures w14:val="standardContextual"/>
            </w:rPr>
          </w:pPr>
          <w:hyperlink w:anchor="_Toc203375948" w:history="1">
            <w:r w:rsidRPr="00902BBE">
              <w:rPr>
                <w:rStyle w:val="Hyperlink"/>
                <w:noProof/>
              </w:rPr>
              <w:t>How to use this guide</w:t>
            </w:r>
            <w:r>
              <w:rPr>
                <w:noProof/>
                <w:webHidden/>
              </w:rPr>
              <w:tab/>
            </w:r>
            <w:r>
              <w:rPr>
                <w:noProof/>
                <w:webHidden/>
              </w:rPr>
              <w:fldChar w:fldCharType="begin"/>
            </w:r>
            <w:r>
              <w:rPr>
                <w:noProof/>
                <w:webHidden/>
              </w:rPr>
              <w:instrText xml:space="preserve"> PAGEREF _Toc203375948 \h </w:instrText>
            </w:r>
            <w:r>
              <w:rPr>
                <w:noProof/>
                <w:webHidden/>
              </w:rPr>
            </w:r>
            <w:r>
              <w:rPr>
                <w:noProof/>
                <w:webHidden/>
              </w:rPr>
              <w:fldChar w:fldCharType="separate"/>
            </w:r>
            <w:r>
              <w:rPr>
                <w:noProof/>
                <w:webHidden/>
              </w:rPr>
              <w:t>4</w:t>
            </w:r>
            <w:r>
              <w:rPr>
                <w:noProof/>
                <w:webHidden/>
              </w:rPr>
              <w:fldChar w:fldCharType="end"/>
            </w:r>
          </w:hyperlink>
        </w:p>
        <w:p w14:paraId="7DFEB851" w14:textId="6763E137" w:rsidR="005C5212" w:rsidRDefault="005C5212" w:rsidP="005C5212">
          <w:pPr>
            <w:pStyle w:val="TOC1"/>
            <w:rPr>
              <w:rFonts w:asciiTheme="minorHAnsi" w:eastAsiaTheme="minorEastAsia" w:hAnsiTheme="minorHAnsi"/>
              <w:noProof/>
              <w:kern w:val="2"/>
              <w:sz w:val="24"/>
              <w:szCs w:val="24"/>
              <w:lang w:eastAsia="en-AU"/>
              <w14:ligatures w14:val="standardContextual"/>
            </w:rPr>
          </w:pPr>
          <w:hyperlink w:anchor="_Toc203375949" w:history="1">
            <w:r w:rsidRPr="00902BBE">
              <w:rPr>
                <w:rStyle w:val="Hyperlink"/>
                <w:noProof/>
              </w:rPr>
              <w:t>Introduction</w:t>
            </w:r>
            <w:r>
              <w:rPr>
                <w:noProof/>
                <w:webHidden/>
              </w:rPr>
              <w:tab/>
            </w:r>
            <w:r>
              <w:rPr>
                <w:noProof/>
                <w:webHidden/>
              </w:rPr>
              <w:fldChar w:fldCharType="begin"/>
            </w:r>
            <w:r>
              <w:rPr>
                <w:noProof/>
                <w:webHidden/>
              </w:rPr>
              <w:instrText xml:space="preserve"> PAGEREF _Toc203375949 \h </w:instrText>
            </w:r>
            <w:r>
              <w:rPr>
                <w:noProof/>
                <w:webHidden/>
              </w:rPr>
            </w:r>
            <w:r>
              <w:rPr>
                <w:noProof/>
                <w:webHidden/>
              </w:rPr>
              <w:fldChar w:fldCharType="separate"/>
            </w:r>
            <w:r>
              <w:rPr>
                <w:noProof/>
                <w:webHidden/>
              </w:rPr>
              <w:t>4</w:t>
            </w:r>
            <w:r>
              <w:rPr>
                <w:noProof/>
                <w:webHidden/>
              </w:rPr>
              <w:fldChar w:fldCharType="end"/>
            </w:r>
          </w:hyperlink>
        </w:p>
        <w:p w14:paraId="2FF1F735" w14:textId="7AC9C10B" w:rsidR="005C5212" w:rsidRDefault="005C5212" w:rsidP="005C5212">
          <w:pPr>
            <w:pStyle w:val="TOC2"/>
            <w:rPr>
              <w:rFonts w:asciiTheme="minorHAnsi" w:eastAsiaTheme="minorEastAsia" w:hAnsiTheme="minorHAnsi"/>
              <w:noProof/>
              <w:kern w:val="2"/>
              <w:sz w:val="24"/>
              <w:szCs w:val="24"/>
              <w:lang w:eastAsia="en-AU"/>
              <w14:ligatures w14:val="standardContextual"/>
            </w:rPr>
          </w:pPr>
          <w:hyperlink w:anchor="_Toc203375950" w:history="1">
            <w:r w:rsidRPr="00902BBE">
              <w:rPr>
                <w:rStyle w:val="Hyperlink"/>
                <w:noProof/>
              </w:rPr>
              <w:t>Scope</w:t>
            </w:r>
            <w:r>
              <w:rPr>
                <w:noProof/>
                <w:webHidden/>
              </w:rPr>
              <w:tab/>
            </w:r>
            <w:r>
              <w:rPr>
                <w:noProof/>
                <w:webHidden/>
              </w:rPr>
              <w:fldChar w:fldCharType="begin"/>
            </w:r>
            <w:r>
              <w:rPr>
                <w:noProof/>
                <w:webHidden/>
              </w:rPr>
              <w:instrText xml:space="preserve"> PAGEREF _Toc203375950 \h </w:instrText>
            </w:r>
            <w:r>
              <w:rPr>
                <w:noProof/>
                <w:webHidden/>
              </w:rPr>
            </w:r>
            <w:r>
              <w:rPr>
                <w:noProof/>
                <w:webHidden/>
              </w:rPr>
              <w:fldChar w:fldCharType="separate"/>
            </w:r>
            <w:r>
              <w:rPr>
                <w:noProof/>
                <w:webHidden/>
              </w:rPr>
              <w:t>4</w:t>
            </w:r>
            <w:r>
              <w:rPr>
                <w:noProof/>
                <w:webHidden/>
              </w:rPr>
              <w:fldChar w:fldCharType="end"/>
            </w:r>
          </w:hyperlink>
        </w:p>
        <w:p w14:paraId="70A588CA" w14:textId="069482FC" w:rsidR="005C5212" w:rsidRDefault="005C5212" w:rsidP="005C5212">
          <w:pPr>
            <w:pStyle w:val="TOC2"/>
            <w:rPr>
              <w:rFonts w:asciiTheme="minorHAnsi" w:eastAsiaTheme="minorEastAsia" w:hAnsiTheme="minorHAnsi"/>
              <w:noProof/>
              <w:kern w:val="2"/>
              <w:sz w:val="24"/>
              <w:szCs w:val="24"/>
              <w:lang w:eastAsia="en-AU"/>
              <w14:ligatures w14:val="standardContextual"/>
            </w:rPr>
          </w:pPr>
          <w:hyperlink w:anchor="_Toc203375951" w:history="1">
            <w:r w:rsidRPr="00902BBE">
              <w:rPr>
                <w:rStyle w:val="Hyperlink"/>
                <w:noProof/>
              </w:rPr>
              <w:t>Fitness for purpose</w:t>
            </w:r>
            <w:r>
              <w:rPr>
                <w:noProof/>
                <w:webHidden/>
              </w:rPr>
              <w:tab/>
            </w:r>
            <w:r>
              <w:rPr>
                <w:noProof/>
                <w:webHidden/>
              </w:rPr>
              <w:fldChar w:fldCharType="begin"/>
            </w:r>
            <w:r>
              <w:rPr>
                <w:noProof/>
                <w:webHidden/>
              </w:rPr>
              <w:instrText xml:space="preserve"> PAGEREF _Toc203375951 \h </w:instrText>
            </w:r>
            <w:r>
              <w:rPr>
                <w:noProof/>
                <w:webHidden/>
              </w:rPr>
            </w:r>
            <w:r>
              <w:rPr>
                <w:noProof/>
                <w:webHidden/>
              </w:rPr>
              <w:fldChar w:fldCharType="separate"/>
            </w:r>
            <w:r>
              <w:rPr>
                <w:noProof/>
                <w:webHidden/>
              </w:rPr>
              <w:t>4</w:t>
            </w:r>
            <w:r>
              <w:rPr>
                <w:noProof/>
                <w:webHidden/>
              </w:rPr>
              <w:fldChar w:fldCharType="end"/>
            </w:r>
          </w:hyperlink>
        </w:p>
        <w:p w14:paraId="197D93BD" w14:textId="783A4797" w:rsidR="005C5212" w:rsidRDefault="005C5212" w:rsidP="005C5212">
          <w:pPr>
            <w:pStyle w:val="TOC2"/>
            <w:rPr>
              <w:rFonts w:asciiTheme="minorHAnsi" w:eastAsiaTheme="minorEastAsia" w:hAnsiTheme="minorHAnsi"/>
              <w:noProof/>
              <w:kern w:val="2"/>
              <w:sz w:val="24"/>
              <w:szCs w:val="24"/>
              <w:lang w:eastAsia="en-AU"/>
              <w14:ligatures w14:val="standardContextual"/>
            </w:rPr>
          </w:pPr>
          <w:hyperlink w:anchor="_Toc203375952" w:history="1">
            <w:r w:rsidRPr="00902BBE">
              <w:rPr>
                <w:rStyle w:val="Hyperlink"/>
                <w:noProof/>
              </w:rPr>
              <w:t>Sustainability performance of desktops, laptops and monitors</w:t>
            </w:r>
            <w:r>
              <w:rPr>
                <w:noProof/>
                <w:webHidden/>
              </w:rPr>
              <w:tab/>
            </w:r>
            <w:r>
              <w:rPr>
                <w:noProof/>
                <w:webHidden/>
              </w:rPr>
              <w:fldChar w:fldCharType="begin"/>
            </w:r>
            <w:r>
              <w:rPr>
                <w:noProof/>
                <w:webHidden/>
              </w:rPr>
              <w:instrText xml:space="preserve"> PAGEREF _Toc203375952 \h </w:instrText>
            </w:r>
            <w:r>
              <w:rPr>
                <w:noProof/>
                <w:webHidden/>
              </w:rPr>
            </w:r>
            <w:r>
              <w:rPr>
                <w:noProof/>
                <w:webHidden/>
              </w:rPr>
              <w:fldChar w:fldCharType="separate"/>
            </w:r>
            <w:r>
              <w:rPr>
                <w:noProof/>
                <w:webHidden/>
              </w:rPr>
              <w:t>5</w:t>
            </w:r>
            <w:r>
              <w:rPr>
                <w:noProof/>
                <w:webHidden/>
              </w:rPr>
              <w:fldChar w:fldCharType="end"/>
            </w:r>
          </w:hyperlink>
        </w:p>
        <w:p w14:paraId="019971EF" w14:textId="6EB2DB02" w:rsidR="005C5212" w:rsidRDefault="005C5212" w:rsidP="005C5212">
          <w:pPr>
            <w:pStyle w:val="TOC2"/>
            <w:rPr>
              <w:rFonts w:asciiTheme="minorHAnsi" w:eastAsiaTheme="minorEastAsia" w:hAnsiTheme="minorHAnsi"/>
              <w:noProof/>
              <w:kern w:val="2"/>
              <w:sz w:val="24"/>
              <w:szCs w:val="24"/>
              <w:lang w:eastAsia="en-AU"/>
              <w14:ligatures w14:val="standardContextual"/>
            </w:rPr>
          </w:pPr>
          <w:hyperlink w:anchor="_Toc203375953" w:history="1">
            <w:r w:rsidRPr="00902BBE">
              <w:rPr>
                <w:rStyle w:val="Hyperlink"/>
                <w:noProof/>
              </w:rPr>
              <w:t>Electronic Products Environmental Assessment Tool (EPEAT)</w:t>
            </w:r>
            <w:r>
              <w:rPr>
                <w:noProof/>
                <w:webHidden/>
              </w:rPr>
              <w:tab/>
            </w:r>
            <w:r>
              <w:rPr>
                <w:noProof/>
                <w:webHidden/>
              </w:rPr>
              <w:fldChar w:fldCharType="begin"/>
            </w:r>
            <w:r>
              <w:rPr>
                <w:noProof/>
                <w:webHidden/>
              </w:rPr>
              <w:instrText xml:space="preserve"> PAGEREF _Toc203375953 \h </w:instrText>
            </w:r>
            <w:r>
              <w:rPr>
                <w:noProof/>
                <w:webHidden/>
              </w:rPr>
            </w:r>
            <w:r>
              <w:rPr>
                <w:noProof/>
                <w:webHidden/>
              </w:rPr>
              <w:fldChar w:fldCharType="separate"/>
            </w:r>
            <w:r>
              <w:rPr>
                <w:noProof/>
                <w:webHidden/>
              </w:rPr>
              <w:t>5</w:t>
            </w:r>
            <w:r>
              <w:rPr>
                <w:noProof/>
                <w:webHidden/>
              </w:rPr>
              <w:fldChar w:fldCharType="end"/>
            </w:r>
          </w:hyperlink>
        </w:p>
        <w:p w14:paraId="76B4A11B" w14:textId="2B0C1D0C" w:rsidR="005C5212" w:rsidRDefault="005C5212" w:rsidP="005C5212">
          <w:pPr>
            <w:pStyle w:val="TOC1"/>
            <w:rPr>
              <w:rFonts w:asciiTheme="minorHAnsi" w:eastAsiaTheme="minorEastAsia" w:hAnsiTheme="minorHAnsi"/>
              <w:noProof/>
              <w:kern w:val="2"/>
              <w:sz w:val="24"/>
              <w:szCs w:val="24"/>
              <w:lang w:eastAsia="en-AU"/>
              <w14:ligatures w14:val="standardContextual"/>
            </w:rPr>
          </w:pPr>
          <w:hyperlink w:anchor="_Toc203375954" w:history="1">
            <w:r w:rsidRPr="00902BBE">
              <w:rPr>
                <w:rStyle w:val="Hyperlink"/>
                <w:noProof/>
              </w:rPr>
              <w:t>Desktops, laptops and monitors: Summary of sustainability impacts and responses</w:t>
            </w:r>
            <w:r>
              <w:rPr>
                <w:noProof/>
                <w:webHidden/>
              </w:rPr>
              <w:tab/>
            </w:r>
            <w:r>
              <w:rPr>
                <w:noProof/>
                <w:webHidden/>
              </w:rPr>
              <w:fldChar w:fldCharType="begin"/>
            </w:r>
            <w:r>
              <w:rPr>
                <w:noProof/>
                <w:webHidden/>
              </w:rPr>
              <w:instrText xml:space="preserve"> PAGEREF _Toc203375954 \h </w:instrText>
            </w:r>
            <w:r>
              <w:rPr>
                <w:noProof/>
                <w:webHidden/>
              </w:rPr>
            </w:r>
            <w:r>
              <w:rPr>
                <w:noProof/>
                <w:webHidden/>
              </w:rPr>
              <w:fldChar w:fldCharType="separate"/>
            </w:r>
            <w:r>
              <w:rPr>
                <w:noProof/>
                <w:webHidden/>
              </w:rPr>
              <w:t>5</w:t>
            </w:r>
            <w:r>
              <w:rPr>
                <w:noProof/>
                <w:webHidden/>
              </w:rPr>
              <w:fldChar w:fldCharType="end"/>
            </w:r>
          </w:hyperlink>
        </w:p>
        <w:p w14:paraId="0A958D5D" w14:textId="36372DC6" w:rsidR="005C5212" w:rsidRDefault="005C5212" w:rsidP="005C5212">
          <w:pPr>
            <w:pStyle w:val="TOC1"/>
            <w:rPr>
              <w:rFonts w:asciiTheme="minorHAnsi" w:eastAsiaTheme="minorEastAsia" w:hAnsiTheme="minorHAnsi"/>
              <w:noProof/>
              <w:kern w:val="2"/>
              <w:sz w:val="24"/>
              <w:szCs w:val="24"/>
              <w:lang w:eastAsia="en-AU"/>
              <w14:ligatures w14:val="standardContextual"/>
            </w:rPr>
          </w:pPr>
          <w:hyperlink w:anchor="_Toc203375955" w:history="1">
            <w:r w:rsidRPr="00902BBE">
              <w:rPr>
                <w:rStyle w:val="Hyperlink"/>
                <w:noProof/>
              </w:rPr>
              <w:t>Suggested criteria</w:t>
            </w:r>
            <w:r>
              <w:rPr>
                <w:noProof/>
                <w:webHidden/>
              </w:rPr>
              <w:tab/>
            </w:r>
            <w:r>
              <w:rPr>
                <w:noProof/>
                <w:webHidden/>
              </w:rPr>
              <w:fldChar w:fldCharType="begin"/>
            </w:r>
            <w:r>
              <w:rPr>
                <w:noProof/>
                <w:webHidden/>
              </w:rPr>
              <w:instrText xml:space="preserve"> PAGEREF _Toc203375955 \h </w:instrText>
            </w:r>
            <w:r>
              <w:rPr>
                <w:noProof/>
                <w:webHidden/>
              </w:rPr>
            </w:r>
            <w:r>
              <w:rPr>
                <w:noProof/>
                <w:webHidden/>
              </w:rPr>
              <w:fldChar w:fldCharType="separate"/>
            </w:r>
            <w:r>
              <w:rPr>
                <w:noProof/>
                <w:webHidden/>
              </w:rPr>
              <w:t>7</w:t>
            </w:r>
            <w:r>
              <w:rPr>
                <w:noProof/>
                <w:webHidden/>
              </w:rPr>
              <w:fldChar w:fldCharType="end"/>
            </w:r>
          </w:hyperlink>
        </w:p>
        <w:p w14:paraId="265CCDE0" w14:textId="18799528" w:rsidR="005C5212" w:rsidRDefault="005C5212" w:rsidP="005C5212">
          <w:pPr>
            <w:pStyle w:val="TOC2"/>
            <w:rPr>
              <w:rFonts w:asciiTheme="minorHAnsi" w:eastAsiaTheme="minorEastAsia" w:hAnsiTheme="minorHAnsi"/>
              <w:noProof/>
              <w:kern w:val="2"/>
              <w:sz w:val="24"/>
              <w:szCs w:val="24"/>
              <w:lang w:eastAsia="en-AU"/>
              <w14:ligatures w14:val="standardContextual"/>
            </w:rPr>
          </w:pPr>
          <w:hyperlink w:anchor="_Toc203375956" w:history="1">
            <w:r w:rsidRPr="00902BBE">
              <w:rPr>
                <w:rStyle w:val="Hyperlink"/>
                <w:noProof/>
              </w:rPr>
              <w:t>Desktops, laptops and monitors</w:t>
            </w:r>
            <w:r>
              <w:rPr>
                <w:noProof/>
                <w:webHidden/>
              </w:rPr>
              <w:tab/>
            </w:r>
            <w:r>
              <w:rPr>
                <w:noProof/>
                <w:webHidden/>
              </w:rPr>
              <w:fldChar w:fldCharType="begin"/>
            </w:r>
            <w:r>
              <w:rPr>
                <w:noProof/>
                <w:webHidden/>
              </w:rPr>
              <w:instrText xml:space="preserve"> PAGEREF _Toc203375956 \h </w:instrText>
            </w:r>
            <w:r>
              <w:rPr>
                <w:noProof/>
                <w:webHidden/>
              </w:rPr>
            </w:r>
            <w:r>
              <w:rPr>
                <w:noProof/>
                <w:webHidden/>
              </w:rPr>
              <w:fldChar w:fldCharType="separate"/>
            </w:r>
            <w:r>
              <w:rPr>
                <w:noProof/>
                <w:webHidden/>
              </w:rPr>
              <w:t>7</w:t>
            </w:r>
            <w:r>
              <w:rPr>
                <w:noProof/>
                <w:webHidden/>
              </w:rPr>
              <w:fldChar w:fldCharType="end"/>
            </w:r>
          </w:hyperlink>
        </w:p>
        <w:p w14:paraId="5152E0D7" w14:textId="7F5065C5" w:rsidR="005C5212" w:rsidRDefault="005C5212" w:rsidP="005C5212">
          <w:pPr>
            <w:pStyle w:val="TOC1"/>
            <w:rPr>
              <w:rFonts w:asciiTheme="minorHAnsi" w:eastAsiaTheme="minorEastAsia" w:hAnsiTheme="minorHAnsi"/>
              <w:noProof/>
              <w:kern w:val="2"/>
              <w:sz w:val="24"/>
              <w:szCs w:val="24"/>
              <w:lang w:eastAsia="en-AU"/>
              <w14:ligatures w14:val="standardContextual"/>
            </w:rPr>
          </w:pPr>
          <w:hyperlink w:anchor="_Toc203375957" w:history="1">
            <w:r w:rsidRPr="00902BBE">
              <w:rPr>
                <w:rStyle w:val="Hyperlink"/>
                <w:noProof/>
              </w:rPr>
              <w:t>Integrating sustainable procurement throughout the procurement process</w:t>
            </w:r>
            <w:r>
              <w:rPr>
                <w:noProof/>
                <w:webHidden/>
              </w:rPr>
              <w:tab/>
            </w:r>
            <w:r>
              <w:rPr>
                <w:noProof/>
                <w:webHidden/>
              </w:rPr>
              <w:fldChar w:fldCharType="begin"/>
            </w:r>
            <w:r>
              <w:rPr>
                <w:noProof/>
                <w:webHidden/>
              </w:rPr>
              <w:instrText xml:space="preserve"> PAGEREF _Toc203375957 \h </w:instrText>
            </w:r>
            <w:r>
              <w:rPr>
                <w:noProof/>
                <w:webHidden/>
              </w:rPr>
            </w:r>
            <w:r>
              <w:rPr>
                <w:noProof/>
                <w:webHidden/>
              </w:rPr>
              <w:fldChar w:fldCharType="separate"/>
            </w:r>
            <w:r>
              <w:rPr>
                <w:noProof/>
                <w:webHidden/>
              </w:rPr>
              <w:t>9</w:t>
            </w:r>
            <w:r>
              <w:rPr>
                <w:noProof/>
                <w:webHidden/>
              </w:rPr>
              <w:fldChar w:fldCharType="end"/>
            </w:r>
          </w:hyperlink>
        </w:p>
        <w:p w14:paraId="73888978" w14:textId="56644E74" w:rsidR="005C5212" w:rsidRDefault="005C5212" w:rsidP="005C5212">
          <w:pPr>
            <w:pStyle w:val="TOC2"/>
            <w:rPr>
              <w:rFonts w:asciiTheme="minorHAnsi" w:eastAsiaTheme="minorEastAsia" w:hAnsiTheme="minorHAnsi"/>
              <w:noProof/>
              <w:kern w:val="2"/>
              <w:sz w:val="24"/>
              <w:szCs w:val="24"/>
              <w:lang w:eastAsia="en-AU"/>
              <w14:ligatures w14:val="standardContextual"/>
            </w:rPr>
          </w:pPr>
          <w:hyperlink w:anchor="_Toc203375958" w:history="1">
            <w:r w:rsidRPr="00902BBE">
              <w:rPr>
                <w:rStyle w:val="Hyperlink"/>
                <w:noProof/>
              </w:rPr>
              <w:t>Procurement planning</w:t>
            </w:r>
            <w:r>
              <w:rPr>
                <w:noProof/>
                <w:webHidden/>
              </w:rPr>
              <w:tab/>
            </w:r>
            <w:r>
              <w:rPr>
                <w:noProof/>
                <w:webHidden/>
              </w:rPr>
              <w:fldChar w:fldCharType="begin"/>
            </w:r>
            <w:r>
              <w:rPr>
                <w:noProof/>
                <w:webHidden/>
              </w:rPr>
              <w:instrText xml:space="preserve"> PAGEREF _Toc203375958 \h </w:instrText>
            </w:r>
            <w:r>
              <w:rPr>
                <w:noProof/>
                <w:webHidden/>
              </w:rPr>
            </w:r>
            <w:r>
              <w:rPr>
                <w:noProof/>
                <w:webHidden/>
              </w:rPr>
              <w:fldChar w:fldCharType="separate"/>
            </w:r>
            <w:r>
              <w:rPr>
                <w:noProof/>
                <w:webHidden/>
              </w:rPr>
              <w:t>9</w:t>
            </w:r>
            <w:r>
              <w:rPr>
                <w:noProof/>
                <w:webHidden/>
              </w:rPr>
              <w:fldChar w:fldCharType="end"/>
            </w:r>
          </w:hyperlink>
        </w:p>
        <w:p w14:paraId="580EB9FA" w14:textId="0E2E27EC" w:rsidR="005C5212" w:rsidRDefault="005C5212" w:rsidP="005C5212">
          <w:pPr>
            <w:pStyle w:val="TOC3"/>
            <w:rPr>
              <w:rFonts w:asciiTheme="minorHAnsi" w:eastAsiaTheme="minorEastAsia" w:hAnsiTheme="minorHAnsi"/>
              <w:noProof/>
              <w:kern w:val="2"/>
              <w:sz w:val="24"/>
              <w:szCs w:val="24"/>
              <w:lang w:eastAsia="en-AU"/>
              <w14:ligatures w14:val="standardContextual"/>
            </w:rPr>
          </w:pPr>
          <w:hyperlink w:anchor="_Toc203375959" w:history="1">
            <w:r w:rsidRPr="00902BBE">
              <w:rPr>
                <w:rStyle w:val="Hyperlink"/>
                <w:noProof/>
              </w:rPr>
              <w:t>Demand analysis</w:t>
            </w:r>
            <w:r>
              <w:rPr>
                <w:noProof/>
                <w:webHidden/>
              </w:rPr>
              <w:tab/>
            </w:r>
            <w:r>
              <w:rPr>
                <w:noProof/>
                <w:webHidden/>
              </w:rPr>
              <w:fldChar w:fldCharType="begin"/>
            </w:r>
            <w:r>
              <w:rPr>
                <w:noProof/>
                <w:webHidden/>
              </w:rPr>
              <w:instrText xml:space="preserve"> PAGEREF _Toc203375959 \h </w:instrText>
            </w:r>
            <w:r>
              <w:rPr>
                <w:noProof/>
                <w:webHidden/>
              </w:rPr>
            </w:r>
            <w:r>
              <w:rPr>
                <w:noProof/>
                <w:webHidden/>
              </w:rPr>
              <w:fldChar w:fldCharType="separate"/>
            </w:r>
            <w:r>
              <w:rPr>
                <w:noProof/>
                <w:webHidden/>
              </w:rPr>
              <w:t>9</w:t>
            </w:r>
            <w:r>
              <w:rPr>
                <w:noProof/>
                <w:webHidden/>
              </w:rPr>
              <w:fldChar w:fldCharType="end"/>
            </w:r>
          </w:hyperlink>
        </w:p>
        <w:p w14:paraId="48018F8D" w14:textId="48CB82C6" w:rsidR="005C5212" w:rsidRDefault="005C5212" w:rsidP="005C5212">
          <w:pPr>
            <w:pStyle w:val="TOC3"/>
            <w:rPr>
              <w:rFonts w:asciiTheme="minorHAnsi" w:eastAsiaTheme="minorEastAsia" w:hAnsiTheme="minorHAnsi"/>
              <w:noProof/>
              <w:kern w:val="2"/>
              <w:sz w:val="24"/>
              <w:szCs w:val="24"/>
              <w:lang w:eastAsia="en-AU"/>
              <w14:ligatures w14:val="standardContextual"/>
            </w:rPr>
          </w:pPr>
          <w:hyperlink w:anchor="_Toc203375960" w:history="1">
            <w:r w:rsidRPr="00902BBE">
              <w:rPr>
                <w:rStyle w:val="Hyperlink"/>
                <w:noProof/>
              </w:rPr>
              <w:t>Supply market analysis</w:t>
            </w:r>
            <w:r>
              <w:rPr>
                <w:noProof/>
                <w:webHidden/>
              </w:rPr>
              <w:tab/>
            </w:r>
            <w:r>
              <w:rPr>
                <w:noProof/>
                <w:webHidden/>
              </w:rPr>
              <w:fldChar w:fldCharType="begin"/>
            </w:r>
            <w:r>
              <w:rPr>
                <w:noProof/>
                <w:webHidden/>
              </w:rPr>
              <w:instrText xml:space="preserve"> PAGEREF _Toc203375960 \h </w:instrText>
            </w:r>
            <w:r>
              <w:rPr>
                <w:noProof/>
                <w:webHidden/>
              </w:rPr>
            </w:r>
            <w:r>
              <w:rPr>
                <w:noProof/>
                <w:webHidden/>
              </w:rPr>
              <w:fldChar w:fldCharType="separate"/>
            </w:r>
            <w:r>
              <w:rPr>
                <w:noProof/>
                <w:webHidden/>
              </w:rPr>
              <w:t>10</w:t>
            </w:r>
            <w:r>
              <w:rPr>
                <w:noProof/>
                <w:webHidden/>
              </w:rPr>
              <w:fldChar w:fldCharType="end"/>
            </w:r>
          </w:hyperlink>
        </w:p>
        <w:p w14:paraId="7EECE4FE" w14:textId="15593112" w:rsidR="005C5212" w:rsidRDefault="005C5212" w:rsidP="005C5212">
          <w:pPr>
            <w:pStyle w:val="TOC3"/>
            <w:rPr>
              <w:rFonts w:asciiTheme="minorHAnsi" w:eastAsiaTheme="minorEastAsia" w:hAnsiTheme="minorHAnsi"/>
              <w:noProof/>
              <w:kern w:val="2"/>
              <w:sz w:val="24"/>
              <w:szCs w:val="24"/>
              <w:lang w:eastAsia="en-AU"/>
              <w14:ligatures w14:val="standardContextual"/>
            </w:rPr>
          </w:pPr>
          <w:hyperlink w:anchor="_Toc203375961" w:history="1">
            <w:r w:rsidRPr="00902BBE">
              <w:rPr>
                <w:rStyle w:val="Hyperlink"/>
                <w:noProof/>
              </w:rPr>
              <w:t>Supplier engagement</w:t>
            </w:r>
            <w:r>
              <w:rPr>
                <w:noProof/>
                <w:webHidden/>
              </w:rPr>
              <w:tab/>
            </w:r>
            <w:r>
              <w:rPr>
                <w:noProof/>
                <w:webHidden/>
              </w:rPr>
              <w:fldChar w:fldCharType="begin"/>
            </w:r>
            <w:r>
              <w:rPr>
                <w:noProof/>
                <w:webHidden/>
              </w:rPr>
              <w:instrText xml:space="preserve"> PAGEREF _Toc203375961 \h </w:instrText>
            </w:r>
            <w:r>
              <w:rPr>
                <w:noProof/>
                <w:webHidden/>
              </w:rPr>
            </w:r>
            <w:r>
              <w:rPr>
                <w:noProof/>
                <w:webHidden/>
              </w:rPr>
              <w:fldChar w:fldCharType="separate"/>
            </w:r>
            <w:r>
              <w:rPr>
                <w:noProof/>
                <w:webHidden/>
              </w:rPr>
              <w:t>10</w:t>
            </w:r>
            <w:r>
              <w:rPr>
                <w:noProof/>
                <w:webHidden/>
              </w:rPr>
              <w:fldChar w:fldCharType="end"/>
            </w:r>
          </w:hyperlink>
        </w:p>
        <w:p w14:paraId="6119DD22" w14:textId="1920B2F5" w:rsidR="005C5212" w:rsidRDefault="005C5212" w:rsidP="005C5212">
          <w:pPr>
            <w:pStyle w:val="TOC3"/>
            <w:rPr>
              <w:rFonts w:asciiTheme="minorHAnsi" w:eastAsiaTheme="minorEastAsia" w:hAnsiTheme="minorHAnsi"/>
              <w:noProof/>
              <w:kern w:val="2"/>
              <w:sz w:val="24"/>
              <w:szCs w:val="24"/>
              <w:lang w:eastAsia="en-AU"/>
              <w14:ligatures w14:val="standardContextual"/>
            </w:rPr>
          </w:pPr>
          <w:hyperlink w:anchor="_Toc203375962" w:history="1">
            <w:r w:rsidRPr="00902BBE">
              <w:rPr>
                <w:rStyle w:val="Hyperlink"/>
                <w:noProof/>
              </w:rPr>
              <w:t>Managing supply arrangements</w:t>
            </w:r>
            <w:r>
              <w:rPr>
                <w:noProof/>
                <w:webHidden/>
              </w:rPr>
              <w:tab/>
            </w:r>
            <w:r>
              <w:rPr>
                <w:noProof/>
                <w:webHidden/>
              </w:rPr>
              <w:fldChar w:fldCharType="begin"/>
            </w:r>
            <w:r>
              <w:rPr>
                <w:noProof/>
                <w:webHidden/>
              </w:rPr>
              <w:instrText xml:space="preserve"> PAGEREF _Toc203375962 \h </w:instrText>
            </w:r>
            <w:r>
              <w:rPr>
                <w:noProof/>
                <w:webHidden/>
              </w:rPr>
            </w:r>
            <w:r>
              <w:rPr>
                <w:noProof/>
                <w:webHidden/>
              </w:rPr>
              <w:fldChar w:fldCharType="separate"/>
            </w:r>
            <w:r>
              <w:rPr>
                <w:noProof/>
                <w:webHidden/>
              </w:rPr>
              <w:t>10</w:t>
            </w:r>
            <w:r>
              <w:rPr>
                <w:noProof/>
                <w:webHidden/>
              </w:rPr>
              <w:fldChar w:fldCharType="end"/>
            </w:r>
          </w:hyperlink>
        </w:p>
        <w:p w14:paraId="38453ABE" w14:textId="61F490BB" w:rsidR="005C5212" w:rsidRDefault="005C5212" w:rsidP="005C5212">
          <w:pPr>
            <w:pStyle w:val="TOC3"/>
            <w:rPr>
              <w:rFonts w:asciiTheme="minorHAnsi" w:eastAsiaTheme="minorEastAsia" w:hAnsiTheme="minorHAnsi"/>
              <w:noProof/>
              <w:kern w:val="2"/>
              <w:sz w:val="24"/>
              <w:szCs w:val="24"/>
              <w:lang w:eastAsia="en-AU"/>
              <w14:ligatures w14:val="standardContextual"/>
            </w:rPr>
          </w:pPr>
          <w:hyperlink w:anchor="_Toc203375963" w:history="1">
            <w:r w:rsidRPr="00902BBE">
              <w:rPr>
                <w:rStyle w:val="Hyperlink"/>
                <w:noProof/>
              </w:rPr>
              <w:t>Reporting and measurement</w:t>
            </w:r>
            <w:r>
              <w:rPr>
                <w:noProof/>
                <w:webHidden/>
              </w:rPr>
              <w:tab/>
            </w:r>
            <w:r>
              <w:rPr>
                <w:noProof/>
                <w:webHidden/>
              </w:rPr>
              <w:fldChar w:fldCharType="begin"/>
            </w:r>
            <w:r>
              <w:rPr>
                <w:noProof/>
                <w:webHidden/>
              </w:rPr>
              <w:instrText xml:space="preserve"> PAGEREF _Toc203375963 \h </w:instrText>
            </w:r>
            <w:r>
              <w:rPr>
                <w:noProof/>
                <w:webHidden/>
              </w:rPr>
            </w:r>
            <w:r>
              <w:rPr>
                <w:noProof/>
                <w:webHidden/>
              </w:rPr>
              <w:fldChar w:fldCharType="separate"/>
            </w:r>
            <w:r>
              <w:rPr>
                <w:noProof/>
                <w:webHidden/>
              </w:rPr>
              <w:t>11</w:t>
            </w:r>
            <w:r>
              <w:rPr>
                <w:noProof/>
                <w:webHidden/>
              </w:rPr>
              <w:fldChar w:fldCharType="end"/>
            </w:r>
          </w:hyperlink>
        </w:p>
        <w:p w14:paraId="52EB593F" w14:textId="6954131B" w:rsidR="005C5212" w:rsidRDefault="005C5212" w:rsidP="005C5212">
          <w:pPr>
            <w:pStyle w:val="TOC1"/>
            <w:rPr>
              <w:rFonts w:asciiTheme="minorHAnsi" w:eastAsiaTheme="minorEastAsia" w:hAnsiTheme="minorHAnsi"/>
              <w:noProof/>
              <w:kern w:val="2"/>
              <w:sz w:val="24"/>
              <w:szCs w:val="24"/>
              <w:lang w:eastAsia="en-AU"/>
              <w14:ligatures w14:val="standardContextual"/>
            </w:rPr>
          </w:pPr>
          <w:hyperlink w:anchor="_Toc203375964" w:history="1">
            <w:r w:rsidRPr="00902BBE">
              <w:rPr>
                <w:rStyle w:val="Hyperlink"/>
                <w:noProof/>
              </w:rPr>
              <w:t>References</w:t>
            </w:r>
            <w:r>
              <w:rPr>
                <w:noProof/>
                <w:webHidden/>
              </w:rPr>
              <w:tab/>
            </w:r>
            <w:r>
              <w:rPr>
                <w:noProof/>
                <w:webHidden/>
              </w:rPr>
              <w:fldChar w:fldCharType="begin"/>
            </w:r>
            <w:r>
              <w:rPr>
                <w:noProof/>
                <w:webHidden/>
              </w:rPr>
              <w:instrText xml:space="preserve"> PAGEREF _Toc203375964 \h </w:instrText>
            </w:r>
            <w:r>
              <w:rPr>
                <w:noProof/>
                <w:webHidden/>
              </w:rPr>
            </w:r>
            <w:r>
              <w:rPr>
                <w:noProof/>
                <w:webHidden/>
              </w:rPr>
              <w:fldChar w:fldCharType="separate"/>
            </w:r>
            <w:r>
              <w:rPr>
                <w:noProof/>
                <w:webHidden/>
              </w:rPr>
              <w:t>11</w:t>
            </w:r>
            <w:r>
              <w:rPr>
                <w:noProof/>
                <w:webHidden/>
              </w:rPr>
              <w:fldChar w:fldCharType="end"/>
            </w:r>
          </w:hyperlink>
        </w:p>
        <w:p w14:paraId="29CBB801" w14:textId="77777777" w:rsidR="005C5212" w:rsidRDefault="005C5212" w:rsidP="005C5212">
          <w:r>
            <w:rPr>
              <w:b/>
              <w:bCs/>
              <w:noProof/>
            </w:rPr>
            <w:fldChar w:fldCharType="end"/>
          </w:r>
        </w:p>
      </w:sdtContent>
    </w:sdt>
    <w:p w14:paraId="075ECA58" w14:textId="77777777" w:rsidR="005C5212" w:rsidRPr="007A16A6" w:rsidRDefault="005C5212" w:rsidP="005C5212">
      <w:pPr>
        <w:ind w:left="360"/>
        <w:rPr>
          <w:sz w:val="18"/>
        </w:rPr>
      </w:pPr>
    </w:p>
    <w:p w14:paraId="5A854C7D" w14:textId="77777777" w:rsidR="005C5212" w:rsidRDefault="005C5212" w:rsidP="005C5212">
      <w:pPr>
        <w:pStyle w:val="Heading1"/>
      </w:pPr>
      <w:r>
        <w:br w:type="page"/>
      </w:r>
      <w:bookmarkStart w:id="1" w:name="_Toc203375946"/>
      <w:bookmarkStart w:id="2" w:name="_Toc382403167"/>
      <w:bookmarkStart w:id="3" w:name="_Toc485396578"/>
      <w:bookmarkStart w:id="4" w:name="_Toc529775840"/>
      <w:r>
        <w:lastRenderedPageBreak/>
        <w:t>Purpose</w:t>
      </w:r>
      <w:bookmarkEnd w:id="1"/>
      <w:bookmarkEnd w:id="2"/>
      <w:bookmarkEnd w:id="3"/>
      <w:bookmarkEnd w:id="4"/>
    </w:p>
    <w:p w14:paraId="46D42BEE" w14:textId="77777777" w:rsidR="005C5212" w:rsidRDefault="005C5212" w:rsidP="005C5212">
      <w:r>
        <w:t>This guide aims to support Queensland Government staff (buyers) in implementing sustainability considerations when procuring information communication and technology (ICT) products, namely desktops, laptops and monitors. It also provides a signal to industry about government’s expectations in relation to sustainability of ICT products.</w:t>
      </w:r>
    </w:p>
    <w:p w14:paraId="54A61F1A" w14:textId="77777777" w:rsidR="005C5212" w:rsidRDefault="005C5212" w:rsidP="005C5212">
      <w:pPr>
        <w:pStyle w:val="Heading2"/>
        <w:spacing w:before="240"/>
      </w:pPr>
      <w:bookmarkStart w:id="5" w:name="_Toc382403168"/>
      <w:bookmarkStart w:id="6" w:name="_Toc485396579"/>
      <w:bookmarkStart w:id="7" w:name="_Toc529775841"/>
      <w:bookmarkStart w:id="8" w:name="_Toc203375947"/>
      <w:r>
        <w:t>Target audience</w:t>
      </w:r>
      <w:bookmarkEnd w:id="5"/>
      <w:bookmarkEnd w:id="6"/>
      <w:bookmarkEnd w:id="7"/>
      <w:bookmarkEnd w:id="8"/>
    </w:p>
    <w:p w14:paraId="040419E4" w14:textId="77777777" w:rsidR="005C5212" w:rsidRDefault="005C5212" w:rsidP="005C5212">
      <w:r>
        <w:t>Minimum performance criteria are considered to provide benchmarks for industry performance within the supply market.</w:t>
      </w:r>
    </w:p>
    <w:p w14:paraId="2C61F375" w14:textId="77777777" w:rsidR="005C5212" w:rsidRDefault="005C5212" w:rsidP="005C5212">
      <w:r w:rsidRPr="00665637">
        <w:rPr>
          <w:b/>
        </w:rPr>
        <w:t>For industry:</w:t>
      </w:r>
      <w:r>
        <w:t xml:space="preserve"> this guide provides insight into current and potential government expectations in relation to the sustainability of desktops, laptops and monitors.</w:t>
      </w:r>
    </w:p>
    <w:p w14:paraId="44C588C0" w14:textId="77777777" w:rsidR="005C5212" w:rsidRDefault="005C5212" w:rsidP="005C5212">
      <w:r w:rsidRPr="00665637">
        <w:rPr>
          <w:b/>
        </w:rPr>
        <w:t>For procurement professionals:</w:t>
      </w:r>
      <w:r>
        <w:t xml:space="preserve"> this guide provides information to guide the integration of sustainability principles into the procurement of desktops, laptops and monitors.</w:t>
      </w:r>
    </w:p>
    <w:p w14:paraId="691BFEE5" w14:textId="77777777" w:rsidR="005C5212" w:rsidRDefault="005C5212" w:rsidP="005C5212">
      <w:pPr>
        <w:pStyle w:val="Heading2"/>
        <w:spacing w:before="240"/>
      </w:pPr>
      <w:bookmarkStart w:id="9" w:name="_Toc382403169"/>
      <w:bookmarkStart w:id="10" w:name="_Toc485396580"/>
      <w:bookmarkStart w:id="11" w:name="_Toc529775842"/>
      <w:bookmarkStart w:id="12" w:name="_Toc203375948"/>
      <w:r>
        <w:t xml:space="preserve">How to use this </w:t>
      </w:r>
      <w:bookmarkEnd w:id="9"/>
      <w:r>
        <w:t>guide</w:t>
      </w:r>
      <w:bookmarkEnd w:id="10"/>
      <w:bookmarkEnd w:id="11"/>
      <w:bookmarkEnd w:id="12"/>
    </w:p>
    <w:p w14:paraId="720E8C87" w14:textId="77777777" w:rsidR="005C5212" w:rsidRDefault="005C5212" w:rsidP="005C5212">
      <w:r>
        <w:t>This guide is commodity specific to ICT products.</w:t>
      </w:r>
    </w:p>
    <w:p w14:paraId="3332021E" w14:textId="77777777" w:rsidR="005C5212" w:rsidRDefault="005C5212" w:rsidP="005C5212">
      <w:r>
        <w:t>Sustainability should be incorporated at every stage of the procurement process. Opportunities and strategies exist to address environmental and social impacts during procurement planning (including demand analysis), supplier engagement and through the management of supply arrangements. The procurement process is described in more detail in later in this guide.</w:t>
      </w:r>
    </w:p>
    <w:p w14:paraId="2088021B" w14:textId="6D8D2DC8" w:rsidR="005C5212" w:rsidRDefault="005C5212" w:rsidP="005C5212">
      <w:r>
        <w:t>The suggested criteria contained in this guide may be applied at any stage of the process. The interpretation, modification and suitability of the criteria must be considered by the contract manager at the time of planning a procurement arrangement. Consider</w:t>
      </w:r>
      <w:r w:rsidR="0036051E">
        <w:t xml:space="preserve"> where in the procurement process the maximum benefit should be applied. </w:t>
      </w:r>
    </w:p>
    <w:p w14:paraId="1CC58B0B" w14:textId="77777777" w:rsidR="005C5212" w:rsidRDefault="005C5212" w:rsidP="005C5212">
      <w:r>
        <w:t>The suggested specifications will not be suitable for all agencies, or relevant in all markets or procurement contexts. The sustainable procurement responses may be affected by factors including market readiness, availability of supply, product complexity and maturity and organisational needs. Each procurement arrangement will be different.</w:t>
      </w:r>
    </w:p>
    <w:p w14:paraId="6173F88A" w14:textId="77777777" w:rsidR="005C5212" w:rsidRDefault="005C5212" w:rsidP="005C5212">
      <w:pPr>
        <w:pStyle w:val="Heading1"/>
      </w:pPr>
      <w:bookmarkStart w:id="13" w:name="_Toc382403170"/>
      <w:bookmarkStart w:id="14" w:name="_Toc485396581"/>
      <w:bookmarkStart w:id="15" w:name="_Toc529775843"/>
      <w:bookmarkStart w:id="16" w:name="_Toc203375949"/>
      <w:r>
        <w:t>Introduction</w:t>
      </w:r>
      <w:bookmarkEnd w:id="13"/>
      <w:bookmarkEnd w:id="14"/>
      <w:bookmarkEnd w:id="15"/>
      <w:bookmarkEnd w:id="16"/>
    </w:p>
    <w:p w14:paraId="3912B447" w14:textId="77777777" w:rsidR="005C5212" w:rsidRDefault="005C5212" w:rsidP="005C5212">
      <w:pPr>
        <w:pStyle w:val="Heading2"/>
        <w:spacing w:before="240"/>
      </w:pPr>
      <w:bookmarkStart w:id="17" w:name="_Toc382403171"/>
      <w:bookmarkStart w:id="18" w:name="_Toc485396582"/>
      <w:bookmarkStart w:id="19" w:name="_Toc529775844"/>
      <w:bookmarkStart w:id="20" w:name="_Toc203375950"/>
      <w:r>
        <w:t>Scope</w:t>
      </w:r>
      <w:bookmarkEnd w:id="17"/>
      <w:bookmarkEnd w:id="18"/>
      <w:bookmarkEnd w:id="19"/>
      <w:bookmarkEnd w:id="20"/>
    </w:p>
    <w:p w14:paraId="1D9AE216" w14:textId="77777777" w:rsidR="005C5212" w:rsidRDefault="005C5212" w:rsidP="005C5212">
      <w:proofErr w:type="gramStart"/>
      <w:r>
        <w:t>For the purpose of</w:t>
      </w:r>
      <w:proofErr w:type="gramEnd"/>
      <w:r>
        <w:t xml:space="preserve"> this guide the following ICT products are considered: desktop personal computers, notebook personal computers and personal computer monitors.</w:t>
      </w:r>
    </w:p>
    <w:p w14:paraId="59E014BF" w14:textId="77777777" w:rsidR="005C5212" w:rsidRDefault="005C5212" w:rsidP="005C5212">
      <w:r>
        <w:t>It does not include products such as servers, net books, tablet computers, eBook readers, thin clients or integrated desktop computers.</w:t>
      </w:r>
    </w:p>
    <w:p w14:paraId="0488CA6B" w14:textId="77777777" w:rsidR="005C5212" w:rsidRDefault="005C5212" w:rsidP="005C5212">
      <w:pPr>
        <w:pStyle w:val="Heading2"/>
        <w:spacing w:before="240"/>
      </w:pPr>
      <w:bookmarkStart w:id="21" w:name="_Toc382403172"/>
      <w:bookmarkStart w:id="22" w:name="_Toc485396583"/>
      <w:bookmarkStart w:id="23" w:name="_Toc529775845"/>
      <w:bookmarkStart w:id="24" w:name="_Toc203375951"/>
      <w:r>
        <w:t>Fitness for purpose</w:t>
      </w:r>
      <w:bookmarkEnd w:id="21"/>
      <w:bookmarkEnd w:id="22"/>
      <w:bookmarkEnd w:id="23"/>
      <w:bookmarkEnd w:id="24"/>
    </w:p>
    <w:p w14:paraId="0ECA14FC" w14:textId="5C224319" w:rsidR="005C5212" w:rsidRDefault="005C5212" w:rsidP="005C5212">
      <w:proofErr w:type="gramStart"/>
      <w:r>
        <w:t>For the purpose of</w:t>
      </w:r>
      <w:proofErr w:type="gramEnd"/>
      <w:r>
        <w:t xml:space="preserve"> this guide</w:t>
      </w:r>
      <w:r w:rsidR="0036051E">
        <w:t>,</w:t>
      </w:r>
      <w:r>
        <w:t xml:space="preserve"> it is assumed that the product shall be fit for its intended application and the purpose for which it was manufactured. The product must be accompanied by warranty periods emphasising durability performance.</w:t>
      </w:r>
    </w:p>
    <w:p w14:paraId="7993BE2B" w14:textId="77777777" w:rsidR="005C5212" w:rsidRDefault="005C5212" w:rsidP="005C5212">
      <w:r>
        <w:t>Products are assumed to be certified by mandatory Australian Standards or equivalent international standards.</w:t>
      </w:r>
    </w:p>
    <w:p w14:paraId="33F3616C" w14:textId="77777777" w:rsidR="005C5212" w:rsidRDefault="005C5212" w:rsidP="005C5212">
      <w:pPr>
        <w:pStyle w:val="Heading2"/>
        <w:spacing w:before="240"/>
      </w:pPr>
      <w:bookmarkStart w:id="25" w:name="_Toc382403173"/>
      <w:bookmarkStart w:id="26" w:name="_Toc485396584"/>
      <w:bookmarkStart w:id="27" w:name="_Toc529775846"/>
      <w:bookmarkStart w:id="28" w:name="_Toc203375952"/>
      <w:r>
        <w:lastRenderedPageBreak/>
        <w:t>Sustainability performance of desktops, laptops and monitors</w:t>
      </w:r>
      <w:bookmarkEnd w:id="25"/>
      <w:bookmarkEnd w:id="26"/>
      <w:bookmarkEnd w:id="27"/>
      <w:bookmarkEnd w:id="28"/>
    </w:p>
    <w:p w14:paraId="1AED31FF" w14:textId="77777777" w:rsidR="005C5212" w:rsidRDefault="005C5212" w:rsidP="005C5212">
      <w:r>
        <w:t>The major challenge in specifying environmentally preferable desktops, laptops and monitors is the difficulty in assessing the multitude of complex information surrounding product content and performance. Currently there are a range of independent third-party verification schemes and internationally recognised Type I Sustainability labels for ICT products developed in accordance with the ISO 14024. These include Good Environmental Choice Australia (GECA), Blue Angel and Nordic Swan.</w:t>
      </w:r>
    </w:p>
    <w:p w14:paraId="18A3BB3C" w14:textId="77777777" w:rsidR="005C5212" w:rsidRDefault="005C5212" w:rsidP="005C5212">
      <w:r>
        <w:t xml:space="preserve">For the purposes of this guide the Electronic Products Environmental Assessment Tool (EPEAT) standard has been used as the basis to inform desktops, laptops and monitors sustainable procurement requirements. </w:t>
      </w:r>
    </w:p>
    <w:p w14:paraId="5C52BE18" w14:textId="77777777" w:rsidR="005C5212" w:rsidRDefault="005C5212" w:rsidP="005C5212">
      <w:pPr>
        <w:pStyle w:val="Heading2"/>
        <w:spacing w:before="240"/>
      </w:pPr>
      <w:bookmarkStart w:id="29" w:name="_Toc382403174"/>
      <w:bookmarkStart w:id="30" w:name="_Toc485396585"/>
      <w:bookmarkStart w:id="31" w:name="_Toc529775847"/>
      <w:bookmarkStart w:id="32" w:name="_Toc203375953"/>
      <w:r>
        <w:t>Electronic Products Environmental Assessment Tool (EPEAT)</w:t>
      </w:r>
      <w:bookmarkEnd w:id="29"/>
      <w:bookmarkEnd w:id="30"/>
      <w:bookmarkEnd w:id="31"/>
      <w:bookmarkEnd w:id="32"/>
    </w:p>
    <w:p w14:paraId="6D537BA1" w14:textId="77777777" w:rsidR="005C5212" w:rsidRDefault="005C5212" w:rsidP="005C5212">
      <w:r>
        <w:t>The EPEAT tool rates products into three increasingly stringent tiers of environmental performance. Products are rated into the three tiers, bronze, silver or gold.</w:t>
      </w:r>
    </w:p>
    <w:p w14:paraId="36BAB252" w14:textId="77777777" w:rsidR="005C5212" w:rsidRDefault="005C5212" w:rsidP="005C5212">
      <w:r>
        <w:t xml:space="preserve">This standard is widely accepted as the environmental benchmark by the ICT hardware industry and utilised by a significant proportion of the industry. It provides sufficient product choice to service </w:t>
      </w:r>
      <w:proofErr w:type="gramStart"/>
      <w:r>
        <w:t>the majority of</w:t>
      </w:r>
      <w:proofErr w:type="gramEnd"/>
      <w:r>
        <w:t xml:space="preserve"> Australian business needs. Additionally, certified products deliver measurable benefits with no performance penalty and ensure minimum environmental performance criteria along with optional best practice criteria that provide an opportunity for recognition of best practice performance.</w:t>
      </w:r>
    </w:p>
    <w:p w14:paraId="3357BDBF" w14:textId="77777777" w:rsidR="005C5212" w:rsidRDefault="005C5212" w:rsidP="005C5212">
      <w:r>
        <w:t xml:space="preserve">The EPEAT (available online at </w:t>
      </w:r>
      <w:hyperlink r:id="rId12" w:history="1">
        <w:r w:rsidRPr="00666B67">
          <w:rPr>
            <w:rStyle w:val="Hyperlink"/>
          </w:rPr>
          <w:t>www.epeat.net</w:t>
        </w:r>
      </w:hyperlink>
      <w:r>
        <w:t xml:space="preserve">) is a procurement tool that allows the comparison and selection of desktops, laptops and monitors based on environmental attributes. The EPEAT tool was developed as a product stewardship project of the Zero Waste Alliance under a grant from the United States of America Environmental Protection Agency and is administered and managed by staff from the Green Electronics Council. EPEAT was developed over a three-year period in an extensive </w:t>
      </w:r>
      <w:proofErr w:type="gramStart"/>
      <w:r>
        <w:t>consensus based</w:t>
      </w:r>
      <w:proofErr w:type="gramEnd"/>
      <w:r>
        <w:t xml:space="preserve"> process that included representatives from environmental groups, government officials, large volume computer purchasers, subject matter experts, electronics recyclers, and manufacturers. It is comprehensive in that it addresses key environmental considerations over the lifecycle of ICT products and provides consistent environmental criteria for comparison.</w:t>
      </w:r>
    </w:p>
    <w:p w14:paraId="48170694" w14:textId="77777777" w:rsidR="005C5212" w:rsidRDefault="005C5212" w:rsidP="005C5212">
      <w:pPr>
        <w:pStyle w:val="Heading1"/>
      </w:pPr>
      <w:bookmarkStart w:id="33" w:name="_Toc382403175"/>
      <w:bookmarkStart w:id="34" w:name="_Toc485396586"/>
      <w:bookmarkStart w:id="35" w:name="_Toc529775848"/>
      <w:bookmarkStart w:id="36" w:name="_Toc203375954"/>
      <w:r>
        <w:t>Desktops, laptops and monitors: Summary of sustainability impacts and responses</w:t>
      </w:r>
      <w:bookmarkEnd w:id="33"/>
      <w:bookmarkEnd w:id="34"/>
      <w:bookmarkEnd w:id="35"/>
      <w:bookmarkEnd w:id="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1627"/>
        <w:gridCol w:w="3694"/>
        <w:gridCol w:w="3695"/>
      </w:tblGrid>
      <w:tr w:rsidR="005C5212" w:rsidRPr="00972AE8" w14:paraId="106626E5" w14:textId="77777777" w:rsidTr="0036051E">
        <w:trPr>
          <w:cantSplit/>
          <w:tblHeader/>
        </w:trPr>
        <w:tc>
          <w:tcPr>
            <w:tcW w:w="850" w:type="pct"/>
            <w:shd w:val="clear" w:color="auto" w:fill="0070C0"/>
          </w:tcPr>
          <w:p w14:paraId="36642C77" w14:textId="77777777" w:rsidR="005C5212" w:rsidRPr="00972AE8" w:rsidRDefault="005C5212" w:rsidP="004B058E">
            <w:pPr>
              <w:pStyle w:val="Tableheadings"/>
            </w:pPr>
          </w:p>
        </w:tc>
        <w:tc>
          <w:tcPr>
            <w:tcW w:w="2075" w:type="pct"/>
            <w:shd w:val="clear" w:color="auto" w:fill="0070C0"/>
          </w:tcPr>
          <w:p w14:paraId="3C0A9CC2" w14:textId="77777777" w:rsidR="005C5212" w:rsidRPr="00972AE8" w:rsidRDefault="005C5212" w:rsidP="004B058E">
            <w:pPr>
              <w:pStyle w:val="Tableheadings"/>
            </w:pPr>
            <w:r>
              <w:t>Issue</w:t>
            </w:r>
          </w:p>
        </w:tc>
        <w:tc>
          <w:tcPr>
            <w:tcW w:w="2075" w:type="pct"/>
            <w:shd w:val="clear" w:color="auto" w:fill="0070C0"/>
          </w:tcPr>
          <w:p w14:paraId="7E2C9BE9" w14:textId="77777777" w:rsidR="005C5212" w:rsidRDefault="005C5212" w:rsidP="004B058E">
            <w:pPr>
              <w:pStyle w:val="Tableheadings"/>
            </w:pPr>
            <w:r>
              <w:t>Response</w:t>
            </w:r>
          </w:p>
        </w:tc>
      </w:tr>
      <w:tr w:rsidR="005C5212" w14:paraId="214AA23D" w14:textId="77777777" w:rsidTr="004B058E">
        <w:trPr>
          <w:cantSplit/>
        </w:trPr>
        <w:tc>
          <w:tcPr>
            <w:tcW w:w="850" w:type="pct"/>
            <w:shd w:val="clear" w:color="auto" w:fill="E6E6E6"/>
          </w:tcPr>
          <w:p w14:paraId="39EECC60" w14:textId="77777777" w:rsidR="005C5212" w:rsidRPr="00BD1A75" w:rsidRDefault="005C5212" w:rsidP="004B058E">
            <w:pPr>
              <w:pStyle w:val="Tabletext"/>
              <w:rPr>
                <w:b/>
              </w:rPr>
            </w:pPr>
            <w:r w:rsidRPr="00BD1A75">
              <w:rPr>
                <w:b/>
              </w:rPr>
              <w:t>Design</w:t>
            </w:r>
          </w:p>
        </w:tc>
        <w:tc>
          <w:tcPr>
            <w:tcW w:w="2075" w:type="pct"/>
            <w:shd w:val="clear" w:color="auto" w:fill="auto"/>
          </w:tcPr>
          <w:p w14:paraId="192346A9" w14:textId="77777777" w:rsidR="005C5212" w:rsidRPr="00732E32" w:rsidRDefault="005C5212" w:rsidP="004B058E">
            <w:pPr>
              <w:spacing w:before="20" w:after="20"/>
              <w:rPr>
                <w:szCs w:val="20"/>
              </w:rPr>
            </w:pPr>
            <w:r w:rsidRPr="00BD1A75">
              <w:rPr>
                <w:szCs w:val="20"/>
              </w:rPr>
              <w:t>The resources required for routine</w:t>
            </w:r>
            <w:r>
              <w:rPr>
                <w:szCs w:val="20"/>
              </w:rPr>
              <w:t xml:space="preserve"> </w:t>
            </w:r>
            <w:r w:rsidRPr="00BD1A75">
              <w:rPr>
                <w:szCs w:val="20"/>
              </w:rPr>
              <w:t>maintenance, forced disposal of</w:t>
            </w:r>
            <w:r>
              <w:rPr>
                <w:szCs w:val="20"/>
              </w:rPr>
              <w:t xml:space="preserve"> </w:t>
            </w:r>
            <w:r w:rsidRPr="00BD1A75">
              <w:rPr>
                <w:szCs w:val="20"/>
              </w:rPr>
              <w:t>non-upgradable or non-reusable</w:t>
            </w:r>
            <w:r>
              <w:rPr>
                <w:szCs w:val="20"/>
              </w:rPr>
              <w:t xml:space="preserve"> </w:t>
            </w:r>
            <w:r w:rsidRPr="00BD1A75">
              <w:rPr>
                <w:szCs w:val="20"/>
              </w:rPr>
              <w:t>desktops, laptops and monitors and</w:t>
            </w:r>
            <w:r>
              <w:rPr>
                <w:szCs w:val="20"/>
              </w:rPr>
              <w:t xml:space="preserve"> </w:t>
            </w:r>
            <w:r w:rsidRPr="00BD1A75">
              <w:rPr>
                <w:szCs w:val="20"/>
              </w:rPr>
              <w:t>poor environmental outcomes at</w:t>
            </w:r>
            <w:r>
              <w:rPr>
                <w:szCs w:val="20"/>
              </w:rPr>
              <w:t xml:space="preserve"> </w:t>
            </w:r>
            <w:r w:rsidRPr="00BD1A75">
              <w:rPr>
                <w:szCs w:val="20"/>
              </w:rPr>
              <w:t>disposal.</w:t>
            </w:r>
          </w:p>
        </w:tc>
        <w:tc>
          <w:tcPr>
            <w:tcW w:w="2075" w:type="pct"/>
            <w:shd w:val="clear" w:color="auto" w:fill="auto"/>
          </w:tcPr>
          <w:p w14:paraId="795A7551" w14:textId="77777777" w:rsidR="005C5212" w:rsidRPr="00BD1A75" w:rsidRDefault="005C5212" w:rsidP="004B058E">
            <w:pPr>
              <w:spacing w:before="20" w:after="20"/>
              <w:rPr>
                <w:szCs w:val="20"/>
              </w:rPr>
            </w:pPr>
            <w:r w:rsidRPr="00BD1A75">
              <w:rPr>
                <w:szCs w:val="20"/>
              </w:rPr>
              <w:t>Procure desktops, laptops and</w:t>
            </w:r>
            <w:r>
              <w:rPr>
                <w:szCs w:val="20"/>
              </w:rPr>
              <w:t xml:space="preserve"> </w:t>
            </w:r>
            <w:r w:rsidRPr="00BD1A75">
              <w:rPr>
                <w:szCs w:val="20"/>
              </w:rPr>
              <w:t>monitors designed to be easily</w:t>
            </w:r>
            <w:r>
              <w:rPr>
                <w:szCs w:val="20"/>
              </w:rPr>
              <w:t xml:space="preserve"> </w:t>
            </w:r>
            <w:r w:rsidRPr="00BD1A75">
              <w:rPr>
                <w:szCs w:val="20"/>
              </w:rPr>
              <w:t>maintained, upgraded, reused and</w:t>
            </w:r>
            <w:r>
              <w:rPr>
                <w:szCs w:val="20"/>
              </w:rPr>
              <w:t xml:space="preserve"> </w:t>
            </w:r>
            <w:r w:rsidRPr="00BD1A75">
              <w:rPr>
                <w:szCs w:val="20"/>
              </w:rPr>
              <w:t>recycled.</w:t>
            </w:r>
          </w:p>
          <w:p w14:paraId="1E539FE9" w14:textId="77777777" w:rsidR="005C5212" w:rsidRDefault="005C5212" w:rsidP="004B058E">
            <w:pPr>
              <w:spacing w:before="20" w:after="20"/>
              <w:rPr>
                <w:szCs w:val="20"/>
              </w:rPr>
            </w:pPr>
          </w:p>
          <w:p w14:paraId="092A6E50" w14:textId="77777777" w:rsidR="005C5212" w:rsidRPr="00BD1A75" w:rsidRDefault="005C5212" w:rsidP="004B058E">
            <w:pPr>
              <w:spacing w:before="20" w:after="20"/>
              <w:rPr>
                <w:szCs w:val="20"/>
              </w:rPr>
            </w:pPr>
            <w:r w:rsidRPr="00BD1A75">
              <w:rPr>
                <w:szCs w:val="20"/>
              </w:rPr>
              <w:t>As a minimum the products procured</w:t>
            </w:r>
            <w:r>
              <w:rPr>
                <w:szCs w:val="20"/>
              </w:rPr>
              <w:t xml:space="preserve"> </w:t>
            </w:r>
            <w:r w:rsidRPr="00BD1A75">
              <w:rPr>
                <w:szCs w:val="20"/>
              </w:rPr>
              <w:t>should be:</w:t>
            </w:r>
          </w:p>
          <w:p w14:paraId="3BD69D2C" w14:textId="77777777" w:rsidR="005C5212" w:rsidRDefault="005C5212" w:rsidP="004B058E">
            <w:pPr>
              <w:numPr>
                <w:ilvl w:val="0"/>
                <w:numId w:val="10"/>
              </w:numPr>
              <w:spacing w:before="20" w:after="20" w:line="264" w:lineRule="auto"/>
              <w:rPr>
                <w:szCs w:val="20"/>
              </w:rPr>
            </w:pPr>
            <w:r w:rsidRPr="00BD1A75">
              <w:rPr>
                <w:szCs w:val="20"/>
              </w:rPr>
              <w:t>upgradeable with common tools</w:t>
            </w:r>
          </w:p>
          <w:p w14:paraId="33587DF9" w14:textId="77777777" w:rsidR="005C5212" w:rsidRDefault="005C5212" w:rsidP="004B058E">
            <w:pPr>
              <w:numPr>
                <w:ilvl w:val="0"/>
                <w:numId w:val="10"/>
              </w:numPr>
              <w:spacing w:before="20" w:after="20" w:line="264" w:lineRule="auto"/>
              <w:rPr>
                <w:szCs w:val="20"/>
              </w:rPr>
            </w:pPr>
            <w:r w:rsidRPr="00BD1A75">
              <w:rPr>
                <w:szCs w:val="20"/>
              </w:rPr>
              <w:t>easily disassembled</w:t>
            </w:r>
          </w:p>
          <w:p w14:paraId="64E57CE4" w14:textId="77777777" w:rsidR="005C5212" w:rsidRDefault="005C5212" w:rsidP="004B058E">
            <w:pPr>
              <w:numPr>
                <w:ilvl w:val="0"/>
                <w:numId w:val="10"/>
              </w:numPr>
              <w:spacing w:before="20" w:after="20" w:line="264" w:lineRule="auto"/>
              <w:rPr>
                <w:szCs w:val="20"/>
              </w:rPr>
            </w:pPr>
            <w:r w:rsidRPr="00BD1A75">
              <w:rPr>
                <w:szCs w:val="20"/>
              </w:rPr>
              <w:t>modular in design</w:t>
            </w:r>
          </w:p>
          <w:p w14:paraId="52F522F3" w14:textId="77777777" w:rsidR="005C5212" w:rsidRPr="00732E32" w:rsidRDefault="005C5212" w:rsidP="004B058E">
            <w:pPr>
              <w:numPr>
                <w:ilvl w:val="0"/>
                <w:numId w:val="10"/>
              </w:numPr>
              <w:spacing w:before="20" w:after="20" w:line="264" w:lineRule="auto"/>
              <w:rPr>
                <w:szCs w:val="20"/>
              </w:rPr>
            </w:pPr>
            <w:r w:rsidRPr="00BD1A75">
              <w:rPr>
                <w:szCs w:val="20"/>
              </w:rPr>
              <w:t>contain a minimum 65 per cent</w:t>
            </w:r>
            <w:r>
              <w:rPr>
                <w:szCs w:val="20"/>
              </w:rPr>
              <w:t xml:space="preserve"> </w:t>
            </w:r>
            <w:r w:rsidRPr="00BD1A75">
              <w:rPr>
                <w:szCs w:val="20"/>
              </w:rPr>
              <w:t>reusable/recyclable.</w:t>
            </w:r>
          </w:p>
        </w:tc>
      </w:tr>
      <w:tr w:rsidR="005C5212" w14:paraId="182CBE7B" w14:textId="77777777" w:rsidTr="004B058E">
        <w:trPr>
          <w:cantSplit/>
        </w:trPr>
        <w:tc>
          <w:tcPr>
            <w:tcW w:w="850" w:type="pct"/>
            <w:shd w:val="clear" w:color="auto" w:fill="E6E6E6"/>
          </w:tcPr>
          <w:p w14:paraId="473ECF75" w14:textId="77777777" w:rsidR="005C5212" w:rsidRPr="00732E32" w:rsidRDefault="005C5212" w:rsidP="004B058E">
            <w:pPr>
              <w:spacing w:before="20" w:after="20"/>
              <w:rPr>
                <w:b/>
                <w:szCs w:val="20"/>
              </w:rPr>
            </w:pPr>
            <w:r w:rsidRPr="00BD1A75">
              <w:rPr>
                <w:b/>
                <w:szCs w:val="20"/>
              </w:rPr>
              <w:lastRenderedPageBreak/>
              <w:t>Materials and manufacturing</w:t>
            </w:r>
          </w:p>
        </w:tc>
        <w:tc>
          <w:tcPr>
            <w:tcW w:w="2075" w:type="pct"/>
            <w:shd w:val="clear" w:color="auto" w:fill="auto"/>
          </w:tcPr>
          <w:p w14:paraId="4FA9986A" w14:textId="77777777" w:rsidR="005C5212" w:rsidRPr="00732E32" w:rsidRDefault="005C5212" w:rsidP="004B058E">
            <w:pPr>
              <w:spacing w:before="20" w:after="20"/>
              <w:rPr>
                <w:szCs w:val="20"/>
              </w:rPr>
            </w:pPr>
            <w:r w:rsidRPr="00BD1A75">
              <w:rPr>
                <w:szCs w:val="20"/>
              </w:rPr>
              <w:t>The use of hazardous substances and</w:t>
            </w:r>
            <w:r>
              <w:rPr>
                <w:szCs w:val="20"/>
              </w:rPr>
              <w:t xml:space="preserve"> </w:t>
            </w:r>
            <w:r w:rsidRPr="00BD1A75">
              <w:rPr>
                <w:szCs w:val="20"/>
              </w:rPr>
              <w:t>heavy metals in the desktops, laptops</w:t>
            </w:r>
            <w:r>
              <w:rPr>
                <w:szCs w:val="20"/>
              </w:rPr>
              <w:t xml:space="preserve"> </w:t>
            </w:r>
            <w:r w:rsidRPr="00BD1A75">
              <w:rPr>
                <w:szCs w:val="20"/>
              </w:rPr>
              <w:t>and monitors affects workers involved</w:t>
            </w:r>
            <w:r>
              <w:rPr>
                <w:szCs w:val="20"/>
              </w:rPr>
              <w:t xml:space="preserve"> </w:t>
            </w:r>
            <w:r w:rsidRPr="00BD1A75">
              <w:rPr>
                <w:szCs w:val="20"/>
              </w:rPr>
              <w:t>in manufacturing and disposal of</w:t>
            </w:r>
            <w:r>
              <w:rPr>
                <w:szCs w:val="20"/>
              </w:rPr>
              <w:t xml:space="preserve"> </w:t>
            </w:r>
            <w:r w:rsidRPr="00BD1A75">
              <w:rPr>
                <w:szCs w:val="20"/>
              </w:rPr>
              <w:t xml:space="preserve">the </w:t>
            </w:r>
            <w:proofErr w:type="gramStart"/>
            <w:r w:rsidRPr="00BD1A75">
              <w:rPr>
                <w:szCs w:val="20"/>
              </w:rPr>
              <w:t>products, and</w:t>
            </w:r>
            <w:proofErr w:type="gramEnd"/>
            <w:r w:rsidRPr="00BD1A75">
              <w:rPr>
                <w:szCs w:val="20"/>
              </w:rPr>
              <w:t xml:space="preserve"> may limit the</w:t>
            </w:r>
            <w:r>
              <w:rPr>
                <w:szCs w:val="20"/>
              </w:rPr>
              <w:t xml:space="preserve"> </w:t>
            </w:r>
            <w:r w:rsidRPr="00BD1A75">
              <w:rPr>
                <w:szCs w:val="20"/>
              </w:rPr>
              <w:t>options for end-of-life management of</w:t>
            </w:r>
            <w:r>
              <w:rPr>
                <w:szCs w:val="20"/>
              </w:rPr>
              <w:t xml:space="preserve"> </w:t>
            </w:r>
            <w:r w:rsidRPr="00BD1A75">
              <w:rPr>
                <w:szCs w:val="20"/>
              </w:rPr>
              <w:t>desktops, laptops and monitors.</w:t>
            </w:r>
          </w:p>
        </w:tc>
        <w:tc>
          <w:tcPr>
            <w:tcW w:w="2075" w:type="pct"/>
            <w:shd w:val="clear" w:color="auto" w:fill="auto"/>
          </w:tcPr>
          <w:p w14:paraId="3848FD57" w14:textId="77777777" w:rsidR="005C5212" w:rsidRPr="00BD1A75" w:rsidRDefault="005C5212" w:rsidP="004B058E">
            <w:pPr>
              <w:spacing w:before="20" w:after="20"/>
              <w:rPr>
                <w:szCs w:val="20"/>
              </w:rPr>
            </w:pPr>
            <w:r w:rsidRPr="00BD1A75">
              <w:rPr>
                <w:szCs w:val="20"/>
              </w:rPr>
              <w:t>Procure desktops, laptops and</w:t>
            </w:r>
            <w:r>
              <w:rPr>
                <w:szCs w:val="20"/>
              </w:rPr>
              <w:t xml:space="preserve"> </w:t>
            </w:r>
            <w:r w:rsidRPr="00BD1A75">
              <w:rPr>
                <w:szCs w:val="20"/>
              </w:rPr>
              <w:t>monitors produced with a minimal</w:t>
            </w:r>
            <w:r>
              <w:rPr>
                <w:szCs w:val="20"/>
              </w:rPr>
              <w:t xml:space="preserve"> </w:t>
            </w:r>
            <w:proofErr w:type="gramStart"/>
            <w:r w:rsidRPr="00BD1A75">
              <w:rPr>
                <w:szCs w:val="20"/>
              </w:rPr>
              <w:t>amount</w:t>
            </w:r>
            <w:proofErr w:type="gramEnd"/>
            <w:r w:rsidRPr="00BD1A75">
              <w:rPr>
                <w:szCs w:val="20"/>
              </w:rPr>
              <w:t xml:space="preserve"> of hazardous constituents,</w:t>
            </w:r>
            <w:r>
              <w:rPr>
                <w:szCs w:val="20"/>
              </w:rPr>
              <w:t xml:space="preserve"> </w:t>
            </w:r>
            <w:r w:rsidRPr="00BD1A75">
              <w:rPr>
                <w:szCs w:val="20"/>
              </w:rPr>
              <w:t>from companies that implement</w:t>
            </w:r>
            <w:r>
              <w:rPr>
                <w:szCs w:val="20"/>
              </w:rPr>
              <w:t xml:space="preserve"> </w:t>
            </w:r>
            <w:r w:rsidRPr="00BD1A75">
              <w:rPr>
                <w:szCs w:val="20"/>
              </w:rPr>
              <w:t>socially and environmentally aware</w:t>
            </w:r>
            <w:r>
              <w:rPr>
                <w:szCs w:val="20"/>
              </w:rPr>
              <w:t xml:space="preserve"> </w:t>
            </w:r>
            <w:r w:rsidRPr="00BD1A75">
              <w:rPr>
                <w:szCs w:val="20"/>
              </w:rPr>
              <w:t>practices and policies.</w:t>
            </w:r>
          </w:p>
          <w:p w14:paraId="632BBC7C" w14:textId="77777777" w:rsidR="005C5212" w:rsidRDefault="005C5212" w:rsidP="004B058E">
            <w:pPr>
              <w:spacing w:before="20" w:after="20"/>
              <w:rPr>
                <w:szCs w:val="20"/>
              </w:rPr>
            </w:pPr>
          </w:p>
          <w:p w14:paraId="1FEABEA2" w14:textId="77777777" w:rsidR="005C5212" w:rsidRPr="00BD1A75" w:rsidRDefault="005C5212" w:rsidP="004B058E">
            <w:pPr>
              <w:spacing w:before="20" w:after="20"/>
              <w:rPr>
                <w:szCs w:val="20"/>
              </w:rPr>
            </w:pPr>
            <w:r w:rsidRPr="00BD1A75">
              <w:rPr>
                <w:szCs w:val="20"/>
              </w:rPr>
              <w:t>As a minimum the products</w:t>
            </w:r>
            <w:r>
              <w:rPr>
                <w:szCs w:val="20"/>
              </w:rPr>
              <w:t xml:space="preserve"> </w:t>
            </w:r>
            <w:r w:rsidRPr="00BD1A75">
              <w:rPr>
                <w:szCs w:val="20"/>
              </w:rPr>
              <w:t>procured should meet the following</w:t>
            </w:r>
            <w:r>
              <w:rPr>
                <w:szCs w:val="20"/>
              </w:rPr>
              <w:t xml:space="preserve"> </w:t>
            </w:r>
            <w:r w:rsidRPr="00BD1A75">
              <w:rPr>
                <w:szCs w:val="20"/>
              </w:rPr>
              <w:t>requirements:</w:t>
            </w:r>
          </w:p>
          <w:p w14:paraId="0BA021AD" w14:textId="77777777" w:rsidR="005C5212" w:rsidRDefault="005C5212" w:rsidP="004B058E">
            <w:pPr>
              <w:numPr>
                <w:ilvl w:val="0"/>
                <w:numId w:val="11"/>
              </w:numPr>
              <w:spacing w:before="20" w:after="20" w:line="264" w:lineRule="auto"/>
              <w:rPr>
                <w:szCs w:val="20"/>
              </w:rPr>
            </w:pPr>
            <w:r w:rsidRPr="00BD1A75">
              <w:rPr>
                <w:szCs w:val="20"/>
              </w:rPr>
              <w:t xml:space="preserve">mercury eliminated from light sources </w:t>
            </w:r>
          </w:p>
          <w:p w14:paraId="19388EA4" w14:textId="77777777" w:rsidR="005C5212" w:rsidRPr="00BD1A75" w:rsidRDefault="005C5212" w:rsidP="004B058E">
            <w:pPr>
              <w:numPr>
                <w:ilvl w:val="0"/>
                <w:numId w:val="11"/>
              </w:numPr>
              <w:spacing w:before="20" w:after="20" w:line="264" w:lineRule="auto"/>
              <w:rPr>
                <w:szCs w:val="20"/>
              </w:rPr>
            </w:pPr>
            <w:r w:rsidRPr="00BD1A75">
              <w:rPr>
                <w:szCs w:val="20"/>
              </w:rPr>
              <w:t>batteries used are free of heavy metals including lead, cadmium and mercury.</w:t>
            </w:r>
          </w:p>
          <w:p w14:paraId="29C4E42C" w14:textId="77777777" w:rsidR="005C5212" w:rsidRDefault="005C5212" w:rsidP="004B058E">
            <w:pPr>
              <w:spacing w:before="20" w:after="20"/>
              <w:rPr>
                <w:szCs w:val="20"/>
              </w:rPr>
            </w:pPr>
          </w:p>
          <w:p w14:paraId="0172477A" w14:textId="77777777" w:rsidR="005C5212" w:rsidRPr="00732E32" w:rsidRDefault="005C5212" w:rsidP="004B058E">
            <w:pPr>
              <w:spacing w:before="20" w:after="20"/>
              <w:rPr>
                <w:szCs w:val="20"/>
              </w:rPr>
            </w:pPr>
            <w:r w:rsidRPr="00BD1A75">
              <w:rPr>
                <w:szCs w:val="20"/>
              </w:rPr>
              <w:t>Manufacturers and suppliers should</w:t>
            </w:r>
            <w:r>
              <w:rPr>
                <w:szCs w:val="20"/>
              </w:rPr>
              <w:t xml:space="preserve"> </w:t>
            </w:r>
            <w:r w:rsidRPr="00BD1A75">
              <w:rPr>
                <w:szCs w:val="20"/>
              </w:rPr>
              <w:t>comply with the International Labour</w:t>
            </w:r>
            <w:r>
              <w:rPr>
                <w:szCs w:val="20"/>
              </w:rPr>
              <w:t xml:space="preserve"> </w:t>
            </w:r>
            <w:r w:rsidRPr="00BD1A75">
              <w:rPr>
                <w:szCs w:val="20"/>
              </w:rPr>
              <w:t>Organisation (ILO) core framework.</w:t>
            </w:r>
          </w:p>
        </w:tc>
      </w:tr>
      <w:tr w:rsidR="005C5212" w14:paraId="265948E8" w14:textId="77777777" w:rsidTr="004B058E">
        <w:trPr>
          <w:cantSplit/>
        </w:trPr>
        <w:tc>
          <w:tcPr>
            <w:tcW w:w="850" w:type="pct"/>
            <w:shd w:val="clear" w:color="auto" w:fill="E6E6E6"/>
          </w:tcPr>
          <w:p w14:paraId="07944024" w14:textId="77777777" w:rsidR="005C5212" w:rsidRPr="00732E32" w:rsidRDefault="005C5212" w:rsidP="004B058E">
            <w:pPr>
              <w:spacing w:before="20" w:after="20"/>
              <w:rPr>
                <w:b/>
                <w:szCs w:val="20"/>
              </w:rPr>
            </w:pPr>
            <w:r w:rsidRPr="00AE3937">
              <w:rPr>
                <w:b/>
                <w:szCs w:val="20"/>
              </w:rPr>
              <w:t>Packaging and transport</w:t>
            </w:r>
          </w:p>
        </w:tc>
        <w:tc>
          <w:tcPr>
            <w:tcW w:w="2075" w:type="pct"/>
            <w:shd w:val="clear" w:color="auto" w:fill="auto"/>
          </w:tcPr>
          <w:p w14:paraId="5D6D60AF" w14:textId="77777777" w:rsidR="005C5212" w:rsidRPr="006C4394" w:rsidRDefault="005C5212" w:rsidP="004B058E">
            <w:pPr>
              <w:spacing w:before="20" w:after="20"/>
              <w:rPr>
                <w:b/>
                <w:szCs w:val="20"/>
              </w:rPr>
            </w:pPr>
            <w:r w:rsidRPr="006C4394">
              <w:rPr>
                <w:b/>
                <w:szCs w:val="20"/>
              </w:rPr>
              <w:t>Packaging</w:t>
            </w:r>
          </w:p>
          <w:p w14:paraId="4822F33A" w14:textId="77777777" w:rsidR="005C5212" w:rsidRPr="00AE3937" w:rsidRDefault="005C5212" w:rsidP="004B058E">
            <w:pPr>
              <w:spacing w:before="20" w:after="20"/>
              <w:rPr>
                <w:szCs w:val="20"/>
              </w:rPr>
            </w:pPr>
            <w:r w:rsidRPr="00AE3937">
              <w:rPr>
                <w:szCs w:val="20"/>
              </w:rPr>
              <w:t>Packaging utilises resources and</w:t>
            </w:r>
            <w:r>
              <w:rPr>
                <w:szCs w:val="20"/>
              </w:rPr>
              <w:t xml:space="preserve"> </w:t>
            </w:r>
            <w:r w:rsidRPr="00AE3937">
              <w:rPr>
                <w:szCs w:val="20"/>
              </w:rPr>
              <w:t>generates environmental impacts</w:t>
            </w:r>
            <w:r>
              <w:rPr>
                <w:szCs w:val="20"/>
              </w:rPr>
              <w:t xml:space="preserve"> </w:t>
            </w:r>
            <w:r w:rsidRPr="00AE3937">
              <w:rPr>
                <w:szCs w:val="20"/>
              </w:rPr>
              <w:t>during its production. Packaging</w:t>
            </w:r>
            <w:r>
              <w:rPr>
                <w:szCs w:val="20"/>
              </w:rPr>
              <w:t xml:space="preserve"> </w:t>
            </w:r>
            <w:r w:rsidRPr="00AE3937">
              <w:rPr>
                <w:szCs w:val="20"/>
              </w:rPr>
              <w:t>may also contain toxic substances</w:t>
            </w:r>
            <w:r>
              <w:rPr>
                <w:szCs w:val="20"/>
              </w:rPr>
              <w:t xml:space="preserve"> </w:t>
            </w:r>
            <w:r w:rsidRPr="00AE3937">
              <w:rPr>
                <w:szCs w:val="20"/>
              </w:rPr>
              <w:t>and create pollution problems if not</w:t>
            </w:r>
            <w:r>
              <w:rPr>
                <w:szCs w:val="20"/>
              </w:rPr>
              <w:t xml:space="preserve"> </w:t>
            </w:r>
            <w:r w:rsidRPr="00AE3937">
              <w:rPr>
                <w:szCs w:val="20"/>
              </w:rPr>
              <w:t>disposed of correctly.</w:t>
            </w:r>
          </w:p>
          <w:p w14:paraId="7FD9CB89" w14:textId="77777777" w:rsidR="005C5212" w:rsidRDefault="005C5212" w:rsidP="004B058E">
            <w:pPr>
              <w:spacing w:before="20" w:after="20"/>
              <w:rPr>
                <w:szCs w:val="20"/>
              </w:rPr>
            </w:pPr>
          </w:p>
          <w:p w14:paraId="6162544F" w14:textId="77777777" w:rsidR="005C5212" w:rsidRPr="006C4394" w:rsidRDefault="005C5212" w:rsidP="004B058E">
            <w:pPr>
              <w:spacing w:before="20" w:after="20"/>
              <w:rPr>
                <w:b/>
                <w:szCs w:val="20"/>
              </w:rPr>
            </w:pPr>
            <w:r w:rsidRPr="006C4394">
              <w:rPr>
                <w:b/>
                <w:szCs w:val="20"/>
              </w:rPr>
              <w:t>Transport</w:t>
            </w:r>
          </w:p>
          <w:p w14:paraId="14493930" w14:textId="77777777" w:rsidR="005C5212" w:rsidRPr="00732E32" w:rsidRDefault="005C5212" w:rsidP="004B058E">
            <w:pPr>
              <w:spacing w:before="20" w:after="20"/>
              <w:rPr>
                <w:szCs w:val="20"/>
              </w:rPr>
            </w:pPr>
            <w:r w:rsidRPr="00AE3937">
              <w:rPr>
                <w:szCs w:val="20"/>
              </w:rPr>
              <w:t>Transportation of desktops, laptops</w:t>
            </w:r>
            <w:r>
              <w:rPr>
                <w:szCs w:val="20"/>
              </w:rPr>
              <w:t xml:space="preserve"> </w:t>
            </w:r>
            <w:r w:rsidRPr="00AE3937">
              <w:rPr>
                <w:szCs w:val="20"/>
              </w:rPr>
              <w:t>and monitors utilises fuel and</w:t>
            </w:r>
            <w:r>
              <w:rPr>
                <w:szCs w:val="20"/>
              </w:rPr>
              <w:t xml:space="preserve"> </w:t>
            </w:r>
            <w:r w:rsidRPr="00AE3937">
              <w:rPr>
                <w:szCs w:val="20"/>
              </w:rPr>
              <w:t>generates greenhouse gases to the</w:t>
            </w:r>
            <w:r>
              <w:rPr>
                <w:szCs w:val="20"/>
              </w:rPr>
              <w:t xml:space="preserve"> </w:t>
            </w:r>
            <w:r w:rsidRPr="00AE3937">
              <w:rPr>
                <w:szCs w:val="20"/>
              </w:rPr>
              <w:t>atmosphere.</w:t>
            </w:r>
          </w:p>
        </w:tc>
        <w:tc>
          <w:tcPr>
            <w:tcW w:w="2075" w:type="pct"/>
            <w:shd w:val="clear" w:color="auto" w:fill="auto"/>
          </w:tcPr>
          <w:p w14:paraId="58239BC9" w14:textId="77777777" w:rsidR="005C5212" w:rsidRPr="00AE3937" w:rsidRDefault="005C5212" w:rsidP="004B058E">
            <w:pPr>
              <w:spacing w:before="20" w:after="20"/>
              <w:rPr>
                <w:szCs w:val="20"/>
              </w:rPr>
            </w:pPr>
            <w:r w:rsidRPr="00AE3937">
              <w:rPr>
                <w:szCs w:val="20"/>
              </w:rPr>
              <w:t>Procure desktops, laptops and</w:t>
            </w:r>
            <w:r>
              <w:rPr>
                <w:szCs w:val="20"/>
              </w:rPr>
              <w:t xml:space="preserve"> </w:t>
            </w:r>
            <w:r w:rsidRPr="00AE3937">
              <w:rPr>
                <w:szCs w:val="20"/>
              </w:rPr>
              <w:t>monitors that minimise their</w:t>
            </w:r>
            <w:r>
              <w:rPr>
                <w:szCs w:val="20"/>
              </w:rPr>
              <w:t xml:space="preserve"> </w:t>
            </w:r>
            <w:r w:rsidRPr="00AE3937">
              <w:rPr>
                <w:szCs w:val="20"/>
              </w:rPr>
              <w:t>environmental impact through the</w:t>
            </w:r>
            <w:r>
              <w:rPr>
                <w:szCs w:val="20"/>
              </w:rPr>
              <w:t xml:space="preserve"> </w:t>
            </w:r>
            <w:r w:rsidRPr="00AE3937">
              <w:rPr>
                <w:szCs w:val="20"/>
              </w:rPr>
              <w:t>nature and design of the packaging</w:t>
            </w:r>
            <w:r>
              <w:rPr>
                <w:szCs w:val="20"/>
              </w:rPr>
              <w:t xml:space="preserve"> </w:t>
            </w:r>
            <w:r w:rsidRPr="00AE3937">
              <w:rPr>
                <w:szCs w:val="20"/>
              </w:rPr>
              <w:t>and the resources required for</w:t>
            </w:r>
            <w:r>
              <w:rPr>
                <w:szCs w:val="20"/>
              </w:rPr>
              <w:t xml:space="preserve"> </w:t>
            </w:r>
            <w:r w:rsidRPr="00AE3937">
              <w:rPr>
                <w:szCs w:val="20"/>
              </w:rPr>
              <w:t>transport.</w:t>
            </w:r>
          </w:p>
          <w:p w14:paraId="691C5472" w14:textId="77777777" w:rsidR="005C5212" w:rsidRDefault="005C5212" w:rsidP="004B058E">
            <w:pPr>
              <w:spacing w:before="20" w:after="20"/>
              <w:rPr>
                <w:szCs w:val="20"/>
              </w:rPr>
            </w:pPr>
          </w:p>
          <w:p w14:paraId="7EE07EDD" w14:textId="77777777" w:rsidR="005C5212" w:rsidRPr="00AE3937" w:rsidRDefault="005C5212" w:rsidP="004B058E">
            <w:pPr>
              <w:spacing w:before="20" w:after="20"/>
              <w:rPr>
                <w:szCs w:val="20"/>
              </w:rPr>
            </w:pPr>
            <w:r w:rsidRPr="00AE3937">
              <w:rPr>
                <w:szCs w:val="20"/>
              </w:rPr>
              <w:t>As a minimum the products procured</w:t>
            </w:r>
            <w:r>
              <w:rPr>
                <w:szCs w:val="20"/>
              </w:rPr>
              <w:t xml:space="preserve"> </w:t>
            </w:r>
            <w:r w:rsidRPr="00AE3937">
              <w:rPr>
                <w:szCs w:val="20"/>
              </w:rPr>
              <w:t>should have:</w:t>
            </w:r>
          </w:p>
          <w:p w14:paraId="056FE23E" w14:textId="77777777" w:rsidR="005C5212" w:rsidRPr="0047552D" w:rsidRDefault="005C5212" w:rsidP="004B058E">
            <w:pPr>
              <w:numPr>
                <w:ilvl w:val="0"/>
                <w:numId w:val="14"/>
              </w:numPr>
              <w:spacing w:before="20" w:after="20" w:line="264" w:lineRule="auto"/>
              <w:rPr>
                <w:szCs w:val="20"/>
              </w:rPr>
            </w:pPr>
            <w:r w:rsidRPr="0047552D">
              <w:rPr>
                <w:szCs w:val="20"/>
              </w:rPr>
              <w:t>reduced or eliminated the addition of toxins in packaging</w:t>
            </w:r>
          </w:p>
          <w:p w14:paraId="3047250A" w14:textId="77777777" w:rsidR="005C5212" w:rsidRDefault="005C5212" w:rsidP="004B058E">
            <w:pPr>
              <w:numPr>
                <w:ilvl w:val="0"/>
                <w:numId w:val="12"/>
              </w:numPr>
              <w:spacing w:before="20" w:after="20" w:line="264" w:lineRule="auto"/>
              <w:rPr>
                <w:szCs w:val="20"/>
              </w:rPr>
            </w:pPr>
            <w:r w:rsidRPr="00AE3937">
              <w:rPr>
                <w:szCs w:val="20"/>
              </w:rPr>
              <w:t>recyclable packaging</w:t>
            </w:r>
          </w:p>
          <w:p w14:paraId="3464B32C" w14:textId="77777777" w:rsidR="005C5212" w:rsidRDefault="005C5212" w:rsidP="004B058E">
            <w:pPr>
              <w:numPr>
                <w:ilvl w:val="0"/>
                <w:numId w:val="12"/>
              </w:numPr>
              <w:spacing w:before="20" w:after="20" w:line="264" w:lineRule="auto"/>
              <w:rPr>
                <w:szCs w:val="20"/>
              </w:rPr>
            </w:pPr>
            <w:r w:rsidRPr="00AE3937">
              <w:rPr>
                <w:szCs w:val="20"/>
              </w:rPr>
              <w:t>reduced volume of packaging</w:t>
            </w:r>
          </w:p>
          <w:p w14:paraId="163A5DDA" w14:textId="77777777" w:rsidR="005C5212" w:rsidRDefault="005C5212" w:rsidP="004B058E">
            <w:pPr>
              <w:numPr>
                <w:ilvl w:val="0"/>
                <w:numId w:val="12"/>
              </w:numPr>
              <w:spacing w:before="20" w:after="20" w:line="264" w:lineRule="auto"/>
              <w:rPr>
                <w:szCs w:val="20"/>
              </w:rPr>
            </w:pPr>
            <w:r w:rsidRPr="00AE3937">
              <w:rPr>
                <w:szCs w:val="20"/>
              </w:rPr>
              <w:t>all packaging re-used or recycled</w:t>
            </w:r>
          </w:p>
          <w:p w14:paraId="582F36E1" w14:textId="77777777" w:rsidR="005C5212" w:rsidRPr="00732E32" w:rsidRDefault="005C5212" w:rsidP="004B058E">
            <w:pPr>
              <w:numPr>
                <w:ilvl w:val="0"/>
                <w:numId w:val="12"/>
              </w:numPr>
              <w:spacing w:before="20" w:after="20" w:line="264" w:lineRule="auto"/>
              <w:rPr>
                <w:szCs w:val="20"/>
              </w:rPr>
            </w:pPr>
            <w:r w:rsidRPr="00AE3937">
              <w:rPr>
                <w:szCs w:val="20"/>
              </w:rPr>
              <w:t>packaging designed to minimise</w:t>
            </w:r>
            <w:r>
              <w:rPr>
                <w:szCs w:val="20"/>
              </w:rPr>
              <w:t xml:space="preserve"> </w:t>
            </w:r>
            <w:r w:rsidRPr="00AE3937">
              <w:rPr>
                <w:szCs w:val="20"/>
              </w:rPr>
              <w:t>resources required for transport.</w:t>
            </w:r>
          </w:p>
        </w:tc>
      </w:tr>
      <w:tr w:rsidR="005C5212" w:rsidRPr="00972AE8" w14:paraId="4618FAE5" w14:textId="77777777" w:rsidTr="004B058E">
        <w:tblPrEx>
          <w:tblLook w:val="00A0" w:firstRow="1" w:lastRow="0" w:firstColumn="1" w:lastColumn="0" w:noHBand="0" w:noVBand="0"/>
        </w:tblPrEx>
        <w:trPr>
          <w:cantSplit/>
        </w:trPr>
        <w:tc>
          <w:tcPr>
            <w:tcW w:w="850" w:type="pct"/>
            <w:shd w:val="clear" w:color="auto" w:fill="E6E6E6"/>
          </w:tcPr>
          <w:p w14:paraId="4A4EA6BA" w14:textId="77777777" w:rsidR="005C5212" w:rsidRPr="00732E32" w:rsidRDefault="005C5212" w:rsidP="004B058E">
            <w:pPr>
              <w:spacing w:before="20" w:after="20"/>
              <w:rPr>
                <w:b/>
                <w:szCs w:val="20"/>
              </w:rPr>
            </w:pPr>
            <w:r w:rsidRPr="00AE3937">
              <w:rPr>
                <w:b/>
                <w:szCs w:val="20"/>
              </w:rPr>
              <w:t>Operational use</w:t>
            </w:r>
          </w:p>
        </w:tc>
        <w:tc>
          <w:tcPr>
            <w:tcW w:w="2075" w:type="pct"/>
            <w:shd w:val="clear" w:color="auto" w:fill="auto"/>
          </w:tcPr>
          <w:p w14:paraId="465EFB1F" w14:textId="77777777" w:rsidR="005C5212" w:rsidRPr="00AE3937" w:rsidRDefault="005C5212" w:rsidP="004B058E">
            <w:pPr>
              <w:spacing w:before="20" w:after="20"/>
              <w:rPr>
                <w:szCs w:val="20"/>
              </w:rPr>
            </w:pPr>
            <w:r w:rsidRPr="00AE3937">
              <w:rPr>
                <w:szCs w:val="20"/>
              </w:rPr>
              <w:t>During operation desktops, laptops</w:t>
            </w:r>
            <w:r>
              <w:rPr>
                <w:szCs w:val="20"/>
              </w:rPr>
              <w:t xml:space="preserve"> </w:t>
            </w:r>
            <w:r w:rsidRPr="00AE3937">
              <w:rPr>
                <w:szCs w:val="20"/>
              </w:rPr>
              <w:t>and monitors consume energy and</w:t>
            </w:r>
            <w:r>
              <w:rPr>
                <w:szCs w:val="20"/>
              </w:rPr>
              <w:t xml:space="preserve"> </w:t>
            </w:r>
            <w:r w:rsidRPr="00AE3937">
              <w:rPr>
                <w:szCs w:val="20"/>
              </w:rPr>
              <w:t>other resources.</w:t>
            </w:r>
          </w:p>
          <w:p w14:paraId="44D4AE07" w14:textId="77777777" w:rsidR="005C5212" w:rsidRDefault="005C5212" w:rsidP="004B058E">
            <w:pPr>
              <w:spacing w:before="20" w:after="20"/>
              <w:rPr>
                <w:szCs w:val="20"/>
              </w:rPr>
            </w:pPr>
          </w:p>
          <w:p w14:paraId="2E250D3F" w14:textId="77777777" w:rsidR="005C5212" w:rsidRPr="00732E32" w:rsidRDefault="005C5212" w:rsidP="004B058E">
            <w:pPr>
              <w:spacing w:before="20" w:after="20"/>
              <w:rPr>
                <w:szCs w:val="20"/>
              </w:rPr>
            </w:pPr>
            <w:r w:rsidRPr="00AE3937">
              <w:rPr>
                <w:szCs w:val="20"/>
              </w:rPr>
              <w:t>Premature disposal of desktops,</w:t>
            </w:r>
            <w:r>
              <w:rPr>
                <w:szCs w:val="20"/>
              </w:rPr>
              <w:t xml:space="preserve"> </w:t>
            </w:r>
            <w:r w:rsidRPr="00AE3937">
              <w:rPr>
                <w:szCs w:val="20"/>
              </w:rPr>
              <w:t>laptops and notebooks also</w:t>
            </w:r>
            <w:r>
              <w:rPr>
                <w:szCs w:val="20"/>
              </w:rPr>
              <w:t xml:space="preserve"> </w:t>
            </w:r>
            <w:r w:rsidRPr="00AE3937">
              <w:rPr>
                <w:szCs w:val="20"/>
              </w:rPr>
              <w:t>contributes to waste of resources.</w:t>
            </w:r>
          </w:p>
        </w:tc>
        <w:tc>
          <w:tcPr>
            <w:tcW w:w="2075" w:type="pct"/>
            <w:shd w:val="clear" w:color="auto" w:fill="auto"/>
          </w:tcPr>
          <w:p w14:paraId="5E7A0765" w14:textId="77777777" w:rsidR="005C5212" w:rsidRPr="00AE3937" w:rsidRDefault="005C5212" w:rsidP="004B058E">
            <w:pPr>
              <w:spacing w:before="20" w:after="20"/>
              <w:rPr>
                <w:szCs w:val="20"/>
              </w:rPr>
            </w:pPr>
            <w:r w:rsidRPr="00AE3937">
              <w:rPr>
                <w:szCs w:val="20"/>
              </w:rPr>
              <w:t>Procure desktops, laptops and</w:t>
            </w:r>
            <w:r>
              <w:rPr>
                <w:szCs w:val="20"/>
              </w:rPr>
              <w:t xml:space="preserve"> </w:t>
            </w:r>
            <w:r w:rsidRPr="00AE3937">
              <w:rPr>
                <w:szCs w:val="20"/>
              </w:rPr>
              <w:t>monitors that minimise the</w:t>
            </w:r>
            <w:r>
              <w:rPr>
                <w:szCs w:val="20"/>
              </w:rPr>
              <w:t xml:space="preserve"> </w:t>
            </w:r>
            <w:r w:rsidRPr="00AE3937">
              <w:rPr>
                <w:szCs w:val="20"/>
              </w:rPr>
              <w:t>consumption of resources by being</w:t>
            </w:r>
            <w:r>
              <w:rPr>
                <w:szCs w:val="20"/>
              </w:rPr>
              <w:t xml:space="preserve"> </w:t>
            </w:r>
            <w:r w:rsidRPr="00AE3937">
              <w:rPr>
                <w:szCs w:val="20"/>
              </w:rPr>
              <w:t>eco-efficient and offering an extended</w:t>
            </w:r>
            <w:r>
              <w:rPr>
                <w:szCs w:val="20"/>
              </w:rPr>
              <w:t xml:space="preserve"> </w:t>
            </w:r>
            <w:r w:rsidRPr="00AE3937">
              <w:rPr>
                <w:szCs w:val="20"/>
              </w:rPr>
              <w:t>useful life.</w:t>
            </w:r>
          </w:p>
          <w:p w14:paraId="0A7AA1E9" w14:textId="77777777" w:rsidR="005C5212" w:rsidRDefault="005C5212" w:rsidP="004B058E">
            <w:pPr>
              <w:spacing w:before="20" w:after="20"/>
              <w:rPr>
                <w:szCs w:val="20"/>
              </w:rPr>
            </w:pPr>
          </w:p>
          <w:p w14:paraId="1DA2108F" w14:textId="77777777" w:rsidR="005C5212" w:rsidRPr="00AE3937" w:rsidRDefault="005C5212" w:rsidP="004B058E">
            <w:pPr>
              <w:spacing w:before="20" w:after="20"/>
              <w:rPr>
                <w:szCs w:val="20"/>
              </w:rPr>
            </w:pPr>
            <w:r w:rsidRPr="00AE3937">
              <w:rPr>
                <w:szCs w:val="20"/>
              </w:rPr>
              <w:t>As a minimum the products procured</w:t>
            </w:r>
            <w:r>
              <w:rPr>
                <w:szCs w:val="20"/>
              </w:rPr>
              <w:t xml:space="preserve"> </w:t>
            </w:r>
            <w:r w:rsidRPr="00AE3937">
              <w:rPr>
                <w:szCs w:val="20"/>
              </w:rPr>
              <w:t>should:</w:t>
            </w:r>
          </w:p>
          <w:p w14:paraId="6D61F82B" w14:textId="77777777" w:rsidR="005C5212" w:rsidRDefault="005C5212" w:rsidP="004B058E">
            <w:pPr>
              <w:numPr>
                <w:ilvl w:val="0"/>
                <w:numId w:val="13"/>
              </w:numPr>
              <w:spacing w:before="20" w:after="20" w:line="264" w:lineRule="auto"/>
              <w:rPr>
                <w:szCs w:val="20"/>
              </w:rPr>
            </w:pPr>
            <w:r w:rsidRPr="00AE3937">
              <w:rPr>
                <w:szCs w:val="20"/>
              </w:rPr>
              <w:t xml:space="preserve">be Energy Star compliant </w:t>
            </w:r>
          </w:p>
          <w:p w14:paraId="627A68A1" w14:textId="77777777" w:rsidR="005C5212" w:rsidRDefault="005C5212" w:rsidP="004B058E">
            <w:pPr>
              <w:numPr>
                <w:ilvl w:val="0"/>
                <w:numId w:val="13"/>
              </w:numPr>
              <w:spacing w:before="20" w:after="20" w:line="264" w:lineRule="auto"/>
              <w:rPr>
                <w:szCs w:val="20"/>
              </w:rPr>
            </w:pPr>
            <w:r w:rsidRPr="00AE3937">
              <w:rPr>
                <w:szCs w:val="20"/>
              </w:rPr>
              <w:t>have additional warranty available</w:t>
            </w:r>
          </w:p>
          <w:p w14:paraId="0D0CCE9E" w14:textId="77777777" w:rsidR="005C5212" w:rsidRDefault="005C5212" w:rsidP="004B058E">
            <w:pPr>
              <w:numPr>
                <w:ilvl w:val="0"/>
                <w:numId w:val="13"/>
              </w:numPr>
              <w:spacing w:before="20" w:after="20" w:line="264" w:lineRule="auto"/>
              <w:rPr>
                <w:szCs w:val="20"/>
              </w:rPr>
            </w:pPr>
            <w:r w:rsidRPr="00AE3937">
              <w:rPr>
                <w:szCs w:val="20"/>
              </w:rPr>
              <w:t>have replacement parts available</w:t>
            </w:r>
            <w:r>
              <w:rPr>
                <w:szCs w:val="20"/>
              </w:rPr>
              <w:t xml:space="preserve"> </w:t>
            </w:r>
            <w:r w:rsidRPr="00AE3937">
              <w:rPr>
                <w:szCs w:val="20"/>
              </w:rPr>
              <w:t>post model production.</w:t>
            </w:r>
          </w:p>
          <w:p w14:paraId="3F5F4CFA" w14:textId="77777777" w:rsidR="005C5212" w:rsidRPr="00732E32" w:rsidRDefault="005C5212" w:rsidP="004B058E">
            <w:pPr>
              <w:spacing w:before="20" w:after="20"/>
              <w:ind w:left="486"/>
              <w:rPr>
                <w:szCs w:val="20"/>
              </w:rPr>
            </w:pPr>
          </w:p>
        </w:tc>
      </w:tr>
      <w:tr w:rsidR="005C5212" w:rsidRPr="00972AE8" w14:paraId="1A4BE5E1" w14:textId="77777777" w:rsidTr="004B058E">
        <w:tblPrEx>
          <w:tblLook w:val="00A0" w:firstRow="1" w:lastRow="0" w:firstColumn="1" w:lastColumn="0" w:noHBand="0" w:noVBand="0"/>
        </w:tblPrEx>
        <w:trPr>
          <w:cantSplit/>
        </w:trPr>
        <w:tc>
          <w:tcPr>
            <w:tcW w:w="850" w:type="pct"/>
            <w:shd w:val="clear" w:color="auto" w:fill="E6E6E6"/>
          </w:tcPr>
          <w:p w14:paraId="475E087F" w14:textId="77777777" w:rsidR="005C5212" w:rsidRPr="00732E32" w:rsidRDefault="005C5212" w:rsidP="004B058E">
            <w:pPr>
              <w:pStyle w:val="Tabletext"/>
              <w:rPr>
                <w:b/>
              </w:rPr>
            </w:pPr>
            <w:r w:rsidRPr="00AE3937">
              <w:rPr>
                <w:b/>
              </w:rPr>
              <w:lastRenderedPageBreak/>
              <w:t>End-of-life management</w:t>
            </w:r>
          </w:p>
        </w:tc>
        <w:tc>
          <w:tcPr>
            <w:tcW w:w="2075" w:type="pct"/>
            <w:shd w:val="clear" w:color="auto" w:fill="auto"/>
          </w:tcPr>
          <w:p w14:paraId="7D78B9CA" w14:textId="77777777" w:rsidR="005C5212" w:rsidRPr="00732E32" w:rsidRDefault="005C5212" w:rsidP="004B058E">
            <w:pPr>
              <w:spacing w:before="20" w:after="20"/>
              <w:rPr>
                <w:szCs w:val="20"/>
              </w:rPr>
            </w:pPr>
            <w:r w:rsidRPr="00AE3937">
              <w:rPr>
                <w:szCs w:val="20"/>
              </w:rPr>
              <w:t>Inappropriate and irresponsible</w:t>
            </w:r>
            <w:r>
              <w:rPr>
                <w:szCs w:val="20"/>
              </w:rPr>
              <w:t xml:space="preserve"> </w:t>
            </w:r>
            <w:r w:rsidRPr="00AE3937">
              <w:rPr>
                <w:szCs w:val="20"/>
              </w:rPr>
              <w:t>disposal of desktops, laptops and</w:t>
            </w:r>
            <w:r>
              <w:rPr>
                <w:szCs w:val="20"/>
              </w:rPr>
              <w:t xml:space="preserve"> </w:t>
            </w:r>
            <w:r w:rsidRPr="00AE3937">
              <w:rPr>
                <w:szCs w:val="20"/>
              </w:rPr>
              <w:t>monitors wastes resources utilised to</w:t>
            </w:r>
            <w:r>
              <w:rPr>
                <w:szCs w:val="20"/>
              </w:rPr>
              <w:t xml:space="preserve"> </w:t>
            </w:r>
            <w:r w:rsidRPr="00AE3937">
              <w:rPr>
                <w:szCs w:val="20"/>
              </w:rPr>
              <w:t>manufacture the product, contributes</w:t>
            </w:r>
            <w:r>
              <w:rPr>
                <w:szCs w:val="20"/>
              </w:rPr>
              <w:t xml:space="preserve"> </w:t>
            </w:r>
            <w:r w:rsidRPr="00AE3937">
              <w:rPr>
                <w:szCs w:val="20"/>
              </w:rPr>
              <w:t>to landfill and can cause adverse</w:t>
            </w:r>
            <w:r>
              <w:rPr>
                <w:szCs w:val="20"/>
              </w:rPr>
              <w:t xml:space="preserve"> </w:t>
            </w:r>
            <w:r w:rsidRPr="00AE3937">
              <w:rPr>
                <w:szCs w:val="20"/>
              </w:rPr>
              <w:t>social and health impacts due to</w:t>
            </w:r>
            <w:r>
              <w:rPr>
                <w:szCs w:val="20"/>
              </w:rPr>
              <w:t xml:space="preserve"> </w:t>
            </w:r>
            <w:r w:rsidRPr="00AE3937">
              <w:rPr>
                <w:szCs w:val="20"/>
              </w:rPr>
              <w:t>exposure to hazardous materials</w:t>
            </w:r>
            <w:r>
              <w:rPr>
                <w:szCs w:val="20"/>
              </w:rPr>
              <w:t xml:space="preserve"> </w:t>
            </w:r>
            <w:r w:rsidRPr="00AE3937">
              <w:rPr>
                <w:szCs w:val="20"/>
              </w:rPr>
              <w:t>contained in products.</w:t>
            </w:r>
          </w:p>
        </w:tc>
        <w:tc>
          <w:tcPr>
            <w:tcW w:w="2075" w:type="pct"/>
            <w:shd w:val="clear" w:color="auto" w:fill="auto"/>
          </w:tcPr>
          <w:p w14:paraId="1B7C696E" w14:textId="77777777" w:rsidR="005C5212" w:rsidRPr="00AE3937" w:rsidRDefault="005C5212" w:rsidP="004B058E">
            <w:pPr>
              <w:spacing w:before="20" w:after="20"/>
              <w:rPr>
                <w:szCs w:val="20"/>
              </w:rPr>
            </w:pPr>
            <w:r w:rsidRPr="00AE3937">
              <w:rPr>
                <w:szCs w:val="20"/>
              </w:rPr>
              <w:t>Procure desktops, laptops and</w:t>
            </w:r>
            <w:r>
              <w:rPr>
                <w:szCs w:val="20"/>
              </w:rPr>
              <w:t xml:space="preserve"> </w:t>
            </w:r>
            <w:r w:rsidRPr="00AE3937">
              <w:rPr>
                <w:szCs w:val="20"/>
              </w:rPr>
              <w:t>monitors from manufacturers/suppliers who ensure responsible</w:t>
            </w:r>
            <w:r>
              <w:rPr>
                <w:szCs w:val="20"/>
              </w:rPr>
              <w:t xml:space="preserve"> </w:t>
            </w:r>
            <w:r w:rsidRPr="00AE3937">
              <w:rPr>
                <w:szCs w:val="20"/>
              </w:rPr>
              <w:t>recycling and disposal of equipment</w:t>
            </w:r>
            <w:r>
              <w:rPr>
                <w:szCs w:val="20"/>
              </w:rPr>
              <w:t xml:space="preserve"> </w:t>
            </w:r>
            <w:r w:rsidRPr="00AE3937">
              <w:rPr>
                <w:szCs w:val="20"/>
              </w:rPr>
              <w:t>at the end of its useful life.</w:t>
            </w:r>
          </w:p>
          <w:p w14:paraId="0EE55BEF" w14:textId="77777777" w:rsidR="005C5212" w:rsidRDefault="005C5212" w:rsidP="004B058E">
            <w:pPr>
              <w:spacing w:before="20" w:after="20"/>
              <w:rPr>
                <w:szCs w:val="20"/>
              </w:rPr>
            </w:pPr>
          </w:p>
          <w:p w14:paraId="1004916E" w14:textId="77777777" w:rsidR="005C5212" w:rsidRPr="00732E32" w:rsidRDefault="005C5212" w:rsidP="004B058E">
            <w:pPr>
              <w:spacing w:before="20" w:after="20"/>
              <w:rPr>
                <w:szCs w:val="20"/>
              </w:rPr>
            </w:pPr>
            <w:r w:rsidRPr="00AE3937">
              <w:rPr>
                <w:szCs w:val="20"/>
              </w:rPr>
              <w:t>As a minimum, the products procured</w:t>
            </w:r>
            <w:r>
              <w:rPr>
                <w:szCs w:val="20"/>
              </w:rPr>
              <w:t xml:space="preserve"> </w:t>
            </w:r>
            <w:r w:rsidRPr="00AE3937">
              <w:rPr>
                <w:szCs w:val="20"/>
              </w:rPr>
              <w:t>should be covered by a take-back</w:t>
            </w:r>
            <w:r>
              <w:rPr>
                <w:szCs w:val="20"/>
              </w:rPr>
              <w:t xml:space="preserve"> </w:t>
            </w:r>
            <w:r w:rsidRPr="00AE3937">
              <w:rPr>
                <w:szCs w:val="20"/>
              </w:rPr>
              <w:t>scheme and the product supplier</w:t>
            </w:r>
            <w:r>
              <w:rPr>
                <w:szCs w:val="20"/>
              </w:rPr>
              <w:t xml:space="preserve"> </w:t>
            </w:r>
            <w:r w:rsidRPr="00AE3937">
              <w:rPr>
                <w:szCs w:val="20"/>
              </w:rPr>
              <w:t>should provide detailed reporting of</w:t>
            </w:r>
            <w:r>
              <w:rPr>
                <w:szCs w:val="20"/>
              </w:rPr>
              <w:t xml:space="preserve"> </w:t>
            </w:r>
            <w:r w:rsidRPr="00AE3937">
              <w:rPr>
                <w:szCs w:val="20"/>
              </w:rPr>
              <w:t>disposal outcomes.</w:t>
            </w:r>
          </w:p>
        </w:tc>
      </w:tr>
    </w:tbl>
    <w:p w14:paraId="6CBEB610" w14:textId="77777777" w:rsidR="005C5212" w:rsidRDefault="005C5212" w:rsidP="005C5212">
      <w:pPr>
        <w:pStyle w:val="Heading1"/>
      </w:pPr>
      <w:bookmarkStart w:id="37" w:name="_Toc382403176"/>
      <w:bookmarkStart w:id="38" w:name="_Toc485396587"/>
      <w:bookmarkStart w:id="39" w:name="_Toc529775849"/>
      <w:bookmarkStart w:id="40" w:name="_Toc203375955"/>
      <w:r>
        <w:t>Suggested criteria</w:t>
      </w:r>
      <w:bookmarkEnd w:id="37"/>
      <w:bookmarkEnd w:id="38"/>
      <w:bookmarkEnd w:id="39"/>
      <w:bookmarkEnd w:id="40"/>
    </w:p>
    <w:p w14:paraId="6B5B6F08" w14:textId="77777777" w:rsidR="005C5212" w:rsidRDefault="005C5212" w:rsidP="005C5212">
      <w:pPr>
        <w:pStyle w:val="Heading2"/>
        <w:spacing w:before="240"/>
      </w:pPr>
      <w:bookmarkStart w:id="41" w:name="_Toc382403177"/>
      <w:bookmarkStart w:id="42" w:name="_Toc485396588"/>
      <w:bookmarkStart w:id="43" w:name="_Toc529775850"/>
      <w:bookmarkStart w:id="44" w:name="_Toc203375956"/>
      <w:r>
        <w:t>Desktops, laptops and monitors</w:t>
      </w:r>
      <w:bookmarkEnd w:id="41"/>
      <w:bookmarkEnd w:id="42"/>
      <w:bookmarkEnd w:id="43"/>
      <w:bookmarkEnd w:id="44"/>
    </w:p>
    <w:p w14:paraId="2DBF836A" w14:textId="77777777" w:rsidR="005C5212" w:rsidRDefault="005C5212" w:rsidP="005C5212">
      <w:r>
        <w:t xml:space="preserve">The following specifications addresses the issues identified in the </w:t>
      </w:r>
      <w:r w:rsidRPr="006C4394">
        <w:rPr>
          <w:b/>
        </w:rPr>
        <w:t xml:space="preserve">Summary of sustainability considerations table (above) </w:t>
      </w:r>
      <w:r>
        <w:t>and ensures that the procurement of desktops, laptops and monitors is designed to improve the environmental and social impacts associated with their manufacture, use and disposal.</w:t>
      </w:r>
    </w:p>
    <w:tbl>
      <w:tblPr>
        <w:tblStyle w:val="TableGrid"/>
        <w:tblpPr w:leftFromText="180" w:rightFromText="180" w:vertAnchor="text" w:tblpY="1"/>
        <w:tblOverlap w:val="never"/>
        <w:tblW w:w="5000" w:type="pct"/>
        <w:tblLook w:val="04A0" w:firstRow="1" w:lastRow="0" w:firstColumn="1" w:lastColumn="0" w:noHBand="0" w:noVBand="1"/>
      </w:tblPr>
      <w:tblGrid>
        <w:gridCol w:w="4542"/>
        <w:gridCol w:w="4474"/>
      </w:tblGrid>
      <w:tr w:rsidR="005C5212" w14:paraId="2C4FDCBD" w14:textId="77777777" w:rsidTr="0036051E">
        <w:trPr>
          <w:tblHeader/>
        </w:trPr>
        <w:tc>
          <w:tcPr>
            <w:tcW w:w="2519" w:type="pct"/>
            <w:shd w:val="clear" w:color="auto" w:fill="0070C0"/>
          </w:tcPr>
          <w:p w14:paraId="27213694" w14:textId="77777777" w:rsidR="005C5212" w:rsidRPr="005A4D74" w:rsidRDefault="005C5212" w:rsidP="004B058E">
            <w:pPr>
              <w:spacing w:before="20" w:after="20"/>
              <w:rPr>
                <w:b/>
                <w:color w:val="FFFFFF" w:themeColor="background1"/>
                <w:szCs w:val="22"/>
              </w:rPr>
            </w:pPr>
            <w:r w:rsidRPr="005A4D74">
              <w:rPr>
                <w:b/>
                <w:color w:val="FFFFFF" w:themeColor="background1"/>
                <w:szCs w:val="22"/>
              </w:rPr>
              <w:t>Minimum performance criteria</w:t>
            </w:r>
          </w:p>
        </w:tc>
        <w:tc>
          <w:tcPr>
            <w:tcW w:w="2481" w:type="pct"/>
            <w:shd w:val="clear" w:color="auto" w:fill="0070C0"/>
          </w:tcPr>
          <w:p w14:paraId="403780AA" w14:textId="77777777" w:rsidR="005C5212" w:rsidRPr="005A4D74" w:rsidRDefault="005C5212" w:rsidP="004B058E">
            <w:pPr>
              <w:spacing w:before="20" w:after="20"/>
              <w:rPr>
                <w:b/>
                <w:color w:val="FFFFFF" w:themeColor="background1"/>
                <w:szCs w:val="22"/>
              </w:rPr>
            </w:pPr>
            <w:r w:rsidRPr="005A4D74">
              <w:rPr>
                <w:b/>
                <w:color w:val="FFFFFF" w:themeColor="background1"/>
                <w:szCs w:val="22"/>
              </w:rPr>
              <w:t>Best practice performance criteria</w:t>
            </w:r>
          </w:p>
        </w:tc>
      </w:tr>
      <w:tr w:rsidR="005C5212" w:rsidRPr="005A4D74" w14:paraId="0925AA32" w14:textId="77777777" w:rsidTr="004B058E">
        <w:tc>
          <w:tcPr>
            <w:tcW w:w="2519" w:type="pct"/>
          </w:tcPr>
          <w:p w14:paraId="0ED4167B" w14:textId="77777777" w:rsidR="005C5212" w:rsidRPr="005A4D74" w:rsidRDefault="005C5212" w:rsidP="004B058E">
            <w:pPr>
              <w:spacing w:before="20" w:after="20"/>
              <w:rPr>
                <w:b/>
                <w:szCs w:val="20"/>
              </w:rPr>
            </w:pPr>
            <w:r w:rsidRPr="005A4D74">
              <w:rPr>
                <w:b/>
                <w:szCs w:val="20"/>
              </w:rPr>
              <w:t>Minimum specification:</w:t>
            </w:r>
            <w:r w:rsidRPr="005A4D74">
              <w:rPr>
                <w:b/>
                <w:szCs w:val="20"/>
              </w:rPr>
              <w:br/>
            </w:r>
          </w:p>
          <w:p w14:paraId="796F1BA9" w14:textId="77777777" w:rsidR="005C5212" w:rsidRPr="005A4D74" w:rsidRDefault="005C5212" w:rsidP="004B058E">
            <w:pPr>
              <w:numPr>
                <w:ilvl w:val="0"/>
                <w:numId w:val="15"/>
              </w:numPr>
              <w:spacing w:before="20" w:after="20" w:line="264" w:lineRule="auto"/>
              <w:rPr>
                <w:szCs w:val="20"/>
              </w:rPr>
            </w:pPr>
            <w:r w:rsidRPr="005A4D74">
              <w:rPr>
                <w:szCs w:val="20"/>
              </w:rPr>
              <w:t>Offerors are required to meet the following specifications, to demonstrate compliance with the minimum requirements identified in the summary table (above):</w:t>
            </w:r>
          </w:p>
          <w:p w14:paraId="36851E54" w14:textId="77777777" w:rsidR="005C5212" w:rsidRPr="005A4D74" w:rsidRDefault="005C5212" w:rsidP="004B058E">
            <w:pPr>
              <w:numPr>
                <w:ilvl w:val="0"/>
                <w:numId w:val="16"/>
              </w:numPr>
              <w:spacing w:before="20" w:after="20" w:line="264" w:lineRule="auto"/>
              <w:rPr>
                <w:szCs w:val="20"/>
              </w:rPr>
            </w:pPr>
            <w:r w:rsidRPr="005A4D74">
              <w:rPr>
                <w:szCs w:val="20"/>
              </w:rPr>
              <w:t>products must be registered and certified to EPEAT silver standard</w:t>
            </w:r>
          </w:p>
          <w:p w14:paraId="2BE940C7" w14:textId="77777777" w:rsidR="005C5212" w:rsidRPr="005A4D74" w:rsidRDefault="005C5212" w:rsidP="004B058E">
            <w:pPr>
              <w:numPr>
                <w:ilvl w:val="0"/>
                <w:numId w:val="16"/>
              </w:numPr>
              <w:spacing w:before="20" w:after="20" w:line="264" w:lineRule="auto"/>
              <w:rPr>
                <w:szCs w:val="20"/>
              </w:rPr>
            </w:pPr>
            <w:r w:rsidRPr="005A4D74">
              <w:rPr>
                <w:szCs w:val="20"/>
              </w:rPr>
              <w:t>offerors must be signatory to Australian National Packaging Covenant</w:t>
            </w:r>
          </w:p>
          <w:p w14:paraId="2E66D7FA" w14:textId="77777777" w:rsidR="005C5212" w:rsidRPr="005A4D74" w:rsidRDefault="005C5212" w:rsidP="004B058E">
            <w:pPr>
              <w:numPr>
                <w:ilvl w:val="0"/>
                <w:numId w:val="16"/>
              </w:numPr>
              <w:spacing w:before="20" w:after="20" w:line="264" w:lineRule="auto"/>
              <w:rPr>
                <w:szCs w:val="20"/>
              </w:rPr>
            </w:pPr>
            <w:r w:rsidRPr="005A4D74">
              <w:rPr>
                <w:szCs w:val="20"/>
              </w:rPr>
              <w:t>offerors must meet additional packaging requirements outlined below:</w:t>
            </w:r>
          </w:p>
          <w:p w14:paraId="3A7868D0" w14:textId="77777777" w:rsidR="005C5212" w:rsidRPr="005A4D74" w:rsidRDefault="005C5212" w:rsidP="004B058E">
            <w:pPr>
              <w:numPr>
                <w:ilvl w:val="0"/>
                <w:numId w:val="25"/>
              </w:numPr>
              <w:spacing w:before="20" w:after="20" w:line="264" w:lineRule="auto"/>
              <w:rPr>
                <w:szCs w:val="20"/>
              </w:rPr>
            </w:pPr>
            <w:r w:rsidRPr="005A4D74">
              <w:rPr>
                <w:szCs w:val="20"/>
              </w:rPr>
              <w:t>multi-packs for bulk orders</w:t>
            </w:r>
          </w:p>
          <w:p w14:paraId="3859C8FB" w14:textId="77777777" w:rsidR="005C5212" w:rsidRPr="005A4D74" w:rsidRDefault="005C5212" w:rsidP="004B058E">
            <w:pPr>
              <w:numPr>
                <w:ilvl w:val="0"/>
                <w:numId w:val="25"/>
              </w:numPr>
              <w:spacing w:before="20" w:after="20" w:line="264" w:lineRule="auto"/>
              <w:rPr>
                <w:szCs w:val="20"/>
              </w:rPr>
            </w:pPr>
            <w:r w:rsidRPr="005A4D74">
              <w:rPr>
                <w:szCs w:val="20"/>
              </w:rPr>
              <w:t>removal of excess CD/DVDs and documents</w:t>
            </w:r>
          </w:p>
          <w:p w14:paraId="678021B8" w14:textId="77777777" w:rsidR="005C5212" w:rsidRPr="005A4D74" w:rsidRDefault="005C5212" w:rsidP="004B058E">
            <w:pPr>
              <w:numPr>
                <w:ilvl w:val="0"/>
                <w:numId w:val="16"/>
              </w:numPr>
              <w:spacing w:before="20" w:after="20" w:line="264" w:lineRule="auto"/>
              <w:rPr>
                <w:szCs w:val="20"/>
              </w:rPr>
            </w:pPr>
            <w:r w:rsidRPr="005A4D74">
              <w:rPr>
                <w:szCs w:val="20"/>
              </w:rPr>
              <w:t>offerors must demonstrate that the manufacturers and suppliers of the product components are compliant with the ILO core framework and certified to SA 8000 or an equivalent.</w:t>
            </w:r>
          </w:p>
          <w:p w14:paraId="399A7632" w14:textId="77777777" w:rsidR="005C5212" w:rsidRPr="005A4D74" w:rsidRDefault="005C5212" w:rsidP="004B058E">
            <w:pPr>
              <w:spacing w:before="20" w:after="20"/>
              <w:rPr>
                <w:szCs w:val="20"/>
              </w:rPr>
            </w:pPr>
          </w:p>
          <w:p w14:paraId="75B53AA5" w14:textId="77777777" w:rsidR="005C5212" w:rsidRPr="005A4D74" w:rsidRDefault="005C5212" w:rsidP="004B058E">
            <w:pPr>
              <w:numPr>
                <w:ilvl w:val="0"/>
                <w:numId w:val="15"/>
              </w:numPr>
              <w:spacing w:before="20" w:after="20" w:line="264" w:lineRule="auto"/>
              <w:rPr>
                <w:szCs w:val="20"/>
              </w:rPr>
            </w:pPr>
            <w:r w:rsidRPr="005A4D74">
              <w:rPr>
                <w:szCs w:val="20"/>
              </w:rPr>
              <w:t>Offerors are required to meet the following specifications, to demonstrate compliance with the minimum requirements identified in the summary table (above):</w:t>
            </w:r>
          </w:p>
          <w:p w14:paraId="4497CE04" w14:textId="77777777" w:rsidR="005C5212" w:rsidRPr="005A4D74" w:rsidRDefault="005C5212" w:rsidP="004B058E">
            <w:pPr>
              <w:numPr>
                <w:ilvl w:val="0"/>
                <w:numId w:val="16"/>
              </w:numPr>
              <w:spacing w:before="20" w:after="20" w:line="264" w:lineRule="auto"/>
              <w:rPr>
                <w:szCs w:val="20"/>
              </w:rPr>
            </w:pPr>
            <w:r w:rsidRPr="005A4D74">
              <w:rPr>
                <w:szCs w:val="20"/>
              </w:rPr>
              <w:t>products must be registered and certified to EPEAT silver standard</w:t>
            </w:r>
          </w:p>
          <w:p w14:paraId="0EC755E2" w14:textId="77777777" w:rsidR="005C5212" w:rsidRPr="005A4D74" w:rsidRDefault="005C5212" w:rsidP="004B058E">
            <w:pPr>
              <w:numPr>
                <w:ilvl w:val="0"/>
                <w:numId w:val="16"/>
              </w:numPr>
              <w:spacing w:before="20" w:after="20" w:line="264" w:lineRule="auto"/>
              <w:rPr>
                <w:szCs w:val="20"/>
              </w:rPr>
            </w:pPr>
            <w:r w:rsidRPr="005A4D74">
              <w:rPr>
                <w:szCs w:val="20"/>
              </w:rPr>
              <w:t>offerors must be signatory to Australian National Packaging Covenant</w:t>
            </w:r>
          </w:p>
          <w:p w14:paraId="10367E32" w14:textId="77777777" w:rsidR="005C5212" w:rsidRPr="005A4D74" w:rsidRDefault="005C5212" w:rsidP="004B058E">
            <w:pPr>
              <w:numPr>
                <w:ilvl w:val="0"/>
                <w:numId w:val="16"/>
              </w:numPr>
              <w:spacing w:before="20" w:after="20" w:line="264" w:lineRule="auto"/>
              <w:rPr>
                <w:szCs w:val="20"/>
              </w:rPr>
            </w:pPr>
            <w:r w:rsidRPr="005A4D74">
              <w:rPr>
                <w:szCs w:val="20"/>
              </w:rPr>
              <w:lastRenderedPageBreak/>
              <w:t>offerors must meet additional packaging requirements outlined below:</w:t>
            </w:r>
          </w:p>
          <w:p w14:paraId="1593F565" w14:textId="77777777" w:rsidR="005C5212" w:rsidRPr="005A4D74" w:rsidRDefault="005C5212" w:rsidP="004B058E">
            <w:pPr>
              <w:numPr>
                <w:ilvl w:val="0"/>
                <w:numId w:val="25"/>
              </w:numPr>
              <w:spacing w:before="20" w:after="20" w:line="264" w:lineRule="auto"/>
              <w:rPr>
                <w:szCs w:val="20"/>
              </w:rPr>
            </w:pPr>
            <w:r w:rsidRPr="005A4D74">
              <w:rPr>
                <w:szCs w:val="20"/>
              </w:rPr>
              <w:t>multi-packs for bulk orders</w:t>
            </w:r>
          </w:p>
          <w:p w14:paraId="6839E421" w14:textId="77777777" w:rsidR="005C5212" w:rsidRPr="005A4D74" w:rsidRDefault="005C5212" w:rsidP="004B058E">
            <w:pPr>
              <w:numPr>
                <w:ilvl w:val="0"/>
                <w:numId w:val="25"/>
              </w:numPr>
              <w:spacing w:before="20" w:after="20" w:line="264" w:lineRule="auto"/>
              <w:rPr>
                <w:szCs w:val="20"/>
              </w:rPr>
            </w:pPr>
            <w:r w:rsidRPr="005A4D74">
              <w:rPr>
                <w:szCs w:val="20"/>
              </w:rPr>
              <w:t>removal of excess CD/DVDs and documents</w:t>
            </w:r>
          </w:p>
          <w:p w14:paraId="0FF1A7EC" w14:textId="77777777" w:rsidR="005C5212" w:rsidRPr="005A4D74" w:rsidRDefault="005C5212" w:rsidP="004B058E">
            <w:pPr>
              <w:numPr>
                <w:ilvl w:val="0"/>
                <w:numId w:val="16"/>
              </w:numPr>
              <w:spacing w:before="20" w:after="20" w:line="264" w:lineRule="auto"/>
              <w:rPr>
                <w:szCs w:val="20"/>
              </w:rPr>
            </w:pPr>
            <w:r w:rsidRPr="005A4D74">
              <w:rPr>
                <w:szCs w:val="20"/>
              </w:rPr>
              <w:t>offerors must demonstrate that the manufacturers and suppliers of the product components are compliant with the ILO core framework and certified to SA 8000 or an equivalent.</w:t>
            </w:r>
          </w:p>
          <w:p w14:paraId="44C3CBB8" w14:textId="77777777" w:rsidR="005C5212" w:rsidRPr="005A4D74" w:rsidRDefault="005C5212" w:rsidP="004B058E">
            <w:pPr>
              <w:spacing w:before="20" w:after="20"/>
              <w:ind w:left="360"/>
              <w:rPr>
                <w:szCs w:val="20"/>
              </w:rPr>
            </w:pPr>
          </w:p>
          <w:p w14:paraId="266B3A85" w14:textId="77777777" w:rsidR="005C5212" w:rsidRPr="005A4D74" w:rsidRDefault="005C5212" w:rsidP="004B058E">
            <w:pPr>
              <w:numPr>
                <w:ilvl w:val="0"/>
                <w:numId w:val="15"/>
              </w:numPr>
              <w:spacing w:before="20" w:after="20" w:line="264" w:lineRule="auto"/>
              <w:rPr>
                <w:szCs w:val="20"/>
              </w:rPr>
            </w:pPr>
            <w:r w:rsidRPr="005A4D74">
              <w:rPr>
                <w:szCs w:val="20"/>
              </w:rPr>
              <w:t>Throughout the term of the arrangement, the successful offeror will be required to provide an end-of-life take-back scheme for all offered products and reporting on product disposal outcomes.</w:t>
            </w:r>
          </w:p>
          <w:p w14:paraId="7AB0D0A3" w14:textId="77777777" w:rsidR="005C5212" w:rsidRPr="005A4D74" w:rsidRDefault="005C5212" w:rsidP="004B058E">
            <w:pPr>
              <w:spacing w:before="20" w:after="20"/>
              <w:rPr>
                <w:szCs w:val="20"/>
              </w:rPr>
            </w:pPr>
          </w:p>
          <w:p w14:paraId="6C40F2A0" w14:textId="77777777" w:rsidR="005C5212" w:rsidRPr="005A4D74" w:rsidRDefault="005C5212" w:rsidP="004B058E">
            <w:pPr>
              <w:spacing w:before="20" w:after="20"/>
              <w:ind w:left="360"/>
              <w:rPr>
                <w:szCs w:val="20"/>
              </w:rPr>
            </w:pPr>
            <w:r w:rsidRPr="005A4D74">
              <w:rPr>
                <w:szCs w:val="20"/>
              </w:rPr>
              <w:t>The offeror must provide an end-of-life take-back guarantee and must demonstrate that there are arrangements in place to re-use, recycle and/or dispose of waste.</w:t>
            </w:r>
          </w:p>
          <w:p w14:paraId="12A8D63E" w14:textId="77777777" w:rsidR="005C5212" w:rsidRPr="005A4D74" w:rsidRDefault="005C5212" w:rsidP="004B058E">
            <w:pPr>
              <w:spacing w:before="20" w:after="20"/>
              <w:ind w:left="360"/>
              <w:rPr>
                <w:szCs w:val="20"/>
              </w:rPr>
            </w:pPr>
          </w:p>
          <w:p w14:paraId="722FD493" w14:textId="77777777" w:rsidR="005C5212" w:rsidRPr="005A4D74" w:rsidRDefault="005C5212" w:rsidP="004B058E">
            <w:pPr>
              <w:spacing w:before="20" w:after="20"/>
              <w:ind w:left="360"/>
              <w:rPr>
                <w:szCs w:val="20"/>
              </w:rPr>
            </w:pPr>
            <w:r w:rsidRPr="005A4D74">
              <w:rPr>
                <w:szCs w:val="20"/>
              </w:rPr>
              <w:t>Offerors are required to disclose any special provisions/conditions/exclusions in relation to this scheme.</w:t>
            </w:r>
          </w:p>
          <w:p w14:paraId="2FFAF341" w14:textId="77777777" w:rsidR="005C5212" w:rsidRPr="005A4D74" w:rsidRDefault="005C5212" w:rsidP="004B058E">
            <w:pPr>
              <w:spacing w:before="20" w:after="20"/>
              <w:rPr>
                <w:szCs w:val="20"/>
              </w:rPr>
            </w:pPr>
          </w:p>
          <w:p w14:paraId="4952D529" w14:textId="77777777" w:rsidR="005C5212" w:rsidRPr="005A4D74" w:rsidRDefault="005C5212" w:rsidP="004B058E">
            <w:pPr>
              <w:numPr>
                <w:ilvl w:val="0"/>
                <w:numId w:val="15"/>
              </w:numPr>
              <w:spacing w:before="20" w:after="20" w:line="264" w:lineRule="auto"/>
              <w:rPr>
                <w:szCs w:val="20"/>
              </w:rPr>
            </w:pPr>
            <w:r w:rsidRPr="005A4D74">
              <w:rPr>
                <w:szCs w:val="20"/>
              </w:rPr>
              <w:t xml:space="preserve">Offerors are required to disclose any initiatives/ strategies implemented to reduce the environmental impact of product packaging at end-of-life. This may include initiatives to collect the packaging supplied with the </w:t>
            </w:r>
            <w:proofErr w:type="gramStart"/>
            <w:r w:rsidRPr="005A4D74">
              <w:rPr>
                <w:szCs w:val="20"/>
              </w:rPr>
              <w:t>offered products</w:t>
            </w:r>
            <w:proofErr w:type="gramEnd"/>
            <w:r w:rsidRPr="005A4D74">
              <w:rPr>
                <w:szCs w:val="20"/>
              </w:rPr>
              <w:t xml:space="preserve"> and/or reuse the packaging materials.</w:t>
            </w:r>
          </w:p>
          <w:p w14:paraId="09C869DA" w14:textId="77777777" w:rsidR="005C5212" w:rsidRPr="005A4D74" w:rsidRDefault="005C5212" w:rsidP="004B058E">
            <w:pPr>
              <w:spacing w:before="20" w:after="20"/>
              <w:rPr>
                <w:szCs w:val="20"/>
              </w:rPr>
            </w:pPr>
          </w:p>
          <w:p w14:paraId="68918F82" w14:textId="77777777" w:rsidR="005C5212" w:rsidRPr="005A4D74" w:rsidRDefault="005C5212" w:rsidP="004B058E">
            <w:pPr>
              <w:spacing w:before="20" w:after="20"/>
              <w:ind w:left="360"/>
              <w:rPr>
                <w:szCs w:val="20"/>
              </w:rPr>
            </w:pPr>
            <w:r w:rsidRPr="005A4D74">
              <w:rPr>
                <w:szCs w:val="20"/>
              </w:rPr>
              <w:t xml:space="preserve">If the offeror </w:t>
            </w:r>
            <w:proofErr w:type="gramStart"/>
            <w:r w:rsidRPr="005A4D74">
              <w:rPr>
                <w:szCs w:val="20"/>
              </w:rPr>
              <w:t>is providing</w:t>
            </w:r>
            <w:proofErr w:type="gramEnd"/>
            <w:r w:rsidRPr="005A4D74">
              <w:rPr>
                <w:szCs w:val="20"/>
              </w:rPr>
              <w:t xml:space="preserve"> a packaging take-back service, they must disclose how the collected packaging will be managed and whether the packaging is recycled locally.</w:t>
            </w:r>
          </w:p>
          <w:p w14:paraId="333B5AB9" w14:textId="77777777" w:rsidR="005C5212" w:rsidRPr="005A4D74" w:rsidRDefault="005C5212" w:rsidP="004B058E">
            <w:pPr>
              <w:spacing w:before="20" w:after="20"/>
              <w:rPr>
                <w:szCs w:val="20"/>
              </w:rPr>
            </w:pPr>
          </w:p>
          <w:p w14:paraId="071445A6" w14:textId="77777777" w:rsidR="005C5212" w:rsidRPr="005A4D74" w:rsidRDefault="005C5212" w:rsidP="004B058E">
            <w:pPr>
              <w:numPr>
                <w:ilvl w:val="0"/>
                <w:numId w:val="15"/>
              </w:numPr>
              <w:spacing w:before="20" w:after="20" w:line="264" w:lineRule="auto"/>
              <w:rPr>
                <w:szCs w:val="20"/>
              </w:rPr>
            </w:pPr>
            <w:r w:rsidRPr="005A4D74">
              <w:rPr>
                <w:szCs w:val="20"/>
              </w:rPr>
              <w:t xml:space="preserve">Offerors are invited to provide advice regarding technology that may enhance the </w:t>
            </w:r>
            <w:proofErr w:type="spellStart"/>
            <w:r w:rsidRPr="005A4D74">
              <w:rPr>
                <w:szCs w:val="20"/>
              </w:rPr>
              <w:t>organisation’s</w:t>
            </w:r>
            <w:proofErr w:type="spellEnd"/>
            <w:r w:rsidRPr="005A4D74">
              <w:rPr>
                <w:szCs w:val="20"/>
              </w:rPr>
              <w:t xml:space="preserve"> immediate or future sustainability initiatives.</w:t>
            </w:r>
          </w:p>
          <w:p w14:paraId="2FC0ADFF" w14:textId="77777777" w:rsidR="005C5212" w:rsidRPr="005A4D74" w:rsidRDefault="005C5212" w:rsidP="004B058E">
            <w:pPr>
              <w:spacing w:before="20" w:after="20"/>
              <w:rPr>
                <w:szCs w:val="20"/>
              </w:rPr>
            </w:pPr>
          </w:p>
          <w:p w14:paraId="0DDFEE6D" w14:textId="77777777" w:rsidR="005C5212" w:rsidRPr="005A4D74" w:rsidRDefault="005C5212" w:rsidP="004B058E">
            <w:pPr>
              <w:numPr>
                <w:ilvl w:val="0"/>
                <w:numId w:val="15"/>
              </w:numPr>
              <w:spacing w:before="20" w:after="20" w:line="264" w:lineRule="auto"/>
              <w:rPr>
                <w:szCs w:val="20"/>
              </w:rPr>
            </w:pPr>
            <w:r w:rsidRPr="005A4D74">
              <w:rPr>
                <w:szCs w:val="20"/>
              </w:rPr>
              <w:t>Offerors are required to provide products compliant with the following standards:</w:t>
            </w:r>
          </w:p>
          <w:p w14:paraId="62CA7674" w14:textId="77777777" w:rsidR="005C5212" w:rsidRPr="005A4D74" w:rsidRDefault="005C5212" w:rsidP="004B058E">
            <w:pPr>
              <w:numPr>
                <w:ilvl w:val="0"/>
                <w:numId w:val="17"/>
              </w:numPr>
              <w:spacing w:before="20" w:after="20" w:line="264" w:lineRule="auto"/>
              <w:rPr>
                <w:szCs w:val="20"/>
              </w:rPr>
            </w:pPr>
            <w:r w:rsidRPr="005A4D74">
              <w:rPr>
                <w:szCs w:val="20"/>
              </w:rPr>
              <w:t>ISO AS 14001:2004</w:t>
            </w:r>
          </w:p>
          <w:p w14:paraId="0C2F3C73" w14:textId="77777777" w:rsidR="005C5212" w:rsidRPr="005A4D74" w:rsidRDefault="005C5212" w:rsidP="004B058E">
            <w:pPr>
              <w:numPr>
                <w:ilvl w:val="0"/>
                <w:numId w:val="17"/>
              </w:numPr>
              <w:spacing w:before="20" w:after="20" w:line="264" w:lineRule="auto"/>
              <w:rPr>
                <w:szCs w:val="20"/>
              </w:rPr>
            </w:pPr>
            <w:r w:rsidRPr="005A4D74">
              <w:rPr>
                <w:szCs w:val="20"/>
              </w:rPr>
              <w:t>ISO AS 4801:2001.</w:t>
            </w:r>
          </w:p>
          <w:p w14:paraId="715FFFC7" w14:textId="77777777" w:rsidR="005C5212" w:rsidRDefault="005C5212" w:rsidP="004B058E">
            <w:pPr>
              <w:spacing w:before="20" w:after="20"/>
              <w:rPr>
                <w:szCs w:val="20"/>
              </w:rPr>
            </w:pPr>
          </w:p>
          <w:p w14:paraId="0B2EC85E" w14:textId="77777777" w:rsidR="005C5212" w:rsidRPr="005A4D74" w:rsidRDefault="005C5212" w:rsidP="004B058E">
            <w:pPr>
              <w:spacing w:before="20" w:after="20"/>
              <w:rPr>
                <w:szCs w:val="20"/>
              </w:rPr>
            </w:pPr>
          </w:p>
        </w:tc>
        <w:tc>
          <w:tcPr>
            <w:tcW w:w="2481" w:type="pct"/>
          </w:tcPr>
          <w:p w14:paraId="1CC987A8" w14:textId="77777777" w:rsidR="005C5212" w:rsidRPr="005A4D74" w:rsidRDefault="005C5212" w:rsidP="004B058E">
            <w:pPr>
              <w:spacing w:before="20" w:after="20"/>
              <w:rPr>
                <w:b/>
                <w:szCs w:val="20"/>
              </w:rPr>
            </w:pPr>
            <w:r w:rsidRPr="005A4D74">
              <w:rPr>
                <w:b/>
                <w:szCs w:val="20"/>
              </w:rPr>
              <w:lastRenderedPageBreak/>
              <w:t>Best practice specification:</w:t>
            </w:r>
          </w:p>
          <w:p w14:paraId="7A65F2C6" w14:textId="77777777" w:rsidR="005C5212" w:rsidRPr="005A4D74" w:rsidRDefault="005C5212" w:rsidP="004B058E">
            <w:pPr>
              <w:spacing w:before="20" w:after="20"/>
              <w:rPr>
                <w:szCs w:val="20"/>
              </w:rPr>
            </w:pPr>
          </w:p>
          <w:p w14:paraId="341F7F5B" w14:textId="77777777" w:rsidR="005C5212" w:rsidRPr="005A4D74" w:rsidRDefault="005C5212" w:rsidP="004B058E">
            <w:pPr>
              <w:numPr>
                <w:ilvl w:val="0"/>
                <w:numId w:val="18"/>
              </w:numPr>
              <w:spacing w:before="20" w:after="20" w:line="264" w:lineRule="auto"/>
              <w:rPr>
                <w:szCs w:val="20"/>
              </w:rPr>
            </w:pPr>
            <w:r w:rsidRPr="005A4D74">
              <w:rPr>
                <w:szCs w:val="20"/>
              </w:rPr>
              <w:t>Offerors are required to meet the following specifications over and above the minimum specifications, to demonstrate that the sustainability performance exceeds the minimum requirements identified in the summary table (above):</w:t>
            </w:r>
          </w:p>
          <w:p w14:paraId="37658F6A" w14:textId="77777777" w:rsidR="005C5212" w:rsidRPr="005A4D74" w:rsidRDefault="005C5212" w:rsidP="004B058E">
            <w:pPr>
              <w:numPr>
                <w:ilvl w:val="0"/>
                <w:numId w:val="19"/>
              </w:numPr>
              <w:spacing w:before="20" w:after="20" w:line="264" w:lineRule="auto"/>
              <w:rPr>
                <w:szCs w:val="20"/>
              </w:rPr>
            </w:pPr>
            <w:r w:rsidRPr="005A4D74">
              <w:rPr>
                <w:szCs w:val="20"/>
              </w:rPr>
              <w:t>products must be registered and certified to EPEAT gold standard</w:t>
            </w:r>
          </w:p>
          <w:p w14:paraId="4E3BA8AD" w14:textId="77777777" w:rsidR="005C5212" w:rsidRPr="005A4D74" w:rsidRDefault="005C5212" w:rsidP="004B058E">
            <w:pPr>
              <w:numPr>
                <w:ilvl w:val="0"/>
                <w:numId w:val="19"/>
              </w:numPr>
              <w:spacing w:before="20" w:after="20" w:line="264" w:lineRule="auto"/>
              <w:rPr>
                <w:szCs w:val="20"/>
              </w:rPr>
            </w:pPr>
            <w:r w:rsidRPr="005A4D74">
              <w:rPr>
                <w:szCs w:val="20"/>
              </w:rPr>
              <w:t>noise emissions for the offered products must be compliant with the requirements of a Type I ecolabel such as Blue Angel, Nordic Swan, GECA or equivalent, and evidence of compliance provided.</w:t>
            </w:r>
            <w:r w:rsidRPr="005A4D74">
              <w:rPr>
                <w:szCs w:val="20"/>
              </w:rPr>
              <w:br/>
            </w:r>
          </w:p>
          <w:p w14:paraId="61C2E683" w14:textId="77777777" w:rsidR="005C5212" w:rsidRPr="005A4D74" w:rsidRDefault="005C5212" w:rsidP="004B058E">
            <w:pPr>
              <w:numPr>
                <w:ilvl w:val="0"/>
                <w:numId w:val="18"/>
              </w:numPr>
              <w:spacing w:before="20" w:after="20" w:line="264" w:lineRule="auto"/>
              <w:rPr>
                <w:szCs w:val="20"/>
              </w:rPr>
            </w:pPr>
            <w:r w:rsidRPr="005A4D74">
              <w:rPr>
                <w:szCs w:val="20"/>
              </w:rPr>
              <w:t xml:space="preserve">Throughout the term of the arrangement, the successful offeror will be required to provide an end-of-life take-back scheme for all offered products and auditable reporting of product disposal outcomes. </w:t>
            </w:r>
          </w:p>
          <w:p w14:paraId="0D121E7D" w14:textId="77777777" w:rsidR="005C5212" w:rsidRPr="005A4D74" w:rsidRDefault="005C5212" w:rsidP="004B058E">
            <w:pPr>
              <w:spacing w:before="20" w:after="20"/>
              <w:ind w:left="720"/>
              <w:rPr>
                <w:szCs w:val="20"/>
              </w:rPr>
            </w:pPr>
          </w:p>
          <w:p w14:paraId="0B284E4C" w14:textId="77777777" w:rsidR="005C5212" w:rsidRPr="005A4D74" w:rsidRDefault="005C5212" w:rsidP="004B058E">
            <w:pPr>
              <w:spacing w:before="20" w:after="20"/>
              <w:ind w:left="360"/>
              <w:rPr>
                <w:szCs w:val="20"/>
              </w:rPr>
            </w:pPr>
            <w:r w:rsidRPr="005A4D74">
              <w:rPr>
                <w:szCs w:val="20"/>
              </w:rPr>
              <w:t>The offeror must provide an end-of-life take-back guarantee and must demonstrate that there are arrangements in place to re-use, recycle and/or dispose of waste.</w:t>
            </w:r>
          </w:p>
          <w:p w14:paraId="24506585" w14:textId="77777777" w:rsidR="005C5212" w:rsidRPr="005A4D74" w:rsidRDefault="005C5212" w:rsidP="004B058E">
            <w:pPr>
              <w:spacing w:before="20" w:after="20"/>
              <w:ind w:left="360"/>
              <w:rPr>
                <w:szCs w:val="20"/>
              </w:rPr>
            </w:pPr>
          </w:p>
          <w:p w14:paraId="3B5363BA" w14:textId="77777777" w:rsidR="005C5212" w:rsidRPr="005A4D74" w:rsidRDefault="005C5212" w:rsidP="004B058E">
            <w:pPr>
              <w:rPr>
                <w:szCs w:val="20"/>
              </w:rPr>
            </w:pPr>
            <w:r w:rsidRPr="005A4D74">
              <w:rPr>
                <w:szCs w:val="20"/>
              </w:rPr>
              <w:lastRenderedPageBreak/>
              <w:t>Offerors are required to disclose any special provisions/conditions/exclusions in relation to this scheme.</w:t>
            </w:r>
          </w:p>
        </w:tc>
      </w:tr>
    </w:tbl>
    <w:tbl>
      <w:tblPr>
        <w:tblW w:w="990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57" w:type="dxa"/>
          <w:left w:w="119" w:type="dxa"/>
          <w:bottom w:w="28" w:type="dxa"/>
          <w:right w:w="119" w:type="dxa"/>
        </w:tblCellMar>
        <w:tblLook w:val="01E0" w:firstRow="1" w:lastRow="1" w:firstColumn="1" w:lastColumn="1" w:noHBand="0" w:noVBand="0"/>
      </w:tblPr>
      <w:tblGrid>
        <w:gridCol w:w="9900"/>
      </w:tblGrid>
      <w:tr w:rsidR="005C5212" w14:paraId="6AE2FC66" w14:textId="77777777" w:rsidTr="004B058E">
        <w:trPr>
          <w:cantSplit/>
        </w:trPr>
        <w:tc>
          <w:tcPr>
            <w:tcW w:w="9900" w:type="dxa"/>
            <w:shd w:val="clear" w:color="auto" w:fill="auto"/>
          </w:tcPr>
          <w:p w14:paraId="04FEE88E" w14:textId="40C0500B" w:rsidR="005C5212" w:rsidRPr="00F76984" w:rsidRDefault="005C5212" w:rsidP="004B058E">
            <w:pPr>
              <w:spacing w:before="20" w:after="20"/>
              <w:rPr>
                <w:b/>
                <w:szCs w:val="20"/>
              </w:rPr>
            </w:pPr>
            <w:r w:rsidRPr="00F76984">
              <w:rPr>
                <w:b/>
                <w:szCs w:val="20"/>
              </w:rPr>
              <w:lastRenderedPageBreak/>
              <w:t>Contract performance clauses</w:t>
            </w:r>
          </w:p>
          <w:p w14:paraId="422C3F64" w14:textId="77777777" w:rsidR="005C5212" w:rsidRPr="00F76984" w:rsidRDefault="005C5212" w:rsidP="004B058E">
            <w:pPr>
              <w:numPr>
                <w:ilvl w:val="0"/>
                <w:numId w:val="20"/>
              </w:numPr>
              <w:spacing w:before="20" w:after="20" w:line="264" w:lineRule="auto"/>
              <w:rPr>
                <w:szCs w:val="20"/>
              </w:rPr>
            </w:pPr>
            <w:r w:rsidRPr="00F76984">
              <w:rPr>
                <w:szCs w:val="20"/>
              </w:rPr>
              <w:t>All new products offered under the arrangement must be compliant with the specified EPEAT standard.</w:t>
            </w:r>
          </w:p>
          <w:p w14:paraId="3688B4D2" w14:textId="77777777" w:rsidR="005C5212" w:rsidRPr="00F76984" w:rsidRDefault="005C5212" w:rsidP="004B058E">
            <w:pPr>
              <w:numPr>
                <w:ilvl w:val="0"/>
                <w:numId w:val="20"/>
              </w:numPr>
              <w:spacing w:before="20" w:after="20" w:line="264" w:lineRule="auto"/>
              <w:rPr>
                <w:szCs w:val="20"/>
              </w:rPr>
            </w:pPr>
            <w:r w:rsidRPr="00F76984">
              <w:rPr>
                <w:szCs w:val="20"/>
              </w:rPr>
              <w:t>The contractor is required to provide quarterly reporting on:</w:t>
            </w:r>
          </w:p>
          <w:p w14:paraId="358DBFCB" w14:textId="77777777" w:rsidR="005C5212" w:rsidRPr="00F76984" w:rsidRDefault="005C5212" w:rsidP="004B058E">
            <w:pPr>
              <w:numPr>
                <w:ilvl w:val="0"/>
                <w:numId w:val="21"/>
              </w:numPr>
              <w:spacing w:before="20" w:after="20" w:line="264" w:lineRule="auto"/>
              <w:rPr>
                <w:szCs w:val="20"/>
              </w:rPr>
            </w:pPr>
            <w:r w:rsidRPr="00F76984">
              <w:rPr>
                <w:szCs w:val="20"/>
              </w:rPr>
              <w:t>disposal outcomes for all products collected under the take-back scheme (e.g. volumes recycled)</w:t>
            </w:r>
          </w:p>
          <w:p w14:paraId="1A03B0FB" w14:textId="77777777" w:rsidR="005C5212" w:rsidRPr="00F76984" w:rsidRDefault="005C5212" w:rsidP="004B058E">
            <w:pPr>
              <w:numPr>
                <w:ilvl w:val="0"/>
                <w:numId w:val="21"/>
              </w:numPr>
              <w:spacing w:before="20" w:after="20" w:line="264" w:lineRule="auto"/>
              <w:rPr>
                <w:szCs w:val="20"/>
              </w:rPr>
            </w:pPr>
            <w:r w:rsidRPr="00F76984">
              <w:rPr>
                <w:szCs w:val="20"/>
              </w:rPr>
              <w:t>volume of product packaging recycled and/or reused</w:t>
            </w:r>
          </w:p>
          <w:p w14:paraId="1AA945AF" w14:textId="77777777" w:rsidR="005C5212" w:rsidRPr="0041521E" w:rsidRDefault="005C5212" w:rsidP="004B058E">
            <w:pPr>
              <w:numPr>
                <w:ilvl w:val="0"/>
                <w:numId w:val="21"/>
              </w:numPr>
              <w:spacing w:before="20" w:after="20" w:line="264" w:lineRule="auto"/>
              <w:rPr>
                <w:sz w:val="19"/>
                <w:szCs w:val="19"/>
              </w:rPr>
            </w:pPr>
            <w:r w:rsidRPr="00F76984">
              <w:rPr>
                <w:szCs w:val="20"/>
              </w:rPr>
              <w:t>volume of waste sent to landfill.</w:t>
            </w:r>
          </w:p>
        </w:tc>
      </w:tr>
      <w:tr w:rsidR="005C5212" w14:paraId="2A43847D" w14:textId="77777777" w:rsidTr="004B058E">
        <w:trPr>
          <w:cantSplit/>
        </w:trPr>
        <w:tc>
          <w:tcPr>
            <w:tcW w:w="9900" w:type="dxa"/>
          </w:tcPr>
          <w:p w14:paraId="20F9CD3E" w14:textId="77777777" w:rsidR="005C5212" w:rsidRPr="0041521E" w:rsidRDefault="005C5212" w:rsidP="004B058E">
            <w:pPr>
              <w:spacing w:before="20" w:after="20"/>
              <w:rPr>
                <w:sz w:val="19"/>
                <w:szCs w:val="19"/>
              </w:rPr>
            </w:pPr>
            <w:r w:rsidRPr="0041521E">
              <w:rPr>
                <w:sz w:val="19"/>
                <w:szCs w:val="19"/>
              </w:rPr>
              <w:t xml:space="preserve">References: 1, 2, 3, 4 (see </w:t>
            </w:r>
            <w:r w:rsidRPr="0041521E">
              <w:rPr>
                <w:i/>
                <w:sz w:val="19"/>
                <w:szCs w:val="19"/>
              </w:rPr>
              <w:t>References</w:t>
            </w:r>
            <w:r>
              <w:rPr>
                <w:sz w:val="19"/>
                <w:szCs w:val="19"/>
              </w:rPr>
              <w:t>, below</w:t>
            </w:r>
            <w:r w:rsidRPr="0041521E">
              <w:rPr>
                <w:sz w:val="19"/>
                <w:szCs w:val="19"/>
              </w:rPr>
              <w:t>).</w:t>
            </w:r>
          </w:p>
        </w:tc>
      </w:tr>
    </w:tbl>
    <w:p w14:paraId="7B3E7564" w14:textId="77777777" w:rsidR="005C5212" w:rsidRDefault="005C5212" w:rsidP="005C5212">
      <w:pPr>
        <w:pStyle w:val="Heading1"/>
      </w:pPr>
      <w:bookmarkStart w:id="45" w:name="_Toc382403178"/>
      <w:bookmarkStart w:id="46" w:name="_Toc485396589"/>
      <w:bookmarkStart w:id="47" w:name="_Toc529775851"/>
      <w:bookmarkStart w:id="48" w:name="_Toc203375957"/>
      <w:r>
        <w:t>Integrating sustainable procurement throughout the procurement process</w:t>
      </w:r>
      <w:bookmarkEnd w:id="45"/>
      <w:bookmarkEnd w:id="46"/>
      <w:bookmarkEnd w:id="47"/>
      <w:bookmarkEnd w:id="48"/>
    </w:p>
    <w:p w14:paraId="262A7032" w14:textId="77777777" w:rsidR="005C5212" w:rsidRDefault="005C5212" w:rsidP="005C5212">
      <w:r>
        <w:t>Sustainability considerations should be incorporated at every stage of the procurement process. Prior to incorporating any specifications or information contained within this guide:</w:t>
      </w:r>
    </w:p>
    <w:p w14:paraId="451EF32C" w14:textId="77777777" w:rsidR="005C5212" w:rsidRDefault="005C5212" w:rsidP="005C5212">
      <w:pPr>
        <w:numPr>
          <w:ilvl w:val="0"/>
          <w:numId w:val="9"/>
        </w:numPr>
        <w:spacing w:after="0"/>
        <w:ind w:left="714" w:hanging="357"/>
      </w:pPr>
      <w:r>
        <w:t>consider the specific market conditions and organisational needs prior to deciding if and where to apply these criteria</w:t>
      </w:r>
      <w:r>
        <w:br/>
      </w:r>
    </w:p>
    <w:p w14:paraId="4F63C3FD" w14:textId="77777777" w:rsidR="005C5212" w:rsidRDefault="005C5212" w:rsidP="005C5212">
      <w:pPr>
        <w:numPr>
          <w:ilvl w:val="0"/>
          <w:numId w:val="9"/>
        </w:numPr>
        <w:spacing w:after="60" w:line="264" w:lineRule="auto"/>
        <w:ind w:left="714" w:hanging="357"/>
      </w:pPr>
      <w:r>
        <w:t>document the options and decisions for how sustainability will be addressed in a plan for significant procurement or a business case.</w:t>
      </w:r>
    </w:p>
    <w:p w14:paraId="4162950E" w14:textId="77777777" w:rsidR="005C5212" w:rsidRDefault="005C5212" w:rsidP="005C5212">
      <w:pPr>
        <w:pStyle w:val="Heading2"/>
        <w:spacing w:before="240"/>
      </w:pPr>
      <w:bookmarkStart w:id="49" w:name="_Toc382403179"/>
      <w:bookmarkStart w:id="50" w:name="_Toc485396590"/>
      <w:bookmarkStart w:id="51" w:name="_Toc529775852"/>
      <w:bookmarkStart w:id="52" w:name="_Toc203375958"/>
      <w:r>
        <w:t>Procurement planning</w:t>
      </w:r>
      <w:bookmarkEnd w:id="49"/>
      <w:bookmarkEnd w:id="50"/>
      <w:bookmarkEnd w:id="51"/>
      <w:bookmarkEnd w:id="52"/>
    </w:p>
    <w:p w14:paraId="7DFD133F" w14:textId="77777777" w:rsidR="005C5212" w:rsidRDefault="005C5212" w:rsidP="005C5212">
      <w:pPr>
        <w:pStyle w:val="Heading3"/>
      </w:pPr>
      <w:bookmarkStart w:id="53" w:name="_Toc382403180"/>
      <w:bookmarkStart w:id="54" w:name="_Toc485396591"/>
      <w:bookmarkStart w:id="55" w:name="_Toc529775853"/>
      <w:bookmarkStart w:id="56" w:name="_Toc203375959"/>
      <w:r>
        <w:t>Demand analysis</w:t>
      </w:r>
      <w:bookmarkEnd w:id="53"/>
      <w:bookmarkEnd w:id="54"/>
      <w:bookmarkEnd w:id="55"/>
      <w:bookmarkEnd w:id="56"/>
    </w:p>
    <w:p w14:paraId="70D85DEE" w14:textId="77777777" w:rsidR="005C5212" w:rsidRDefault="005C5212" w:rsidP="005C5212">
      <w:r>
        <w:t>Rethinking the need for a purchase can help avoid unnecessary consumption.</w:t>
      </w:r>
    </w:p>
    <w:p w14:paraId="37987204" w14:textId="77777777" w:rsidR="005C5212" w:rsidRDefault="005C5212" w:rsidP="005C5212">
      <w:r>
        <w:t>Consider both the ‘need’ for the ICT product. For example:</w:t>
      </w:r>
    </w:p>
    <w:p w14:paraId="6E5AD559" w14:textId="77777777" w:rsidR="005C5212" w:rsidRDefault="005C5212" w:rsidP="005C5212">
      <w:pPr>
        <w:numPr>
          <w:ilvl w:val="0"/>
          <w:numId w:val="22"/>
        </w:numPr>
        <w:spacing w:after="60" w:line="264" w:lineRule="auto"/>
      </w:pPr>
      <w:r>
        <w:t>explore opportunities to not buy:</w:t>
      </w:r>
    </w:p>
    <w:p w14:paraId="2DB7A5A1" w14:textId="77777777" w:rsidR="005C5212" w:rsidRDefault="005C5212" w:rsidP="005C5212">
      <w:pPr>
        <w:numPr>
          <w:ilvl w:val="0"/>
          <w:numId w:val="24"/>
        </w:numPr>
        <w:spacing w:after="60" w:line="264" w:lineRule="auto"/>
      </w:pPr>
      <w:r>
        <w:t>extend the ‘useful life’ of products (e.g. revise the automatic replacement dates from three to four years, or greater if circumstances allow)</w:t>
      </w:r>
    </w:p>
    <w:p w14:paraId="7959D359" w14:textId="77777777" w:rsidR="005C5212" w:rsidRDefault="005C5212" w:rsidP="005C5212">
      <w:pPr>
        <w:numPr>
          <w:ilvl w:val="0"/>
          <w:numId w:val="24"/>
        </w:numPr>
        <w:spacing w:after="60" w:line="264" w:lineRule="auto"/>
      </w:pPr>
      <w:r>
        <w:t>are there opportunities to reuse or upgrade existing ICT products</w:t>
      </w:r>
    </w:p>
    <w:p w14:paraId="060DF093" w14:textId="77777777" w:rsidR="005C5212" w:rsidRDefault="005C5212" w:rsidP="005C5212">
      <w:pPr>
        <w:numPr>
          <w:ilvl w:val="0"/>
          <w:numId w:val="24"/>
        </w:numPr>
        <w:spacing w:after="60" w:line="264" w:lineRule="auto"/>
      </w:pPr>
      <w:r>
        <w:t>is there access to redundant ICT products either within the agency, groups of agencies or whole-of-Government</w:t>
      </w:r>
    </w:p>
    <w:p w14:paraId="5FD2F8F7" w14:textId="77777777" w:rsidR="005C5212" w:rsidRDefault="005C5212" w:rsidP="005C5212">
      <w:pPr>
        <w:numPr>
          <w:ilvl w:val="0"/>
          <w:numId w:val="24"/>
        </w:numPr>
        <w:spacing w:after="60" w:line="264" w:lineRule="auto"/>
      </w:pPr>
      <w:r>
        <w:t>can the quantity of the products procured be reduced whilst achieving the same output, through job or desk sharing.</w:t>
      </w:r>
    </w:p>
    <w:p w14:paraId="3BA5F319" w14:textId="77777777" w:rsidR="005C5212" w:rsidRDefault="005C5212" w:rsidP="005C5212">
      <w:pPr>
        <w:numPr>
          <w:ilvl w:val="0"/>
          <w:numId w:val="22"/>
        </w:numPr>
        <w:spacing w:after="60" w:line="264" w:lineRule="auto"/>
      </w:pPr>
      <w:r>
        <w:t>increase standardisation of configuration and limit the model range for ease of redistribution, repair, reuse and replacement</w:t>
      </w:r>
    </w:p>
    <w:p w14:paraId="686BD7FA" w14:textId="77777777" w:rsidR="005C5212" w:rsidRDefault="005C5212" w:rsidP="005C5212">
      <w:pPr>
        <w:numPr>
          <w:ilvl w:val="0"/>
          <w:numId w:val="22"/>
        </w:numPr>
        <w:spacing w:after="60" w:line="264" w:lineRule="auto"/>
      </w:pPr>
      <w:r>
        <w:t>utilise standardised connectivity to facilitate multiple use, replacement and repair</w:t>
      </w:r>
    </w:p>
    <w:p w14:paraId="0C49801E" w14:textId="77777777" w:rsidR="005C5212" w:rsidRDefault="005C5212" w:rsidP="005C5212">
      <w:pPr>
        <w:numPr>
          <w:ilvl w:val="0"/>
          <w:numId w:val="22"/>
        </w:numPr>
        <w:spacing w:after="60" w:line="264" w:lineRule="auto"/>
      </w:pPr>
      <w:r>
        <w:t>ensure that the product and its components are reused, recycled and disposed of effectively by requiring that the clients/end-users are utilising the product take-back scheme provided by the supplier</w:t>
      </w:r>
    </w:p>
    <w:p w14:paraId="7AC4C0C2" w14:textId="77777777" w:rsidR="005C5212" w:rsidRDefault="005C5212" w:rsidP="005C5212">
      <w:pPr>
        <w:numPr>
          <w:ilvl w:val="0"/>
          <w:numId w:val="22"/>
        </w:numPr>
        <w:spacing w:after="60" w:line="264" w:lineRule="auto"/>
      </w:pPr>
      <w:r>
        <w:t xml:space="preserve">ensure the agency’s asset management plans and asset disposal policies clearly address sustainability impacts, as well as measures to improve sustainability outcomes through demand management and sustainable end-of-life disposal of products </w:t>
      </w:r>
    </w:p>
    <w:p w14:paraId="6923C5B7" w14:textId="77777777" w:rsidR="005C5212" w:rsidRDefault="005C5212" w:rsidP="005C5212">
      <w:pPr>
        <w:numPr>
          <w:ilvl w:val="0"/>
          <w:numId w:val="22"/>
        </w:numPr>
        <w:spacing w:after="60" w:line="264" w:lineRule="auto"/>
      </w:pPr>
      <w:r>
        <w:t>consider procedures and behavioural and cultural changes that can support improved sustainability outcome, for example:</w:t>
      </w:r>
    </w:p>
    <w:p w14:paraId="1C64E569" w14:textId="77777777" w:rsidR="005C5212" w:rsidRDefault="005C5212" w:rsidP="005C5212">
      <w:pPr>
        <w:numPr>
          <w:ilvl w:val="0"/>
          <w:numId w:val="23"/>
        </w:numPr>
        <w:spacing w:after="60" w:line="264" w:lineRule="auto"/>
      </w:pPr>
      <w:r>
        <w:t>users being required to turn off equipment for prolonged periods of non-usage</w:t>
      </w:r>
    </w:p>
    <w:p w14:paraId="65C19E25" w14:textId="77777777" w:rsidR="005C5212" w:rsidRDefault="005C5212" w:rsidP="005C5212">
      <w:pPr>
        <w:numPr>
          <w:ilvl w:val="0"/>
          <w:numId w:val="23"/>
        </w:numPr>
        <w:spacing w:after="60" w:line="264" w:lineRule="auto"/>
      </w:pPr>
      <w:r>
        <w:t xml:space="preserve">users being made aware of disposal impacts of electronic equipment and the required disposal procedures </w:t>
      </w:r>
    </w:p>
    <w:p w14:paraId="4FDCE9B3" w14:textId="77777777" w:rsidR="005C5212" w:rsidRDefault="005C5212" w:rsidP="005C5212">
      <w:pPr>
        <w:numPr>
          <w:ilvl w:val="0"/>
          <w:numId w:val="23"/>
        </w:numPr>
        <w:spacing w:after="60" w:line="264" w:lineRule="auto"/>
      </w:pPr>
      <w:r>
        <w:lastRenderedPageBreak/>
        <w:t>activating power saving features by default within the Standard Operating Environment (SOE).</w:t>
      </w:r>
    </w:p>
    <w:p w14:paraId="68FE6652" w14:textId="77777777" w:rsidR="005C5212" w:rsidRDefault="005C5212" w:rsidP="005C5212">
      <w:pPr>
        <w:pStyle w:val="Heading3"/>
      </w:pPr>
      <w:bookmarkStart w:id="57" w:name="_Toc382403181"/>
      <w:bookmarkStart w:id="58" w:name="_Toc485396592"/>
      <w:bookmarkStart w:id="59" w:name="_Toc529775854"/>
      <w:bookmarkStart w:id="60" w:name="_Toc203375960"/>
      <w:r>
        <w:t>Supply market analysis</w:t>
      </w:r>
      <w:bookmarkEnd w:id="57"/>
      <w:bookmarkEnd w:id="58"/>
      <w:bookmarkEnd w:id="59"/>
      <w:bookmarkEnd w:id="60"/>
    </w:p>
    <w:p w14:paraId="02A84005" w14:textId="77777777" w:rsidR="005C5212" w:rsidRDefault="005C5212" w:rsidP="005C5212">
      <w:r>
        <w:t>Collect information to identify the capacity of the supply chain to deliver the products in accordance with sustainability requirements.</w:t>
      </w:r>
    </w:p>
    <w:p w14:paraId="0BACA655" w14:textId="77777777" w:rsidR="005C5212" w:rsidRDefault="005C5212" w:rsidP="005C5212">
      <w:r>
        <w:t>Use the sustainability issues identified in this guide to develop a pre-tender questionnaire that will help lead discussion with suppliers.</w:t>
      </w:r>
    </w:p>
    <w:p w14:paraId="7975CC4A" w14:textId="77777777" w:rsidR="005C5212" w:rsidRDefault="005C5212" w:rsidP="005C5212">
      <w:r>
        <w:t xml:space="preserve">Conduct pre-tender supplier briefings </w:t>
      </w:r>
      <w:proofErr w:type="gramStart"/>
      <w:r>
        <w:t>in order to</w:t>
      </w:r>
      <w:proofErr w:type="gramEnd"/>
      <w:r>
        <w:t>:</w:t>
      </w:r>
    </w:p>
    <w:p w14:paraId="372B39AC" w14:textId="77777777" w:rsidR="005C5212" w:rsidRDefault="005C5212" w:rsidP="005C5212">
      <w:pPr>
        <w:numPr>
          <w:ilvl w:val="0"/>
          <w:numId w:val="26"/>
        </w:numPr>
        <w:spacing w:after="0"/>
        <w:ind w:left="714" w:hanging="357"/>
      </w:pPr>
      <w:r>
        <w:t>engage potential suppliers, identify existing sustainable suppliers and develop an overall understanding of the market’s sustainability performance and capability</w:t>
      </w:r>
      <w:r>
        <w:br/>
      </w:r>
    </w:p>
    <w:p w14:paraId="10503D59" w14:textId="77777777" w:rsidR="005C5212" w:rsidRDefault="005C5212" w:rsidP="005C5212">
      <w:pPr>
        <w:numPr>
          <w:ilvl w:val="0"/>
          <w:numId w:val="26"/>
        </w:numPr>
        <w:spacing w:after="60" w:line="264" w:lineRule="auto"/>
      </w:pPr>
      <w:r>
        <w:t>determine whether the recommended minimum performance criteria identified in this guide are sufficient or if the best practice performance criteria would be more suitable.</w:t>
      </w:r>
    </w:p>
    <w:p w14:paraId="714E4C35" w14:textId="77777777" w:rsidR="005C5212" w:rsidRDefault="005C5212" w:rsidP="005C5212">
      <w:r>
        <w:t>Identify opportunities for collaboration between government and industry/specific suppliers in relation to sustainability issues contained in this guide.</w:t>
      </w:r>
    </w:p>
    <w:p w14:paraId="63CE7507" w14:textId="77777777" w:rsidR="005C5212" w:rsidRDefault="005C5212" w:rsidP="005C5212">
      <w:pPr>
        <w:pStyle w:val="Heading3"/>
      </w:pPr>
      <w:bookmarkStart w:id="61" w:name="_Toc382403182"/>
      <w:bookmarkStart w:id="62" w:name="_Toc485396593"/>
      <w:bookmarkStart w:id="63" w:name="_Toc529775855"/>
      <w:bookmarkStart w:id="64" w:name="_Toc203375961"/>
      <w:r>
        <w:t>Supplier engagement</w:t>
      </w:r>
      <w:bookmarkEnd w:id="61"/>
      <w:bookmarkEnd w:id="62"/>
      <w:bookmarkEnd w:id="63"/>
      <w:bookmarkEnd w:id="64"/>
    </w:p>
    <w:p w14:paraId="026C7D6A" w14:textId="77777777" w:rsidR="005C5212" w:rsidRDefault="005C5212" w:rsidP="005C5212">
      <w:r>
        <w:t>The criteria in this guide can be used to develop requirements in the invitation to offer documents, as follows:</w:t>
      </w:r>
    </w:p>
    <w:p w14:paraId="17140641" w14:textId="77777777" w:rsidR="005C5212" w:rsidRDefault="005C5212" w:rsidP="005C5212">
      <w:pPr>
        <w:numPr>
          <w:ilvl w:val="0"/>
          <w:numId w:val="27"/>
        </w:numPr>
        <w:spacing w:after="60" w:line="264" w:lineRule="auto"/>
      </w:pPr>
      <w:r>
        <w:t>minimum performance criteria for ICT products may be set as mandatory specifications</w:t>
      </w:r>
    </w:p>
    <w:p w14:paraId="7640AEAC" w14:textId="77777777" w:rsidR="005C5212" w:rsidRDefault="005C5212" w:rsidP="005C5212">
      <w:pPr>
        <w:numPr>
          <w:ilvl w:val="0"/>
          <w:numId w:val="28"/>
        </w:numPr>
        <w:spacing w:after="60" w:line="264" w:lineRule="auto"/>
      </w:pPr>
      <w:r>
        <w:t xml:space="preserve">ensure that ‘mandatory’ requirements </w:t>
      </w:r>
      <w:proofErr w:type="gramStart"/>
      <w:r>
        <w:t>are able to</w:t>
      </w:r>
      <w:proofErr w:type="gramEnd"/>
      <w:r>
        <w:t xml:space="preserve"> be delivered by </w:t>
      </w:r>
      <w:proofErr w:type="gramStart"/>
      <w:r>
        <w:t>the majority of</w:t>
      </w:r>
      <w:proofErr w:type="gramEnd"/>
      <w:r>
        <w:t xml:space="preserve"> potential suppliers as those who do not meet the mandatory specifications are not evaluated during the tendering process.</w:t>
      </w:r>
      <w:r>
        <w:br/>
      </w:r>
    </w:p>
    <w:p w14:paraId="2A7A0322" w14:textId="77777777" w:rsidR="005C5212" w:rsidRDefault="005C5212" w:rsidP="005C5212">
      <w:pPr>
        <w:numPr>
          <w:ilvl w:val="0"/>
          <w:numId w:val="27"/>
        </w:numPr>
        <w:spacing w:after="60" w:line="264" w:lineRule="auto"/>
        <w:ind w:hanging="357"/>
      </w:pPr>
      <w:r>
        <w:t>best practice performance criteria for ICT products may be set as desirable specifications</w:t>
      </w:r>
    </w:p>
    <w:p w14:paraId="25D6F290" w14:textId="77777777" w:rsidR="005C5212" w:rsidRDefault="005C5212" w:rsidP="005C5212">
      <w:pPr>
        <w:numPr>
          <w:ilvl w:val="0"/>
          <w:numId w:val="28"/>
        </w:numPr>
        <w:spacing w:after="60" w:line="264" w:lineRule="auto"/>
        <w:ind w:hanging="357"/>
      </w:pPr>
      <w:r>
        <w:t>these criteria relate to industry leaders in the sustainability field and therefore it is unlikely that all suppliers will be able to compete on this level</w:t>
      </w:r>
    </w:p>
    <w:p w14:paraId="42245587" w14:textId="77777777" w:rsidR="005C5212" w:rsidRDefault="005C5212" w:rsidP="005C5212">
      <w:pPr>
        <w:numPr>
          <w:ilvl w:val="0"/>
          <w:numId w:val="28"/>
        </w:numPr>
        <w:spacing w:after="60" w:line="264" w:lineRule="auto"/>
        <w:ind w:hanging="357"/>
      </w:pPr>
      <w:r>
        <w:t>best practice performance criteria provide a market for more sustainable products</w:t>
      </w:r>
    </w:p>
    <w:p w14:paraId="06F2065F" w14:textId="77777777" w:rsidR="005C5212" w:rsidRDefault="005C5212" w:rsidP="005C5212">
      <w:pPr>
        <w:numPr>
          <w:ilvl w:val="0"/>
          <w:numId w:val="28"/>
        </w:numPr>
        <w:spacing w:after="60" w:line="264" w:lineRule="auto"/>
        <w:ind w:hanging="357"/>
      </w:pPr>
      <w:r>
        <w:t xml:space="preserve">specifying for best practice may incur a price differential. Identify </w:t>
      </w:r>
      <w:proofErr w:type="gramStart"/>
      <w:r>
        <w:t>whether or not</w:t>
      </w:r>
      <w:proofErr w:type="gramEnd"/>
      <w:r>
        <w:t xml:space="preserve"> there is a price differential in the upfront cost and whether ongoing savings maybe realised over the life of the product (e.g. where the price of the product includes costs for end-of-life take-back and sustainable disposal of the product).</w:t>
      </w:r>
      <w:r>
        <w:br/>
      </w:r>
    </w:p>
    <w:p w14:paraId="0DEB1453" w14:textId="77777777" w:rsidR="005C5212" w:rsidRDefault="005C5212" w:rsidP="005C5212">
      <w:pPr>
        <w:numPr>
          <w:ilvl w:val="0"/>
          <w:numId w:val="27"/>
        </w:numPr>
        <w:spacing w:after="60" w:line="264" w:lineRule="auto"/>
        <w:ind w:hanging="357"/>
      </w:pPr>
      <w:r>
        <w:t>a full value for money assessment should be undertaken. The whole-of-life environmental, social and economic gains that derive from improved sustainability outcomes may warrant an increased upfront cost. This may occur where the up-front cost of procuring an energy efficient ICT product is higher. Whilst energy-efficient machines have an increased upfront cost compared with standard hardware, over the life of each machine, savings from the reduced energy consumption may result.</w:t>
      </w:r>
    </w:p>
    <w:p w14:paraId="0E777545" w14:textId="77777777" w:rsidR="005C5212" w:rsidRDefault="005C5212" w:rsidP="005C5212">
      <w:pPr>
        <w:pStyle w:val="Heading3"/>
      </w:pPr>
      <w:bookmarkStart w:id="65" w:name="_Toc382403183"/>
      <w:bookmarkStart w:id="66" w:name="_Toc485396594"/>
      <w:bookmarkStart w:id="67" w:name="_Toc529775856"/>
      <w:bookmarkStart w:id="68" w:name="_Toc203375962"/>
      <w:r>
        <w:t>Managing supply arrangements</w:t>
      </w:r>
      <w:bookmarkEnd w:id="65"/>
      <w:bookmarkEnd w:id="66"/>
      <w:bookmarkEnd w:id="67"/>
      <w:bookmarkEnd w:id="68"/>
    </w:p>
    <w:p w14:paraId="17DA85A0" w14:textId="77777777" w:rsidR="005C5212" w:rsidRDefault="005C5212" w:rsidP="005C5212">
      <w:pPr>
        <w:spacing w:after="120"/>
      </w:pPr>
      <w:r>
        <w:t>Key performance indicators (KPIs) are an effective tool to ensure suppliers implement progressive sustainability improvements during the term of the arrangement. For example:</w:t>
      </w:r>
    </w:p>
    <w:p w14:paraId="35450F63" w14:textId="77777777" w:rsidR="005C5212" w:rsidRDefault="005C5212" w:rsidP="005C5212">
      <w:pPr>
        <w:numPr>
          <w:ilvl w:val="0"/>
          <w:numId w:val="27"/>
        </w:numPr>
        <w:spacing w:after="0" w:line="264" w:lineRule="auto"/>
        <w:ind w:left="714" w:hanging="357"/>
      </w:pPr>
      <w:r>
        <w:t>if at the specification development stage it is determined that the potential supplier does not have a capability or capacity to meet a particular sustainability requirement at that point in time, the sustainability criterion may be set as part of KPIs.</w:t>
      </w:r>
      <w:r>
        <w:br/>
      </w:r>
    </w:p>
    <w:p w14:paraId="356C0EA6" w14:textId="77777777" w:rsidR="005C5212" w:rsidRDefault="005C5212" w:rsidP="005C5212">
      <w:pPr>
        <w:numPr>
          <w:ilvl w:val="0"/>
          <w:numId w:val="27"/>
        </w:numPr>
        <w:spacing w:after="60" w:line="264" w:lineRule="auto"/>
      </w:pPr>
      <w:r>
        <w:lastRenderedPageBreak/>
        <w:t>best practice criteria that are set as KPIs could be used to progress a supplier towards best practice via continuous improvement over time.</w:t>
      </w:r>
    </w:p>
    <w:p w14:paraId="0D7ACD4D" w14:textId="77777777" w:rsidR="005C5212" w:rsidRDefault="005C5212" w:rsidP="005C5212">
      <w:pPr>
        <w:pStyle w:val="Heading3"/>
      </w:pPr>
      <w:bookmarkStart w:id="69" w:name="_Toc382403184"/>
      <w:bookmarkStart w:id="70" w:name="_Toc485396595"/>
      <w:bookmarkStart w:id="71" w:name="_Toc529775857"/>
      <w:bookmarkStart w:id="72" w:name="_Toc203375963"/>
      <w:r>
        <w:t>Reporting and measurement</w:t>
      </w:r>
      <w:bookmarkEnd w:id="69"/>
      <w:bookmarkEnd w:id="70"/>
      <w:bookmarkEnd w:id="71"/>
      <w:bookmarkEnd w:id="72"/>
    </w:p>
    <w:p w14:paraId="3B22B207" w14:textId="77777777" w:rsidR="005C5212" w:rsidRDefault="005C5212" w:rsidP="005C5212">
      <w:r>
        <w:t>Contract reporting requirements should specifically demonstrate the environmental and social benefits achieved by procuring more sustainable products.</w:t>
      </w:r>
    </w:p>
    <w:p w14:paraId="3D149314" w14:textId="77777777" w:rsidR="005C5212" w:rsidRDefault="005C5212" w:rsidP="005C5212">
      <w:r>
        <w:t>Incorporate sustainability reporting requirements into contract/arrangement terms and conditions.</w:t>
      </w:r>
    </w:p>
    <w:p w14:paraId="595B4C9E" w14:textId="77777777" w:rsidR="005C5212" w:rsidRDefault="005C5212" w:rsidP="005C5212">
      <w:r>
        <w:t>Measurements of sustainability performance for ICT products could include:</w:t>
      </w:r>
    </w:p>
    <w:p w14:paraId="1E9727E3" w14:textId="77777777" w:rsidR="005C5212" w:rsidRDefault="005C5212" w:rsidP="005C5212">
      <w:pPr>
        <w:numPr>
          <w:ilvl w:val="0"/>
          <w:numId w:val="29"/>
        </w:numPr>
        <w:spacing w:after="60" w:line="264" w:lineRule="auto"/>
      </w:pPr>
      <w:r>
        <w:t>expected reduced energy use</w:t>
      </w:r>
    </w:p>
    <w:p w14:paraId="27E1E4D1" w14:textId="77777777" w:rsidR="005C5212" w:rsidRDefault="005C5212" w:rsidP="005C5212">
      <w:pPr>
        <w:numPr>
          <w:ilvl w:val="0"/>
          <w:numId w:val="29"/>
        </w:numPr>
        <w:spacing w:after="60" w:line="264" w:lineRule="auto"/>
      </w:pPr>
      <w:proofErr w:type="gramStart"/>
      <w:r>
        <w:t>dollar</w:t>
      </w:r>
      <w:proofErr w:type="gramEnd"/>
      <w:r>
        <w:t xml:space="preserve"> spend on EPEAT Gold and EPEAT Silver products (this can be converted to environmental outcomes through the EPEAT calculator)</w:t>
      </w:r>
    </w:p>
    <w:p w14:paraId="2013E5FE" w14:textId="77777777" w:rsidR="005C5212" w:rsidRDefault="005C5212" w:rsidP="005C5212">
      <w:pPr>
        <w:numPr>
          <w:ilvl w:val="0"/>
          <w:numId w:val="29"/>
        </w:numPr>
        <w:spacing w:after="60" w:line="264" w:lineRule="auto"/>
      </w:pPr>
      <w:r>
        <w:t>reduced volumes of waste to landfill (e.g. tonnage of packaging recycled or reused)</w:t>
      </w:r>
    </w:p>
    <w:p w14:paraId="366B005D" w14:textId="77777777" w:rsidR="005C5212" w:rsidRDefault="005C5212" w:rsidP="005C5212">
      <w:pPr>
        <w:numPr>
          <w:ilvl w:val="0"/>
          <w:numId w:val="29"/>
        </w:numPr>
        <w:spacing w:after="60" w:line="264" w:lineRule="auto"/>
      </w:pPr>
      <w:r>
        <w:t>volumes of metals and resources recovered through recycling</w:t>
      </w:r>
    </w:p>
    <w:p w14:paraId="41F9C760" w14:textId="77777777" w:rsidR="005C5212" w:rsidRDefault="005C5212" w:rsidP="005C5212">
      <w:pPr>
        <w:numPr>
          <w:ilvl w:val="0"/>
          <w:numId w:val="29"/>
        </w:numPr>
        <w:spacing w:after="60" w:line="264" w:lineRule="auto"/>
      </w:pPr>
      <w:r>
        <w:t>reduced hazardous substances content</w:t>
      </w:r>
    </w:p>
    <w:p w14:paraId="266294AE" w14:textId="77777777" w:rsidR="005C5212" w:rsidRDefault="005C5212" w:rsidP="005C5212">
      <w:pPr>
        <w:numPr>
          <w:ilvl w:val="0"/>
          <w:numId w:val="29"/>
        </w:numPr>
        <w:spacing w:after="60" w:line="264" w:lineRule="auto"/>
      </w:pPr>
      <w:r>
        <w:t>improvements in sustainable design.</w:t>
      </w:r>
    </w:p>
    <w:p w14:paraId="2EEE92C8" w14:textId="77777777" w:rsidR="005C5212" w:rsidRDefault="005C5212" w:rsidP="005C5212">
      <w:pPr>
        <w:pStyle w:val="Heading1"/>
      </w:pPr>
      <w:bookmarkStart w:id="73" w:name="_Toc382403185"/>
      <w:bookmarkStart w:id="74" w:name="_Toc485396596"/>
      <w:bookmarkStart w:id="75" w:name="_Toc529775858"/>
      <w:bookmarkStart w:id="76" w:name="_Toc203375964"/>
      <w:r>
        <w:t>References</w:t>
      </w:r>
      <w:bookmarkEnd w:id="73"/>
      <w:bookmarkEnd w:id="74"/>
      <w:bookmarkEnd w:id="75"/>
      <w:bookmarkEnd w:id="76"/>
    </w:p>
    <w:p w14:paraId="1181C5A5" w14:textId="77777777" w:rsidR="005C5212" w:rsidRDefault="005C5212" w:rsidP="005C5212">
      <w:pPr>
        <w:numPr>
          <w:ilvl w:val="0"/>
          <w:numId w:val="30"/>
        </w:numPr>
        <w:spacing w:before="180" w:after="60" w:line="264" w:lineRule="auto"/>
      </w:pPr>
      <w:r>
        <w:t>EPEAT criteria (IEEE Standard 1680 – Section 4: Environmental performance criteria), 2006.</w:t>
      </w:r>
    </w:p>
    <w:p w14:paraId="3A880D41" w14:textId="77777777" w:rsidR="005C5212" w:rsidRDefault="005C5212" w:rsidP="005C5212">
      <w:pPr>
        <w:numPr>
          <w:ilvl w:val="0"/>
          <w:numId w:val="30"/>
        </w:numPr>
        <w:spacing w:before="180" w:after="60" w:line="264" w:lineRule="auto"/>
      </w:pPr>
      <w:r>
        <w:t>Local Governments for Sustainability for the United Nations Environment Programme (UNEP)- Division of Technology, Industry and Economics, Sustainable procurement guidelines for office IT equipment (basic and advanced), 2008.</w:t>
      </w:r>
    </w:p>
    <w:p w14:paraId="107146F1" w14:textId="77777777" w:rsidR="005C5212" w:rsidRDefault="005C5212" w:rsidP="005C5212">
      <w:pPr>
        <w:numPr>
          <w:ilvl w:val="0"/>
          <w:numId w:val="30"/>
        </w:numPr>
        <w:spacing w:before="180" w:after="60" w:line="264" w:lineRule="auto"/>
      </w:pPr>
      <w:r>
        <w:t>Responsible Purchasing Network, Responsible Purchasing Guide-Computers, 2008.</w:t>
      </w:r>
    </w:p>
    <w:p w14:paraId="64BB343C" w14:textId="77777777" w:rsidR="005C5212" w:rsidRDefault="005C5212" w:rsidP="005C5212">
      <w:pPr>
        <w:numPr>
          <w:ilvl w:val="0"/>
          <w:numId w:val="30"/>
        </w:numPr>
        <w:spacing w:before="180" w:after="60" w:line="264" w:lineRule="auto"/>
      </w:pPr>
      <w:r>
        <w:t>European Union Green Public Procurement (EU), IT equipment product guide, 2008.</w:t>
      </w:r>
    </w:p>
    <w:p w14:paraId="7CCFD3D6" w14:textId="77777777" w:rsidR="005C5212" w:rsidRDefault="005C5212" w:rsidP="005C5212"/>
    <w:p w14:paraId="1BAC09F9" w14:textId="60821605" w:rsidR="007E6504" w:rsidRPr="007E6504" w:rsidRDefault="007E6504" w:rsidP="005C5212"/>
    <w:sectPr w:rsidR="007E6504" w:rsidRPr="007E6504" w:rsidSect="00AF090D">
      <w:headerReference w:type="default" r:id="rId13"/>
      <w:footerReference w:type="default" r:id="rId14"/>
      <w:headerReference w:type="first" r:id="rId15"/>
      <w:pgSz w:w="11906" w:h="16838"/>
      <w:pgMar w:top="159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195B6" w14:textId="77777777" w:rsidR="00404740" w:rsidRDefault="00404740" w:rsidP="00F752DB">
      <w:pPr>
        <w:spacing w:after="0"/>
      </w:pPr>
      <w:r>
        <w:separator/>
      </w:r>
    </w:p>
  </w:endnote>
  <w:endnote w:type="continuationSeparator" w:id="0">
    <w:p w14:paraId="0366DA45" w14:textId="77777777" w:rsidR="00404740" w:rsidRDefault="00404740" w:rsidP="00F752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Nova Light">
    <w:altName w:val="Arial"/>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B69E" w14:textId="7A9D4F92" w:rsidR="007A7AD0" w:rsidRPr="00381F07" w:rsidRDefault="005A7EB2" w:rsidP="00563939">
    <w:pPr>
      <w:pStyle w:val="Footer"/>
      <w:pBdr>
        <w:top w:val="single" w:sz="4" w:space="8" w:color="7F7F7F" w:themeColor="text1" w:themeTint="80"/>
      </w:pBdr>
      <w:spacing w:before="360"/>
      <w:contextualSpacing/>
      <w:rPr>
        <w:noProof/>
        <w:color w:val="404040" w:themeColor="text1" w:themeTint="BF"/>
      </w:rPr>
    </w:pPr>
    <w:r>
      <w:rPr>
        <w:noProof/>
        <w:color w:val="404040" w:themeColor="text1" w:themeTint="BF"/>
      </w:rPr>
      <w:tab/>
    </w:r>
    <w:r>
      <w:rPr>
        <w:noProof/>
        <w:color w:val="404040" w:themeColor="text1" w:themeTint="BF"/>
      </w:rPr>
      <w:tab/>
    </w:r>
    <w:r w:rsidR="003A1CD0">
      <w:rPr>
        <w:noProof/>
        <w:color w:val="404040" w:themeColor="text1" w:themeTint="BF"/>
      </w:rPr>
      <w:fldChar w:fldCharType="begin"/>
    </w:r>
    <w:r w:rsidR="003A1CD0">
      <w:rPr>
        <w:noProof/>
        <w:color w:val="404040" w:themeColor="text1" w:themeTint="BF"/>
      </w:rPr>
      <w:instrText xml:space="preserve"> PAGE   \* MERGEFORMAT </w:instrText>
    </w:r>
    <w:r w:rsidR="003A1CD0">
      <w:rPr>
        <w:noProof/>
        <w:color w:val="404040" w:themeColor="text1" w:themeTint="BF"/>
      </w:rPr>
      <w:fldChar w:fldCharType="separate"/>
    </w:r>
    <w:r w:rsidR="003A1CD0">
      <w:rPr>
        <w:noProof/>
        <w:color w:val="404040" w:themeColor="text1" w:themeTint="BF"/>
      </w:rPr>
      <w:t>2</w:t>
    </w:r>
    <w:r w:rsidR="003A1CD0">
      <w:rPr>
        <w:noProof/>
        <w:color w:val="404040" w:themeColor="text1" w:themeTint="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0CE62" w14:textId="77777777" w:rsidR="00404740" w:rsidRDefault="00404740" w:rsidP="00F752DB">
      <w:pPr>
        <w:spacing w:after="0"/>
      </w:pPr>
      <w:r>
        <w:separator/>
      </w:r>
    </w:p>
  </w:footnote>
  <w:footnote w:type="continuationSeparator" w:id="0">
    <w:p w14:paraId="21DDF4ED" w14:textId="77777777" w:rsidR="00404740" w:rsidRDefault="00404740" w:rsidP="00F752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1A40" w14:textId="152D1785" w:rsidR="007A7AD0" w:rsidRDefault="005C5212" w:rsidP="005C5212">
    <w:pPr>
      <w:pStyle w:val="Header"/>
      <w:pBdr>
        <w:bottom w:val="single" w:sz="4" w:space="8" w:color="7F7F7F" w:themeColor="text1" w:themeTint="80"/>
      </w:pBdr>
      <w:spacing w:after="360"/>
      <w:contextualSpacing/>
      <w:jc w:val="right"/>
    </w:pPr>
    <w:r>
      <w:rPr>
        <w:color w:val="404040" w:themeColor="text1" w:themeTint="BF"/>
        <w:sz w:val="16"/>
        <w:szCs w:val="16"/>
      </w:rPr>
      <w:tab/>
      <w:t>Sustainable procurement guide: Information communication and technology products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689F1" w14:textId="78BDAAF4" w:rsidR="00563939" w:rsidRPr="00563939" w:rsidRDefault="00094D48" w:rsidP="00563939">
    <w:pPr>
      <w:tabs>
        <w:tab w:val="center" w:pos="4513"/>
        <w:tab w:val="right" w:pos="9026"/>
      </w:tabs>
      <w:spacing w:after="0"/>
    </w:pPr>
    <w:r>
      <w:rPr>
        <w:noProof/>
      </w:rPr>
      <w:drawing>
        <wp:anchor distT="0" distB="0" distL="114300" distR="114300" simplePos="0" relativeHeight="251658240" behindDoc="1" locked="0" layoutInCell="1" allowOverlap="1" wp14:anchorId="398426A6" wp14:editId="067E4A71">
          <wp:simplePos x="0" y="0"/>
          <wp:positionH relativeFrom="page">
            <wp:posOffset>0</wp:posOffset>
          </wp:positionH>
          <wp:positionV relativeFrom="page">
            <wp:posOffset>12700</wp:posOffset>
          </wp:positionV>
          <wp:extent cx="7557770" cy="10690860"/>
          <wp:effectExtent l="0" t="0" r="508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7770" cy="10690860"/>
                  </a:xfrm>
                  <a:prstGeom prst="rect">
                    <a:avLst/>
                  </a:prstGeom>
                </pic:spPr>
              </pic:pic>
            </a:graphicData>
          </a:graphic>
          <wp14:sizeRelH relativeFrom="margin">
            <wp14:pctWidth>0</wp14:pctWidth>
          </wp14:sizeRelH>
          <wp14:sizeRelV relativeFrom="margin">
            <wp14:pctHeight>0</wp14:pctHeight>
          </wp14:sizeRelV>
        </wp:anchor>
      </w:drawing>
    </w:r>
    <w:r w:rsidR="00CB06D5">
      <w:rPr>
        <w:noProof/>
      </w:rPr>
      <mc:AlternateContent>
        <mc:Choice Requires="wps">
          <w:drawing>
            <wp:anchor distT="0" distB="0" distL="114300" distR="114300" simplePos="0" relativeHeight="251659264" behindDoc="0" locked="0" layoutInCell="1" allowOverlap="1" wp14:anchorId="03742219" wp14:editId="1F5444FC">
              <wp:simplePos x="0" y="0"/>
              <wp:positionH relativeFrom="margin">
                <wp:posOffset>-674914</wp:posOffset>
              </wp:positionH>
              <wp:positionV relativeFrom="paragraph">
                <wp:posOffset>83820</wp:posOffset>
              </wp:positionV>
              <wp:extent cx="4001407" cy="330200"/>
              <wp:effectExtent l="0" t="0" r="0" b="0"/>
              <wp:wrapNone/>
              <wp:docPr id="804638643" name="Text Box 1"/>
              <wp:cNvGraphicFramePr/>
              <a:graphic xmlns:a="http://schemas.openxmlformats.org/drawingml/2006/main">
                <a:graphicData uri="http://schemas.microsoft.com/office/word/2010/wordprocessingShape">
                  <wps:wsp>
                    <wps:cNvSpPr txBox="1"/>
                    <wps:spPr>
                      <a:xfrm>
                        <a:off x="0" y="0"/>
                        <a:ext cx="4001407" cy="330200"/>
                      </a:xfrm>
                      <a:prstGeom prst="rect">
                        <a:avLst/>
                      </a:prstGeom>
                      <a:solidFill>
                        <a:schemeClr val="lt1"/>
                      </a:solidFill>
                      <a:ln w="6350">
                        <a:noFill/>
                      </a:ln>
                    </wps:spPr>
                    <wps:txbx>
                      <w:txbxContent>
                        <w:p w14:paraId="08C2E159" w14:textId="1F19E804" w:rsidR="00BB69C2" w:rsidRPr="00CB06D5" w:rsidRDefault="00D73AB8">
                          <w:pPr>
                            <w:rPr>
                              <w:rFonts w:ascii="Arial Nova Light" w:hAnsi="Arial Nova Light"/>
                              <w:color w:val="005EB8"/>
                              <w:sz w:val="24"/>
                              <w:szCs w:val="24"/>
                            </w:rPr>
                          </w:pPr>
                          <w:r w:rsidRPr="00CB06D5">
                            <w:rPr>
                              <w:rFonts w:ascii="Arial Nova Light" w:hAnsi="Arial Nova Light"/>
                              <w:color w:val="005EB8"/>
                              <w:sz w:val="24"/>
                              <w:szCs w:val="24"/>
                            </w:rPr>
                            <w:t>Queensland Government Procurement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742219" id="_x0000_t202" coordsize="21600,21600" o:spt="202" path="m,l,21600r21600,l21600,xe">
              <v:stroke joinstyle="miter"/>
              <v:path gradientshapeok="t" o:connecttype="rect"/>
            </v:shapetype>
            <v:shape id="Text Box 1" o:spid="_x0000_s1026" type="#_x0000_t202" style="position:absolute;margin-left:-53.15pt;margin-top:6.6pt;width:315.05pt;height: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" fillcolor="white [3201]" stroked="f" strokeweight=".5pt">
              <v:textbox>
                <w:txbxContent>
                  <w:p w14:paraId="08C2E159" w14:textId="1F19E804" w:rsidR="00BB69C2" w:rsidRPr="00CB06D5" w:rsidRDefault="00D73AB8">
                    <w:pPr>
                      <w:rPr>
                        <w:rFonts w:ascii="Arial Nova Light" w:hAnsi="Arial Nova Light"/>
                        <w:color w:val="005EB8"/>
                        <w:sz w:val="24"/>
                        <w:szCs w:val="24"/>
                      </w:rPr>
                    </w:pPr>
                    <w:r w:rsidRPr="00CB06D5">
                      <w:rPr>
                        <w:rFonts w:ascii="Arial Nova Light" w:hAnsi="Arial Nova Light"/>
                        <w:color w:val="005EB8"/>
                        <w:sz w:val="24"/>
                        <w:szCs w:val="24"/>
                      </w:rPr>
                      <w:t>Queensland Government Procurement</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D1441"/>
    <w:multiLevelType w:val="hybridMultilevel"/>
    <w:tmpl w:val="D1681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9D5230"/>
    <w:multiLevelType w:val="hybridMultilevel"/>
    <w:tmpl w:val="8A7C294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8A22B57"/>
    <w:multiLevelType w:val="hybridMultilevel"/>
    <w:tmpl w:val="B5840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D64B01"/>
    <w:multiLevelType w:val="hybridMultilevel"/>
    <w:tmpl w:val="4A087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0AB4D68"/>
    <w:multiLevelType w:val="hybridMultilevel"/>
    <w:tmpl w:val="B8869E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7A20E5E"/>
    <w:multiLevelType w:val="hybridMultilevel"/>
    <w:tmpl w:val="F34C44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7F86352"/>
    <w:multiLevelType w:val="hybridMultilevel"/>
    <w:tmpl w:val="322AF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3F00B0"/>
    <w:multiLevelType w:val="hybridMultilevel"/>
    <w:tmpl w:val="09EA9256"/>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2"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A920164"/>
    <w:multiLevelType w:val="hybridMultilevel"/>
    <w:tmpl w:val="0A28ED04"/>
    <w:lvl w:ilvl="0" w:tplc="5010C5E4">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4" w15:restartNumberingAfterBreak="0">
    <w:nsid w:val="4B5673FA"/>
    <w:multiLevelType w:val="hybridMultilevel"/>
    <w:tmpl w:val="1E30A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2078EE"/>
    <w:multiLevelType w:val="hybridMultilevel"/>
    <w:tmpl w:val="4F7EEE68"/>
    <w:lvl w:ilvl="0" w:tplc="5010C5E4">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6"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3343C21"/>
    <w:multiLevelType w:val="hybridMultilevel"/>
    <w:tmpl w:val="0E7E7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AB105C6"/>
    <w:multiLevelType w:val="hybridMultilevel"/>
    <w:tmpl w:val="F34C44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FC560D8"/>
    <w:multiLevelType w:val="hybridMultilevel"/>
    <w:tmpl w:val="39CC9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2772CA3"/>
    <w:multiLevelType w:val="hybridMultilevel"/>
    <w:tmpl w:val="652E1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5E37795"/>
    <w:multiLevelType w:val="hybridMultilevel"/>
    <w:tmpl w:val="D13A1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63D7BF3"/>
    <w:multiLevelType w:val="hybridMultilevel"/>
    <w:tmpl w:val="D52C7CC6"/>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4" w15:restartNumberingAfterBreak="0">
    <w:nsid w:val="6E8C4A8A"/>
    <w:multiLevelType w:val="hybridMultilevel"/>
    <w:tmpl w:val="C096CDD6"/>
    <w:lvl w:ilvl="0" w:tplc="0C090001">
      <w:start w:val="1"/>
      <w:numFmt w:val="bullet"/>
      <w:lvlText w:val=""/>
      <w:lvlJc w:val="left"/>
      <w:pPr>
        <w:ind w:left="486" w:hanging="360"/>
      </w:pPr>
      <w:rPr>
        <w:rFonts w:ascii="Symbol" w:hAnsi="Symbol" w:hint="default"/>
      </w:rPr>
    </w:lvl>
    <w:lvl w:ilvl="1" w:tplc="0C090003" w:tentative="1">
      <w:start w:val="1"/>
      <w:numFmt w:val="bullet"/>
      <w:lvlText w:val="o"/>
      <w:lvlJc w:val="left"/>
      <w:pPr>
        <w:ind w:left="1206" w:hanging="360"/>
      </w:pPr>
      <w:rPr>
        <w:rFonts w:ascii="Courier New" w:hAnsi="Courier New" w:cs="Courier New" w:hint="default"/>
      </w:rPr>
    </w:lvl>
    <w:lvl w:ilvl="2" w:tplc="0C090005" w:tentative="1">
      <w:start w:val="1"/>
      <w:numFmt w:val="bullet"/>
      <w:lvlText w:val=""/>
      <w:lvlJc w:val="left"/>
      <w:pPr>
        <w:ind w:left="1926" w:hanging="360"/>
      </w:pPr>
      <w:rPr>
        <w:rFonts w:ascii="Wingdings" w:hAnsi="Wingdings" w:hint="default"/>
      </w:rPr>
    </w:lvl>
    <w:lvl w:ilvl="3" w:tplc="0C090001" w:tentative="1">
      <w:start w:val="1"/>
      <w:numFmt w:val="bullet"/>
      <w:lvlText w:val=""/>
      <w:lvlJc w:val="left"/>
      <w:pPr>
        <w:ind w:left="2646" w:hanging="360"/>
      </w:pPr>
      <w:rPr>
        <w:rFonts w:ascii="Symbol" w:hAnsi="Symbol" w:hint="default"/>
      </w:rPr>
    </w:lvl>
    <w:lvl w:ilvl="4" w:tplc="0C090003" w:tentative="1">
      <w:start w:val="1"/>
      <w:numFmt w:val="bullet"/>
      <w:lvlText w:val="o"/>
      <w:lvlJc w:val="left"/>
      <w:pPr>
        <w:ind w:left="3366" w:hanging="360"/>
      </w:pPr>
      <w:rPr>
        <w:rFonts w:ascii="Courier New" w:hAnsi="Courier New" w:cs="Courier New" w:hint="default"/>
      </w:rPr>
    </w:lvl>
    <w:lvl w:ilvl="5" w:tplc="0C090005" w:tentative="1">
      <w:start w:val="1"/>
      <w:numFmt w:val="bullet"/>
      <w:lvlText w:val=""/>
      <w:lvlJc w:val="left"/>
      <w:pPr>
        <w:ind w:left="4086" w:hanging="360"/>
      </w:pPr>
      <w:rPr>
        <w:rFonts w:ascii="Wingdings" w:hAnsi="Wingdings" w:hint="default"/>
      </w:rPr>
    </w:lvl>
    <w:lvl w:ilvl="6" w:tplc="0C090001" w:tentative="1">
      <w:start w:val="1"/>
      <w:numFmt w:val="bullet"/>
      <w:lvlText w:val=""/>
      <w:lvlJc w:val="left"/>
      <w:pPr>
        <w:ind w:left="4806" w:hanging="360"/>
      </w:pPr>
      <w:rPr>
        <w:rFonts w:ascii="Symbol" w:hAnsi="Symbol" w:hint="default"/>
      </w:rPr>
    </w:lvl>
    <w:lvl w:ilvl="7" w:tplc="0C090003" w:tentative="1">
      <w:start w:val="1"/>
      <w:numFmt w:val="bullet"/>
      <w:lvlText w:val="o"/>
      <w:lvlJc w:val="left"/>
      <w:pPr>
        <w:ind w:left="5526" w:hanging="360"/>
      </w:pPr>
      <w:rPr>
        <w:rFonts w:ascii="Courier New" w:hAnsi="Courier New" w:cs="Courier New" w:hint="default"/>
      </w:rPr>
    </w:lvl>
    <w:lvl w:ilvl="8" w:tplc="0C090005" w:tentative="1">
      <w:start w:val="1"/>
      <w:numFmt w:val="bullet"/>
      <w:lvlText w:val=""/>
      <w:lvlJc w:val="left"/>
      <w:pPr>
        <w:ind w:left="6246" w:hanging="360"/>
      </w:pPr>
      <w:rPr>
        <w:rFonts w:ascii="Wingdings" w:hAnsi="Wingdings" w:hint="default"/>
      </w:rPr>
    </w:lvl>
  </w:abstractNum>
  <w:abstractNum w:abstractNumId="25" w15:restartNumberingAfterBreak="0">
    <w:nsid w:val="71D53C10"/>
    <w:multiLevelType w:val="hybridMultilevel"/>
    <w:tmpl w:val="E8ACA71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6" w15:restartNumberingAfterBreak="0">
    <w:nsid w:val="72796499"/>
    <w:multiLevelType w:val="hybridMultilevel"/>
    <w:tmpl w:val="0EF05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639437F"/>
    <w:multiLevelType w:val="hybridMultilevel"/>
    <w:tmpl w:val="505EBA76"/>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8" w15:restartNumberingAfterBreak="0">
    <w:nsid w:val="7A393979"/>
    <w:multiLevelType w:val="hybridMultilevel"/>
    <w:tmpl w:val="50DC7734"/>
    <w:lvl w:ilvl="0" w:tplc="5010C5E4">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9" w15:restartNumberingAfterBreak="0">
    <w:nsid w:val="7FA81598"/>
    <w:multiLevelType w:val="hybridMultilevel"/>
    <w:tmpl w:val="00B80FF0"/>
    <w:lvl w:ilvl="0" w:tplc="5010C5E4">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30"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002394720">
    <w:abstractNumId w:val="4"/>
  </w:num>
  <w:num w:numId="2" w16cid:durableId="2098823096">
    <w:abstractNumId w:val="10"/>
  </w:num>
  <w:num w:numId="3" w16cid:durableId="213465528">
    <w:abstractNumId w:val="18"/>
  </w:num>
  <w:num w:numId="4" w16cid:durableId="1380545305">
    <w:abstractNumId w:val="30"/>
  </w:num>
  <w:num w:numId="5" w16cid:durableId="1241986595">
    <w:abstractNumId w:val="5"/>
  </w:num>
  <w:num w:numId="6" w16cid:durableId="1657955551">
    <w:abstractNumId w:val="6"/>
  </w:num>
  <w:num w:numId="7" w16cid:durableId="1390375665">
    <w:abstractNumId w:val="12"/>
  </w:num>
  <w:num w:numId="8" w16cid:durableId="512770342">
    <w:abstractNumId w:val="16"/>
  </w:num>
  <w:num w:numId="9" w16cid:durableId="2097823170">
    <w:abstractNumId w:val="3"/>
  </w:num>
  <w:num w:numId="10" w16cid:durableId="369034618">
    <w:abstractNumId w:val="25"/>
  </w:num>
  <w:num w:numId="11" w16cid:durableId="1763523451">
    <w:abstractNumId w:val="27"/>
  </w:num>
  <w:num w:numId="12" w16cid:durableId="2012366809">
    <w:abstractNumId w:val="11"/>
  </w:num>
  <w:num w:numId="13" w16cid:durableId="912200424">
    <w:abstractNumId w:val="24"/>
  </w:num>
  <w:num w:numId="14" w16cid:durableId="1814372783">
    <w:abstractNumId w:val="23"/>
  </w:num>
  <w:num w:numId="15" w16cid:durableId="360673160">
    <w:abstractNumId w:val="7"/>
  </w:num>
  <w:num w:numId="16" w16cid:durableId="118232708">
    <w:abstractNumId w:val="22"/>
  </w:num>
  <w:num w:numId="17" w16cid:durableId="1029990341">
    <w:abstractNumId w:val="17"/>
  </w:num>
  <w:num w:numId="18" w16cid:durableId="633681949">
    <w:abstractNumId w:val="8"/>
  </w:num>
  <w:num w:numId="19" w16cid:durableId="379868473">
    <w:abstractNumId w:val="2"/>
  </w:num>
  <w:num w:numId="20" w16cid:durableId="1925146096">
    <w:abstractNumId w:val="19"/>
  </w:num>
  <w:num w:numId="21" w16cid:durableId="1356612071">
    <w:abstractNumId w:val="14"/>
  </w:num>
  <w:num w:numId="22" w16cid:durableId="486632735">
    <w:abstractNumId w:val="0"/>
  </w:num>
  <w:num w:numId="23" w16cid:durableId="506410569">
    <w:abstractNumId w:val="28"/>
  </w:num>
  <w:num w:numId="24" w16cid:durableId="856962518">
    <w:abstractNumId w:val="15"/>
  </w:num>
  <w:num w:numId="25" w16cid:durableId="520899769">
    <w:abstractNumId w:val="13"/>
  </w:num>
  <w:num w:numId="26" w16cid:durableId="1835802833">
    <w:abstractNumId w:val="26"/>
  </w:num>
  <w:num w:numId="27" w16cid:durableId="79066538">
    <w:abstractNumId w:val="21"/>
  </w:num>
  <w:num w:numId="28" w16cid:durableId="1170877412">
    <w:abstractNumId w:val="29"/>
  </w:num>
  <w:num w:numId="29" w16cid:durableId="428934519">
    <w:abstractNumId w:val="20"/>
  </w:num>
  <w:num w:numId="30" w16cid:durableId="127092514">
    <w:abstractNumId w:val="1"/>
  </w:num>
  <w:num w:numId="31" w16cid:durableId="1555403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1115A"/>
    <w:rsid w:val="00013A77"/>
    <w:rsid w:val="000140F8"/>
    <w:rsid w:val="0003404B"/>
    <w:rsid w:val="00043BA0"/>
    <w:rsid w:val="00071234"/>
    <w:rsid w:val="00094D48"/>
    <w:rsid w:val="000F4BE1"/>
    <w:rsid w:val="000F6454"/>
    <w:rsid w:val="00105D9D"/>
    <w:rsid w:val="00142FC9"/>
    <w:rsid w:val="0015551A"/>
    <w:rsid w:val="00156C89"/>
    <w:rsid w:val="00171743"/>
    <w:rsid w:val="00172C66"/>
    <w:rsid w:val="00173AD5"/>
    <w:rsid w:val="0017738C"/>
    <w:rsid w:val="00180B1C"/>
    <w:rsid w:val="001872A7"/>
    <w:rsid w:val="001B5456"/>
    <w:rsid w:val="001B5C5C"/>
    <w:rsid w:val="001C3BC5"/>
    <w:rsid w:val="00207866"/>
    <w:rsid w:val="00211A7F"/>
    <w:rsid w:val="00277D7A"/>
    <w:rsid w:val="002D7A1A"/>
    <w:rsid w:val="0036051E"/>
    <w:rsid w:val="00381F07"/>
    <w:rsid w:val="003A1CD0"/>
    <w:rsid w:val="003D5421"/>
    <w:rsid w:val="003D6913"/>
    <w:rsid w:val="00404740"/>
    <w:rsid w:val="00430856"/>
    <w:rsid w:val="00447E5E"/>
    <w:rsid w:val="004A0CF6"/>
    <w:rsid w:val="004B2130"/>
    <w:rsid w:val="00514250"/>
    <w:rsid w:val="00563939"/>
    <w:rsid w:val="00577783"/>
    <w:rsid w:val="005A7EB2"/>
    <w:rsid w:val="005C5212"/>
    <w:rsid w:val="005C5E21"/>
    <w:rsid w:val="005F3566"/>
    <w:rsid w:val="00625AEE"/>
    <w:rsid w:val="0065795D"/>
    <w:rsid w:val="00673C5E"/>
    <w:rsid w:val="00690537"/>
    <w:rsid w:val="006D3B53"/>
    <w:rsid w:val="006F77F5"/>
    <w:rsid w:val="00701011"/>
    <w:rsid w:val="00704279"/>
    <w:rsid w:val="0078333F"/>
    <w:rsid w:val="007A6A8E"/>
    <w:rsid w:val="007A7AD0"/>
    <w:rsid w:val="007B0BF6"/>
    <w:rsid w:val="007E6504"/>
    <w:rsid w:val="00847102"/>
    <w:rsid w:val="00880CAD"/>
    <w:rsid w:val="00886DC7"/>
    <w:rsid w:val="00937196"/>
    <w:rsid w:val="009908A1"/>
    <w:rsid w:val="009C4A6F"/>
    <w:rsid w:val="00A03BA7"/>
    <w:rsid w:val="00A40C60"/>
    <w:rsid w:val="00AB0F2F"/>
    <w:rsid w:val="00AB1166"/>
    <w:rsid w:val="00AB27C1"/>
    <w:rsid w:val="00AF090D"/>
    <w:rsid w:val="00AF33CA"/>
    <w:rsid w:val="00AF4B5F"/>
    <w:rsid w:val="00B204FF"/>
    <w:rsid w:val="00B20DA0"/>
    <w:rsid w:val="00B321BF"/>
    <w:rsid w:val="00B33273"/>
    <w:rsid w:val="00B57215"/>
    <w:rsid w:val="00BB69C2"/>
    <w:rsid w:val="00C54CF3"/>
    <w:rsid w:val="00CA7EF9"/>
    <w:rsid w:val="00CB06D5"/>
    <w:rsid w:val="00CF143F"/>
    <w:rsid w:val="00D51FFC"/>
    <w:rsid w:val="00D56E2A"/>
    <w:rsid w:val="00D57D2B"/>
    <w:rsid w:val="00D73AB8"/>
    <w:rsid w:val="00DB5E09"/>
    <w:rsid w:val="00E52ACC"/>
    <w:rsid w:val="00E70C6F"/>
    <w:rsid w:val="00EA168D"/>
    <w:rsid w:val="00EC0897"/>
    <w:rsid w:val="00EC540A"/>
    <w:rsid w:val="00EF4BC9"/>
    <w:rsid w:val="00F25AA8"/>
    <w:rsid w:val="00F30A2C"/>
    <w:rsid w:val="00F33272"/>
    <w:rsid w:val="00F752DB"/>
    <w:rsid w:val="00F81DE9"/>
    <w:rsid w:val="00F85F64"/>
    <w:rsid w:val="00F905BC"/>
    <w:rsid w:val="00FC0E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1BF"/>
    <w:pPr>
      <w:spacing w:line="240" w:lineRule="auto"/>
    </w:pPr>
    <w:rPr>
      <w:rFonts w:ascii="Arial" w:hAnsi="Arial"/>
      <w:sz w:val="20"/>
    </w:rPr>
  </w:style>
  <w:style w:type="paragraph" w:styleId="Heading1">
    <w:name w:val="heading 1"/>
    <w:basedOn w:val="Normal"/>
    <w:next w:val="Normal"/>
    <w:link w:val="Heading1Char"/>
    <w:qFormat/>
    <w:rsid w:val="00013A77"/>
    <w:pPr>
      <w:keepNext/>
      <w:keepLines/>
      <w:spacing w:before="360" w:after="120"/>
      <w:outlineLvl w:val="0"/>
    </w:pPr>
    <w:rPr>
      <w:rFonts w:ascii="Arial Nova Light" w:eastAsiaTheme="majorEastAsia" w:hAnsi="Arial Nova Light" w:cstheme="majorBidi"/>
      <w:color w:val="09549F"/>
      <w:sz w:val="36"/>
      <w:szCs w:val="32"/>
    </w:rPr>
  </w:style>
  <w:style w:type="paragraph" w:styleId="Heading2">
    <w:name w:val="heading 2"/>
    <w:basedOn w:val="Normal"/>
    <w:next w:val="Normal"/>
    <w:link w:val="Heading2Char"/>
    <w:unhideWhenUsed/>
    <w:qFormat/>
    <w:rsid w:val="00013A77"/>
    <w:pPr>
      <w:keepNext/>
      <w:keepLines/>
      <w:spacing w:before="120" w:after="120"/>
      <w:outlineLvl w:val="1"/>
    </w:pPr>
    <w:rPr>
      <w:rFonts w:eastAsiaTheme="majorEastAsia" w:cstheme="majorBidi"/>
      <w:b/>
      <w:color w:val="05325F"/>
      <w:sz w:val="32"/>
      <w:szCs w:val="26"/>
    </w:rPr>
  </w:style>
  <w:style w:type="paragraph" w:styleId="Heading3">
    <w:name w:val="heading 3"/>
    <w:basedOn w:val="Normal"/>
    <w:next w:val="Normal"/>
    <w:link w:val="Heading3Char"/>
    <w:unhideWhenUsed/>
    <w:qFormat/>
    <w:rsid w:val="00563939"/>
    <w:pPr>
      <w:keepNext/>
      <w:keepLines/>
      <w:spacing w:before="120" w:after="120"/>
      <w:outlineLvl w:val="2"/>
    </w:pPr>
    <w:rPr>
      <w:rFonts w:ascii="Arial Nova Light" w:eastAsiaTheme="majorEastAsia" w:hAnsi="Arial Nova Light" w:cstheme="majorBidi"/>
      <w:color w:val="595959" w:themeColor="text1" w:themeTint="A6"/>
      <w:sz w:val="26"/>
      <w:szCs w:val="24"/>
    </w:rPr>
  </w:style>
  <w:style w:type="paragraph" w:styleId="Heading4">
    <w:name w:val="heading 4"/>
    <w:basedOn w:val="Normal"/>
    <w:next w:val="Normal"/>
    <w:link w:val="Heading4Char"/>
    <w:uiPriority w:val="9"/>
    <w:unhideWhenUsed/>
    <w:qFormat/>
    <w:rsid w:val="0017738C"/>
    <w:pPr>
      <w:keepNext/>
      <w:keepLines/>
      <w:spacing w:before="120" w:after="120"/>
      <w:outlineLvl w:val="3"/>
    </w:pPr>
    <w:rPr>
      <w:rFonts w:ascii="Arial Nova" w:eastAsiaTheme="majorEastAsia" w:hAnsi="Arial Nova" w:cstheme="majorBidi"/>
      <w:iCs/>
      <w:color w:val="005EB8" w:themeColor="text2"/>
      <w:sz w:val="22"/>
    </w:rPr>
  </w:style>
  <w:style w:type="paragraph" w:styleId="Heading5">
    <w:name w:val="heading 5"/>
    <w:basedOn w:val="Normal"/>
    <w:next w:val="Normal"/>
    <w:link w:val="Heading5Char"/>
    <w:uiPriority w:val="9"/>
    <w:unhideWhenUsed/>
    <w:qFormat/>
    <w:rsid w:val="00563939"/>
    <w:pPr>
      <w:keepNext/>
      <w:keepLines/>
      <w:spacing w:before="120" w:after="120"/>
      <w:outlineLvl w:val="4"/>
    </w:pPr>
    <w:rPr>
      <w:rFonts w:ascii="Arial Nova" w:eastAsiaTheme="majorEastAsia" w:hAnsi="Arial Nova" w:cstheme="majorBidi"/>
      <w:b/>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0F4BE1"/>
    <w:pPr>
      <w:spacing w:after="60"/>
      <w:ind w:left="720"/>
    </w:pPr>
  </w:style>
  <w:style w:type="character" w:customStyle="1" w:styleId="Heading1Char">
    <w:name w:val="Heading 1 Char"/>
    <w:basedOn w:val="DefaultParagraphFont"/>
    <w:link w:val="Heading1"/>
    <w:uiPriority w:val="9"/>
    <w:rsid w:val="00013A77"/>
    <w:rPr>
      <w:rFonts w:ascii="Arial Nova Light" w:eastAsiaTheme="majorEastAsia" w:hAnsi="Arial Nova Light" w:cstheme="majorBidi"/>
      <w:color w:val="09549F"/>
      <w:sz w:val="36"/>
      <w:szCs w:val="32"/>
    </w:rPr>
  </w:style>
  <w:style w:type="character" w:customStyle="1" w:styleId="Heading2Char">
    <w:name w:val="Heading 2 Char"/>
    <w:basedOn w:val="DefaultParagraphFont"/>
    <w:link w:val="Heading2"/>
    <w:uiPriority w:val="9"/>
    <w:rsid w:val="00013A77"/>
    <w:rPr>
      <w:rFonts w:ascii="Arial" w:eastAsiaTheme="majorEastAsia" w:hAnsi="Arial" w:cstheme="majorBidi"/>
      <w:b/>
      <w:color w:val="05325F"/>
      <w:sz w:val="32"/>
      <w:szCs w:val="26"/>
    </w:rPr>
  </w:style>
  <w:style w:type="character" w:customStyle="1" w:styleId="Heading3Char">
    <w:name w:val="Heading 3 Char"/>
    <w:basedOn w:val="DefaultParagraphFont"/>
    <w:link w:val="Heading3"/>
    <w:uiPriority w:val="9"/>
    <w:rsid w:val="00563939"/>
    <w:rPr>
      <w:rFonts w:ascii="Arial Nova Light" w:eastAsiaTheme="majorEastAsia" w:hAnsi="Arial Nova Light" w:cstheme="majorBidi"/>
      <w:color w:val="595959" w:themeColor="text1" w:themeTint="A6"/>
      <w:sz w:val="26"/>
      <w:szCs w:val="24"/>
    </w:rPr>
  </w:style>
  <w:style w:type="character" w:customStyle="1" w:styleId="Heading4Char">
    <w:name w:val="Heading 4 Char"/>
    <w:basedOn w:val="DefaultParagraphFont"/>
    <w:link w:val="Heading4"/>
    <w:uiPriority w:val="9"/>
    <w:rsid w:val="0017738C"/>
    <w:rPr>
      <w:rFonts w:ascii="Arial Nova" w:eastAsiaTheme="majorEastAsia" w:hAnsi="Arial Nova" w:cstheme="majorBidi"/>
      <w:iCs/>
      <w:color w:val="005EB8" w:themeColor="text2"/>
    </w:rPr>
  </w:style>
  <w:style w:type="character" w:customStyle="1" w:styleId="Heading5Char">
    <w:name w:val="Heading 5 Char"/>
    <w:basedOn w:val="DefaultParagraphFont"/>
    <w:link w:val="Heading5"/>
    <w:uiPriority w:val="9"/>
    <w:rsid w:val="00563939"/>
    <w:rPr>
      <w:rFonts w:ascii="Arial Nova" w:eastAsiaTheme="majorEastAsia" w:hAnsi="Arial Nova" w:cstheme="majorBidi"/>
      <w:b/>
      <w:color w:val="000000" w:themeColor="text1"/>
    </w:rPr>
  </w:style>
  <w:style w:type="paragraph" w:styleId="BalloonText">
    <w:name w:val="Balloon Text"/>
    <w:basedOn w:val="Normal"/>
    <w:link w:val="BalloonTextChar"/>
    <w:uiPriority w:val="99"/>
    <w:semiHidden/>
    <w:unhideWhenUsed/>
    <w:rsid w:val="009908A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73AB8"/>
    <w:pPr>
      <w:spacing w:after="0"/>
      <w:contextualSpacing/>
    </w:pPr>
    <w:rPr>
      <w:rFonts w:eastAsiaTheme="majorEastAsia" w:cstheme="majorBidi"/>
      <w:b/>
      <w:color w:val="FFFFFF" w:themeColor="background1"/>
      <w:spacing w:val="-10"/>
      <w:kern w:val="28"/>
      <w:sz w:val="56"/>
      <w:szCs w:val="56"/>
    </w:rPr>
  </w:style>
  <w:style w:type="character" w:customStyle="1" w:styleId="TitleChar">
    <w:name w:val="Title Char"/>
    <w:basedOn w:val="DefaultParagraphFont"/>
    <w:link w:val="Title"/>
    <w:uiPriority w:val="10"/>
    <w:rsid w:val="00D73AB8"/>
    <w:rPr>
      <w:rFonts w:ascii="Arial" w:eastAsiaTheme="majorEastAsia" w:hAnsi="Arial" w:cstheme="majorBidi"/>
      <w:b/>
      <w:color w:val="FFFFFF" w:themeColor="background1"/>
      <w:spacing w:val="-10"/>
      <w:kern w:val="28"/>
      <w:sz w:val="56"/>
      <w:szCs w:val="56"/>
    </w:rPr>
  </w:style>
  <w:style w:type="paragraph" w:styleId="Subtitle">
    <w:name w:val="Subtitle"/>
    <w:basedOn w:val="Normal"/>
    <w:next w:val="Normal"/>
    <w:link w:val="SubtitleChar"/>
    <w:uiPriority w:val="11"/>
    <w:qFormat/>
    <w:rsid w:val="00563939"/>
    <w:pPr>
      <w:numPr>
        <w:ilvl w:val="1"/>
      </w:numPr>
      <w:spacing w:before="240" w:after="240" w:line="380" w:lineRule="exact"/>
    </w:pPr>
    <w:rPr>
      <w:rFonts w:ascii="Arial Nova Light" w:eastAsiaTheme="minorEastAsia" w:hAnsi="Arial Nova Light"/>
      <w:color w:val="5A5A5A" w:themeColor="text1" w:themeTint="A5"/>
      <w:spacing w:val="15"/>
      <w:sz w:val="32"/>
    </w:rPr>
  </w:style>
  <w:style w:type="character" w:customStyle="1" w:styleId="SubtitleChar">
    <w:name w:val="Subtitle Char"/>
    <w:basedOn w:val="DefaultParagraphFont"/>
    <w:link w:val="Subtitle"/>
    <w:uiPriority w:val="11"/>
    <w:rsid w:val="00563939"/>
    <w:rPr>
      <w:rFonts w:ascii="Arial Nova Light" w:eastAsiaTheme="minorEastAsia" w:hAnsi="Arial Nova Light"/>
      <w:color w:val="5A5A5A" w:themeColor="text1" w:themeTint="A5"/>
      <w:spacing w:val="15"/>
      <w:sz w:val="32"/>
    </w:rPr>
  </w:style>
  <w:style w:type="paragraph" w:styleId="IntenseQuote">
    <w:name w:val="Intense Quote"/>
    <w:basedOn w:val="Normal"/>
    <w:next w:val="Normal"/>
    <w:link w:val="IntenseQuoteChar"/>
    <w:uiPriority w:val="30"/>
    <w:qFormat/>
    <w:rsid w:val="00563939"/>
    <w:pPr>
      <w:pBdr>
        <w:top w:val="dotted" w:sz="8" w:space="10" w:color="7F7F7F" w:themeColor="text1" w:themeTint="80"/>
        <w:bottom w:val="dotted" w:sz="8" w:space="10" w:color="7F7F7F" w:themeColor="text1" w:themeTint="80"/>
      </w:pBdr>
      <w:spacing w:before="120" w:after="120"/>
      <w:ind w:left="284" w:right="284"/>
      <w:jc w:val="center"/>
    </w:pPr>
    <w:rPr>
      <w:rFonts w:ascii="Arial Nova Light" w:hAnsi="Arial Nova Light"/>
      <w:iCs/>
      <w:color w:val="595959" w:themeColor="text1" w:themeTint="A6"/>
      <w:sz w:val="22"/>
    </w:rPr>
  </w:style>
  <w:style w:type="character" w:customStyle="1" w:styleId="IntenseQuoteChar">
    <w:name w:val="Intense Quote Char"/>
    <w:basedOn w:val="DefaultParagraphFont"/>
    <w:link w:val="IntenseQuote"/>
    <w:uiPriority w:val="30"/>
    <w:rsid w:val="00563939"/>
    <w:rPr>
      <w:rFonts w:ascii="Arial Nova Light" w:hAnsi="Arial Nova Light"/>
      <w:iCs/>
      <w:color w:val="595959" w:themeColor="text1" w:themeTint="A6"/>
    </w:rPr>
  </w:style>
  <w:style w:type="character" w:styleId="Hyperlink">
    <w:name w:val="Hyperlink"/>
    <w:basedOn w:val="DefaultParagraphFont"/>
    <w:uiPriority w:val="99"/>
    <w:unhideWhenUsed/>
    <w:rsid w:val="007E6504"/>
    <w:rPr>
      <w:color w:val="009DD6" w:themeColor="hyperlink"/>
      <w:u w:val="single"/>
    </w:rPr>
  </w:style>
  <w:style w:type="character" w:styleId="UnresolvedMention">
    <w:name w:val="Unresolved Mention"/>
    <w:basedOn w:val="DefaultParagraphFont"/>
    <w:uiPriority w:val="99"/>
    <w:semiHidden/>
    <w:unhideWhenUsed/>
    <w:rsid w:val="007E6504"/>
    <w:rPr>
      <w:color w:val="605E5C"/>
      <w:shd w:val="clear" w:color="auto" w:fill="E1DFDD"/>
    </w:rPr>
  </w:style>
  <w:style w:type="character" w:styleId="FollowedHyperlink">
    <w:name w:val="FollowedHyperlink"/>
    <w:basedOn w:val="DefaultParagraphFont"/>
    <w:uiPriority w:val="99"/>
    <w:semiHidden/>
    <w:unhideWhenUsed/>
    <w:rsid w:val="00A03BA7"/>
    <w:rPr>
      <w:color w:val="06325E" w:themeColor="followedHyperlink"/>
      <w:u w:val="single"/>
    </w:rPr>
  </w:style>
  <w:style w:type="paragraph" w:styleId="TOCHeading">
    <w:name w:val="TOC Heading"/>
    <w:basedOn w:val="Heading1"/>
    <w:next w:val="Normal"/>
    <w:uiPriority w:val="39"/>
    <w:unhideWhenUsed/>
    <w:qFormat/>
    <w:rsid w:val="005C5212"/>
    <w:pPr>
      <w:spacing w:before="240" w:after="0" w:line="259" w:lineRule="auto"/>
      <w:outlineLvl w:val="9"/>
    </w:pPr>
    <w:rPr>
      <w:rFonts w:asciiTheme="majorHAnsi" w:hAnsiTheme="majorHAnsi"/>
      <w:color w:val="31B0DE" w:themeColor="accent1" w:themeShade="BF"/>
      <w:sz w:val="32"/>
      <w:lang w:val="en-US"/>
    </w:rPr>
  </w:style>
  <w:style w:type="paragraph" w:styleId="TOC1">
    <w:name w:val="toc 1"/>
    <w:basedOn w:val="Normal"/>
    <w:next w:val="Normal"/>
    <w:autoRedefine/>
    <w:uiPriority w:val="39"/>
    <w:unhideWhenUsed/>
    <w:qFormat/>
    <w:rsid w:val="005C5212"/>
    <w:pPr>
      <w:tabs>
        <w:tab w:val="right" w:leader="dot" w:pos="9346"/>
      </w:tabs>
      <w:spacing w:after="100" w:line="260" w:lineRule="exact"/>
    </w:pPr>
  </w:style>
  <w:style w:type="paragraph" w:styleId="TOC2">
    <w:name w:val="toc 2"/>
    <w:basedOn w:val="Normal"/>
    <w:next w:val="Normal"/>
    <w:autoRedefine/>
    <w:uiPriority w:val="39"/>
    <w:unhideWhenUsed/>
    <w:qFormat/>
    <w:rsid w:val="005C5212"/>
    <w:pPr>
      <w:tabs>
        <w:tab w:val="left" w:pos="660"/>
        <w:tab w:val="right" w:leader="dot" w:pos="9346"/>
      </w:tabs>
      <w:spacing w:after="100" w:line="260" w:lineRule="exact"/>
      <w:ind w:left="200"/>
    </w:pPr>
  </w:style>
  <w:style w:type="paragraph" w:styleId="TOC3">
    <w:name w:val="toc 3"/>
    <w:basedOn w:val="Normal"/>
    <w:next w:val="Normal"/>
    <w:autoRedefine/>
    <w:uiPriority w:val="39"/>
    <w:unhideWhenUsed/>
    <w:qFormat/>
    <w:rsid w:val="005C5212"/>
    <w:pPr>
      <w:tabs>
        <w:tab w:val="left" w:pos="1100"/>
        <w:tab w:val="right" w:leader="dot" w:pos="9346"/>
      </w:tabs>
      <w:spacing w:after="100" w:line="260" w:lineRule="exact"/>
      <w:ind w:left="400"/>
    </w:pPr>
  </w:style>
  <w:style w:type="paragraph" w:customStyle="1" w:styleId="Tabletext">
    <w:name w:val="Table text"/>
    <w:basedOn w:val="Normal"/>
    <w:uiPriority w:val="99"/>
    <w:rsid w:val="005C5212"/>
    <w:pPr>
      <w:spacing w:before="20" w:after="20" w:line="264" w:lineRule="auto"/>
    </w:pPr>
    <w:rPr>
      <w:rFonts w:eastAsia="Times New Roman" w:cs="Times New Roman"/>
      <w:szCs w:val="20"/>
    </w:rPr>
  </w:style>
  <w:style w:type="paragraph" w:customStyle="1" w:styleId="Tableheadings">
    <w:name w:val="Table headings"/>
    <w:basedOn w:val="Normal"/>
    <w:uiPriority w:val="99"/>
    <w:rsid w:val="005C5212"/>
    <w:pPr>
      <w:spacing w:after="0" w:line="264" w:lineRule="auto"/>
    </w:pPr>
    <w:rPr>
      <w:rFonts w:eastAsia="Times New Roman" w:cs="Times New Roman"/>
      <w:b/>
      <w:bCs/>
      <w:color w:val="FFFFF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peat.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tterprocurement@hpw.qld.gov.a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rocurement DfQ">
  <a:themeElements>
    <a:clrScheme name="Custom 10">
      <a:dk1>
        <a:srgbClr val="000000"/>
      </a:dk1>
      <a:lt1>
        <a:srgbClr val="FFFFFF"/>
      </a:lt1>
      <a:dk2>
        <a:srgbClr val="005EB8"/>
      </a:dk2>
      <a:lt2>
        <a:srgbClr val="F2F2F2"/>
      </a:lt2>
      <a:accent1>
        <a:srgbClr val="81CFEB"/>
      </a:accent1>
      <a:accent2>
        <a:srgbClr val="009DD6"/>
      </a:accent2>
      <a:accent3>
        <a:srgbClr val="005EB8"/>
      </a:accent3>
      <a:accent4>
        <a:srgbClr val="009DD6"/>
      </a:accent4>
      <a:accent5>
        <a:srgbClr val="81CFEB"/>
      </a:accent5>
      <a:accent6>
        <a:srgbClr val="06325E"/>
      </a:accent6>
      <a:hlink>
        <a:srgbClr val="009DD6"/>
      </a:hlink>
      <a:folHlink>
        <a:srgbClr val="06325E"/>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vert="horz" wrap="square" lIns="0" tIns="0" rIns="0" bIns="0" rtlCol="0" anchor="ctr">
        <a:spAutoFit/>
      </a:bodyPr>
      <a:lstStyle>
        <a:defPPr marL="176051" algn="l">
          <a:tabLst>
            <a:tab pos="2253736" algn="l"/>
            <a:tab pos="2768612" algn="l"/>
          </a:tabLst>
          <a:defRPr sz="3295" b="0" spc="0" baseline="0" dirty="0" err="1" smtClean="0">
            <a:solidFill>
              <a:schemeClr val="tx1"/>
            </a:solidFill>
            <a:latin typeface="Arial Nova" panose="020B0504020202020204" pitchFamily="34" charset="0"/>
            <a:cs typeface="Arial Narrow"/>
          </a:defRPr>
        </a:defPPr>
      </a:lstStyle>
    </a:txDef>
  </a:objectDefaults>
  <a:extraClrSchemeLst/>
  <a:extLst>
    <a:ext uri="{05A4C25C-085E-4340-85A3-A5531E510DB2}">
      <thm15:themeFamily xmlns:thm15="http://schemas.microsoft.com/office/thememl/2012/main" name="Procurement DfQ" id="{F85D46EC-BA28-45A8-B182-BD9026C6B287}" vid="{9C90CF97-1C2F-4890-879A-B4C83A80D6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94A0E58926F24FADA8275C9A2F9B1E" ma:contentTypeVersion="17" ma:contentTypeDescription="Create a new document." ma:contentTypeScope="" ma:versionID="dfd2b091da04a428f33e74baed7a476e">
  <xsd:schema xmlns:xsd="http://www.w3.org/2001/XMLSchema" xmlns:xs="http://www.w3.org/2001/XMLSchema" xmlns:p="http://schemas.microsoft.com/office/2006/metadata/properties" xmlns:ns2="5ec4e1a3-9465-43a5-9858-85b06e73710c" xmlns:ns3="2f64b93e-5338-4201-ad42-2a14a08fead3" targetNamespace="http://schemas.microsoft.com/office/2006/metadata/properties" ma:root="true" ma:fieldsID="ab030b5facf77798bc70583588d2609f" ns2:_="" ns3:_="">
    <xsd:import namespace="5ec4e1a3-9465-43a5-9858-85b06e73710c"/>
    <xsd:import namespace="2f64b93e-5338-4201-ad42-2a14a08fea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ot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4e1a3-9465-43a5-9858-85b06e737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Notes" ma:index="22" nillable="true" ma:displayName="Notes" ma:format="Dropdown" ma:internalName="Notes">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64b93e-5338-4201-ad42-2a14a08fea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ff6bc0-145c-4191-b4ad-94a90267f08d}" ma:internalName="TaxCatchAll" ma:showField="CatchAllData" ma:web="2f64b93e-5338-4201-ad42-2a14a08fea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f64b93e-5338-4201-ad42-2a14a08fead3" xsi:nil="true"/>
    <Notes xmlns="5ec4e1a3-9465-43a5-9858-85b06e73710c" xsi:nil="true"/>
    <lcf76f155ced4ddcb4097134ff3c332f xmlns="5ec4e1a3-9465-43a5-9858-85b06e73710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62A39A-216E-49DB-A968-51CFBEE38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4e1a3-9465-43a5-9858-85b06e73710c"/>
    <ds:schemaRef ds:uri="2f64b93e-5338-4201-ad42-2a14a08fe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435E35-A229-49C6-B75E-B27C2ED723D1}">
  <ds:schemaRefs>
    <ds:schemaRef ds:uri="5ec4e1a3-9465-43a5-9858-85b06e73710c"/>
    <ds:schemaRef ds:uri="http://purl.org/dc/terms/"/>
    <ds:schemaRef ds:uri="http://schemas.microsoft.com/office/2006/metadata/properties"/>
    <ds:schemaRef ds:uri="http://purl.org/dc/dcmitype/"/>
    <ds:schemaRef ds:uri="http://purl.org/dc/elements/1.1/"/>
    <ds:schemaRef ds:uri="http://www.w3.org/XML/1998/namespace"/>
    <ds:schemaRef ds:uri="2f64b93e-5338-4201-ad42-2a14a08fead3"/>
    <ds:schemaRef ds:uri="http://schemas.microsoft.com/office/2006/documentManagement/type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A274B937-E042-4D4C-A7B7-03A930FE38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3066</Words>
  <Characters>19901</Characters>
  <Application>Microsoft Office Word</Application>
  <DocSecurity>0</DocSecurity>
  <Lines>292</Lines>
  <Paragraphs>185</Paragraphs>
  <ScaleCrop>false</ScaleCrop>
  <HeadingPairs>
    <vt:vector size="2" baseType="variant">
      <vt:variant>
        <vt:lpstr>Title</vt:lpstr>
      </vt:variant>
      <vt:variant>
        <vt:i4>1</vt:i4>
      </vt:variant>
    </vt:vector>
  </HeadingPairs>
  <TitlesOfParts>
    <vt:vector size="1" baseType="lpstr">
      <vt:lpstr>A4P Document-cover-03</vt:lpstr>
    </vt:vector>
  </TitlesOfParts>
  <Company>Queensland Government</Company>
  <LinksUpToDate>false</LinksUpToDate>
  <CharactersWithSpaces>22782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ICT products</dc:title>
  <dc:subject/>
  <dc:creator>Queensland Government</dc:creator>
  <cp:keywords>A4, portrait, template, cover, document</cp:keywords>
  <dc:description/>
  <cp:lastModifiedBy>Diana Chalmers</cp:lastModifiedBy>
  <cp:revision>7</cp:revision>
  <cp:lastPrinted>2023-06-07T00:24:00Z</cp:lastPrinted>
  <dcterms:created xsi:type="dcterms:W3CDTF">2025-06-05T04:50:00Z</dcterms:created>
  <dcterms:modified xsi:type="dcterms:W3CDTF">2025-09-02T22:31:00Z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0x0101009394A0E58926F24FADA8275C9A2F9B1E</vt:lpwstr>
  </property>
  <property fmtid="{D5CDD505-2E9C-101B-9397-08002B2CF9AE}" pid="3" name="Order">
    <vt:r8>180100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