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6B90FFB5" w:rsidR="00AF090D" w:rsidRPr="00295984" w:rsidRDefault="00295984" w:rsidP="00295984">
      <w:pPr>
        <w:pStyle w:val="Title"/>
        <w:rPr>
          <w:rStyle w:val="SubtleEmphasis"/>
          <w:rFonts w:ascii="Arial Nova" w:hAnsi="Arial Nova"/>
          <w:b w:val="0"/>
          <w:bCs/>
          <w:i w:val="0"/>
          <w:iCs w:val="0"/>
          <w:color w:val="FFFFFF" w:themeColor="background1"/>
          <w:sz w:val="56"/>
        </w:rPr>
      </w:pPr>
      <w:r>
        <w:rPr>
          <w:rFonts w:ascii="Arial Nova" w:hAnsi="Arial Nova"/>
          <w:bCs/>
        </w:rPr>
        <w:t>Enduring community value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10018095" w14:textId="77777777" w:rsidR="00295984" w:rsidRDefault="00295984" w:rsidP="00295984">
      <w:pPr>
        <w:rPr>
          <w:b/>
          <w:i/>
          <w:sz w:val="18"/>
        </w:rPr>
      </w:pPr>
    </w:p>
    <w:p w14:paraId="24AE812A" w14:textId="77777777" w:rsidR="00295984" w:rsidRDefault="00295984" w:rsidP="00295984">
      <w:pPr>
        <w:rPr>
          <w:b/>
          <w:i/>
          <w:sz w:val="18"/>
        </w:rPr>
      </w:pPr>
    </w:p>
    <w:p w14:paraId="559DE21A" w14:textId="77777777" w:rsidR="00295984" w:rsidRDefault="00295984" w:rsidP="00295984">
      <w:pPr>
        <w:rPr>
          <w:b/>
          <w:i/>
          <w:sz w:val="18"/>
        </w:rPr>
      </w:pPr>
    </w:p>
    <w:p w14:paraId="24F7E1FA" w14:textId="77777777" w:rsidR="00295984" w:rsidRDefault="00295984" w:rsidP="00295984">
      <w:pPr>
        <w:rPr>
          <w:b/>
          <w:i/>
          <w:sz w:val="18"/>
        </w:rPr>
      </w:pPr>
    </w:p>
    <w:p w14:paraId="54A50830" w14:textId="77777777" w:rsidR="00295984" w:rsidRDefault="00295984" w:rsidP="00295984">
      <w:pPr>
        <w:rPr>
          <w:b/>
          <w:i/>
          <w:sz w:val="18"/>
        </w:rPr>
      </w:pPr>
    </w:p>
    <w:p w14:paraId="5A380782" w14:textId="77777777" w:rsidR="00295984" w:rsidRDefault="00295984" w:rsidP="00295984">
      <w:pPr>
        <w:rPr>
          <w:b/>
          <w:i/>
          <w:sz w:val="18"/>
        </w:rPr>
      </w:pPr>
    </w:p>
    <w:p w14:paraId="3284D98C" w14:textId="77777777" w:rsidR="00295984" w:rsidRDefault="00295984" w:rsidP="00295984">
      <w:pPr>
        <w:rPr>
          <w:b/>
          <w:i/>
          <w:sz w:val="18"/>
        </w:rPr>
      </w:pPr>
    </w:p>
    <w:p w14:paraId="2D9AA91A" w14:textId="77777777" w:rsidR="00295984" w:rsidRDefault="00295984" w:rsidP="00295984">
      <w:pPr>
        <w:rPr>
          <w:b/>
          <w:i/>
          <w:sz w:val="18"/>
        </w:rPr>
      </w:pPr>
    </w:p>
    <w:p w14:paraId="21560ABC" w14:textId="77777777" w:rsidR="00295984" w:rsidRDefault="00295984" w:rsidP="00295984">
      <w:pPr>
        <w:rPr>
          <w:b/>
          <w:i/>
          <w:sz w:val="18"/>
        </w:rPr>
      </w:pPr>
    </w:p>
    <w:p w14:paraId="7CE6A24A" w14:textId="77777777" w:rsidR="00295984" w:rsidRDefault="00295984" w:rsidP="00295984">
      <w:pPr>
        <w:rPr>
          <w:b/>
          <w:i/>
          <w:sz w:val="18"/>
        </w:rPr>
      </w:pPr>
    </w:p>
    <w:p w14:paraId="36ECE27A" w14:textId="77777777" w:rsidR="00295984" w:rsidRDefault="00295984" w:rsidP="00295984">
      <w:pPr>
        <w:rPr>
          <w:b/>
          <w:i/>
          <w:sz w:val="18"/>
        </w:rPr>
      </w:pPr>
    </w:p>
    <w:p w14:paraId="38B923E2" w14:textId="77777777" w:rsidR="00295984" w:rsidRDefault="00295984" w:rsidP="00295984">
      <w:pPr>
        <w:rPr>
          <w:b/>
          <w:i/>
          <w:sz w:val="18"/>
        </w:rPr>
      </w:pPr>
    </w:p>
    <w:p w14:paraId="31A26C78" w14:textId="77777777" w:rsidR="00295984" w:rsidRPr="00385067" w:rsidRDefault="00295984" w:rsidP="00295984">
      <w:pPr>
        <w:rPr>
          <w:b/>
          <w:i/>
          <w:sz w:val="18"/>
        </w:rPr>
      </w:pPr>
      <w:r>
        <w:rPr>
          <w:b/>
          <w:i/>
          <w:sz w:val="18"/>
        </w:rPr>
        <w:t>Enduring community value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295984" w14:paraId="1478155A" w14:textId="77777777" w:rsidTr="00E92A75">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F28097E" w14:textId="77777777" w:rsidR="00295984" w:rsidRDefault="00295984" w:rsidP="00E92A75">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E00EEB3" w14:textId="77777777" w:rsidR="00295984" w:rsidRDefault="00295984" w:rsidP="00E92A75">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4D2579F" w14:textId="77777777" w:rsidR="00295984" w:rsidRDefault="00295984" w:rsidP="00E92A75">
            <w:pPr>
              <w:jc w:val="center"/>
              <w:rPr>
                <w:rFonts w:cs="Arial"/>
              </w:rPr>
            </w:pPr>
            <w:r>
              <w:rPr>
                <w:rFonts w:cs="Arial"/>
                <w:b/>
                <w:bCs/>
                <w:color w:val="FFFFFF" w:themeColor="background1"/>
              </w:rPr>
              <w:t>Comments</w:t>
            </w:r>
          </w:p>
        </w:tc>
      </w:tr>
      <w:tr w:rsidR="00295984" w:rsidRPr="00986344" w14:paraId="563E1A08" w14:textId="77777777" w:rsidTr="00E92A75">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DD7E613" w14:textId="77777777" w:rsidR="00295984" w:rsidRPr="00CF48F4" w:rsidRDefault="00295984" w:rsidP="00E92A75">
            <w:pPr>
              <w:rPr>
                <w:rFonts w:cs="Arial"/>
                <w:sz w:val="16"/>
                <w:szCs w:val="16"/>
              </w:rPr>
            </w:pPr>
            <w:r>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A25293" w14:textId="77777777" w:rsidR="00295984" w:rsidRPr="00CF48F4" w:rsidRDefault="00295984" w:rsidP="00E92A75">
            <w:pPr>
              <w:rPr>
                <w:rFonts w:cs="Arial"/>
                <w:sz w:val="16"/>
                <w:szCs w:val="16"/>
              </w:rPr>
            </w:pPr>
            <w:r>
              <w:rPr>
                <w:rFonts w:cs="Arial"/>
                <w:sz w:val="16"/>
                <w:szCs w:val="16"/>
              </w:rPr>
              <w:t>September 2024</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446ABEA" w14:textId="77777777" w:rsidR="00295984" w:rsidRPr="00CF48F4" w:rsidRDefault="00295984" w:rsidP="00E92A75">
            <w:pPr>
              <w:rPr>
                <w:rFonts w:cs="Arial"/>
                <w:sz w:val="16"/>
                <w:szCs w:val="16"/>
              </w:rPr>
            </w:pPr>
            <w:r>
              <w:rPr>
                <w:rFonts w:cs="Arial"/>
                <w:sz w:val="16"/>
                <w:szCs w:val="16"/>
              </w:rPr>
              <w:t>Published</w:t>
            </w:r>
          </w:p>
        </w:tc>
      </w:tr>
      <w:tr w:rsidR="00295984" w14:paraId="49756970" w14:textId="77777777" w:rsidTr="00E92A75">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7797FA5" w14:textId="77777777" w:rsidR="00295984" w:rsidRPr="006B61ED" w:rsidRDefault="00295984" w:rsidP="00E92A75">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B22B581" w14:textId="77777777" w:rsidR="00295984" w:rsidRDefault="00295984" w:rsidP="00E92A75">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9A0A86" w14:textId="77777777" w:rsidR="00295984" w:rsidRDefault="00295984" w:rsidP="00E92A75">
            <w:pPr>
              <w:rPr>
                <w:rFonts w:cs="Arial"/>
                <w:sz w:val="16"/>
                <w:szCs w:val="16"/>
              </w:rPr>
            </w:pPr>
            <w:r>
              <w:rPr>
                <w:rFonts w:cs="Arial"/>
                <w:sz w:val="16"/>
                <w:szCs w:val="16"/>
              </w:rPr>
              <w:t>Minor updates made – highlights:</w:t>
            </w:r>
          </w:p>
          <w:p w14:paraId="1992AFD7" w14:textId="77777777" w:rsidR="00295984" w:rsidRDefault="00295984" w:rsidP="00295984">
            <w:pPr>
              <w:pStyle w:val="ListParagraph"/>
              <w:numPr>
                <w:ilvl w:val="0"/>
                <w:numId w:val="24"/>
              </w:numPr>
              <w:spacing w:after="0"/>
              <w:rPr>
                <w:rFonts w:cs="Arial"/>
                <w:sz w:val="16"/>
                <w:szCs w:val="16"/>
              </w:rPr>
            </w:pPr>
            <w:r>
              <w:rPr>
                <w:rFonts w:cs="Arial"/>
                <w:sz w:val="16"/>
                <w:szCs w:val="16"/>
              </w:rPr>
              <w:t>DHPW corporate branding</w:t>
            </w:r>
          </w:p>
          <w:p w14:paraId="2B709A02" w14:textId="77777777" w:rsidR="00295984" w:rsidRDefault="00295984" w:rsidP="00295984">
            <w:pPr>
              <w:pStyle w:val="ListParagraph"/>
              <w:numPr>
                <w:ilvl w:val="0"/>
                <w:numId w:val="24"/>
              </w:numPr>
              <w:spacing w:after="0"/>
              <w:rPr>
                <w:rFonts w:cs="Arial"/>
                <w:sz w:val="16"/>
                <w:szCs w:val="16"/>
              </w:rPr>
            </w:pPr>
            <w:r>
              <w:rPr>
                <w:rFonts w:cs="Arial"/>
                <w:sz w:val="16"/>
                <w:szCs w:val="16"/>
              </w:rPr>
              <w:t>Machinery-of-government changes</w:t>
            </w:r>
          </w:p>
          <w:p w14:paraId="19D0FC78" w14:textId="77777777" w:rsidR="00295984" w:rsidRDefault="00295984" w:rsidP="00295984">
            <w:pPr>
              <w:pStyle w:val="ListParagraph"/>
              <w:numPr>
                <w:ilvl w:val="0"/>
                <w:numId w:val="24"/>
              </w:numPr>
              <w:spacing w:after="0"/>
              <w:rPr>
                <w:rFonts w:cs="Arial"/>
                <w:sz w:val="16"/>
                <w:szCs w:val="16"/>
              </w:rPr>
            </w:pPr>
            <w:r>
              <w:rPr>
                <w:rFonts w:cs="Arial"/>
                <w:sz w:val="16"/>
                <w:szCs w:val="16"/>
              </w:rPr>
              <w:t>Hyperlinks verified and updated or removed</w:t>
            </w:r>
          </w:p>
          <w:p w14:paraId="017254D9" w14:textId="77777777" w:rsidR="00295984" w:rsidRDefault="00295984" w:rsidP="00295984">
            <w:pPr>
              <w:pStyle w:val="ListParagraph"/>
              <w:numPr>
                <w:ilvl w:val="0"/>
                <w:numId w:val="24"/>
              </w:numPr>
              <w:spacing w:after="0"/>
              <w:rPr>
                <w:rFonts w:cs="Arial"/>
                <w:sz w:val="16"/>
                <w:szCs w:val="16"/>
              </w:rPr>
            </w:pPr>
            <w:r>
              <w:rPr>
                <w:rFonts w:cs="Arial"/>
                <w:sz w:val="16"/>
                <w:szCs w:val="16"/>
              </w:rPr>
              <w:t>Document date updated</w:t>
            </w:r>
          </w:p>
          <w:p w14:paraId="1A2DC6BA" w14:textId="77777777" w:rsidR="00295984" w:rsidRDefault="00295984" w:rsidP="00295984">
            <w:pPr>
              <w:pStyle w:val="ListParagraph"/>
              <w:numPr>
                <w:ilvl w:val="0"/>
                <w:numId w:val="24"/>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692D8265" w14:textId="77777777" w:rsidR="00295984" w:rsidRDefault="00295984" w:rsidP="00295984">
            <w:pPr>
              <w:pStyle w:val="ListParagraph"/>
              <w:numPr>
                <w:ilvl w:val="0"/>
                <w:numId w:val="24"/>
              </w:numPr>
              <w:spacing w:after="0"/>
              <w:rPr>
                <w:rFonts w:cs="Arial"/>
                <w:sz w:val="16"/>
                <w:szCs w:val="16"/>
              </w:rPr>
            </w:pPr>
            <w:r>
              <w:rPr>
                <w:rFonts w:cs="Arial"/>
                <w:sz w:val="16"/>
                <w:szCs w:val="16"/>
              </w:rPr>
              <w:t>Updated document title</w:t>
            </w:r>
          </w:p>
          <w:p w14:paraId="11F04435" w14:textId="77777777" w:rsidR="00295984" w:rsidRPr="00414B51" w:rsidRDefault="00295984" w:rsidP="00295984">
            <w:pPr>
              <w:pStyle w:val="ListParagraph"/>
              <w:numPr>
                <w:ilvl w:val="0"/>
                <w:numId w:val="24"/>
              </w:numPr>
              <w:spacing w:after="0"/>
              <w:rPr>
                <w:rFonts w:cs="Arial"/>
                <w:sz w:val="16"/>
                <w:szCs w:val="16"/>
              </w:rPr>
            </w:pPr>
            <w:r>
              <w:rPr>
                <w:rFonts w:cs="Arial"/>
                <w:sz w:val="16"/>
                <w:szCs w:val="16"/>
              </w:rPr>
              <w:t>Removed contextual policy information</w:t>
            </w:r>
          </w:p>
        </w:tc>
      </w:tr>
      <w:tr w:rsidR="00295984" w14:paraId="12D097A8" w14:textId="77777777" w:rsidTr="00E92A75">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85AD2C4" w14:textId="77777777" w:rsidR="00295984" w:rsidRDefault="00295984" w:rsidP="00E92A75">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548452" w14:textId="77777777" w:rsidR="00295984" w:rsidRDefault="00295984" w:rsidP="00E92A75">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864EC78" w14:textId="77777777" w:rsidR="00295984" w:rsidRDefault="00295984" w:rsidP="00E92A75">
            <w:pPr>
              <w:rPr>
                <w:rFonts w:cs="Arial"/>
                <w:sz w:val="16"/>
                <w:szCs w:val="16"/>
              </w:rPr>
            </w:pPr>
            <w:r w:rsidRPr="006A2D0E">
              <w:rPr>
                <w:rFonts w:cs="Arial"/>
                <w:sz w:val="16"/>
                <w:szCs w:val="16"/>
              </w:rPr>
              <w:t>Minor updates made - Queensland Government Corporate Branding</w:t>
            </w:r>
          </w:p>
        </w:tc>
      </w:tr>
      <w:bookmarkEnd w:id="0"/>
    </w:tbl>
    <w:p w14:paraId="6756B643" w14:textId="77777777" w:rsidR="00295984" w:rsidRDefault="00295984" w:rsidP="00295984">
      <w:pPr>
        <w:rPr>
          <w:b/>
          <w:sz w:val="18"/>
        </w:rPr>
      </w:pPr>
    </w:p>
    <w:p w14:paraId="049B04F5" w14:textId="77777777" w:rsidR="00295984" w:rsidRPr="0039469C" w:rsidRDefault="00295984" w:rsidP="00295984">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4A19CB99" w14:textId="77777777" w:rsidR="00295984" w:rsidRDefault="00295984" w:rsidP="00295984">
      <w:pPr>
        <w:rPr>
          <w:sz w:val="18"/>
        </w:rPr>
      </w:pPr>
      <w:r w:rsidRPr="00850C98">
        <w:rPr>
          <w:noProof/>
          <w:sz w:val="18"/>
          <w:lang w:eastAsia="en-AU"/>
        </w:rPr>
        <w:drawing>
          <wp:inline distT="0" distB="0" distL="0" distR="0" wp14:anchorId="42D048EB" wp14:editId="4B8A346A">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5AA486F2" w14:textId="23BEF989" w:rsidR="00295984" w:rsidRPr="00295984" w:rsidRDefault="00295984" w:rsidP="00295984">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295984">
        <w:rPr>
          <w:rStyle w:val="Hyperlink"/>
          <w:sz w:val="18"/>
        </w:rPr>
        <w:t xml:space="preserve">http://creativecommons.org/licenses/by/4.0/deed.en </w:t>
      </w:r>
    </w:p>
    <w:p w14:paraId="74D9CDFF" w14:textId="586E7E83" w:rsidR="00295984" w:rsidRPr="0039469C" w:rsidRDefault="00295984" w:rsidP="00295984">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Enduring community value guide</w:t>
      </w:r>
      <w:r w:rsidRPr="0039469C">
        <w:rPr>
          <w:sz w:val="18"/>
        </w:rPr>
        <w:t xml:space="preserve">, State of Queensland (Department of Housing and Public Works) </w:t>
      </w:r>
      <w:r>
        <w:rPr>
          <w:sz w:val="18"/>
        </w:rPr>
        <w:t>2025</w:t>
      </w:r>
      <w:r w:rsidRPr="0039469C">
        <w:rPr>
          <w:sz w:val="18"/>
        </w:rPr>
        <w:t xml:space="preserve">’. </w:t>
      </w:r>
    </w:p>
    <w:p w14:paraId="62C0B8E7" w14:textId="77777777" w:rsidR="00295984" w:rsidRPr="0039469C" w:rsidRDefault="00295984" w:rsidP="00295984">
      <w:pPr>
        <w:rPr>
          <w:b/>
          <w:sz w:val="18"/>
        </w:rPr>
      </w:pPr>
      <w:r w:rsidRPr="0039469C">
        <w:rPr>
          <w:b/>
          <w:sz w:val="18"/>
        </w:rPr>
        <w:t xml:space="preserve">Contact us </w:t>
      </w:r>
    </w:p>
    <w:p w14:paraId="16826D22" w14:textId="77777777" w:rsidR="00295984" w:rsidRPr="0039469C" w:rsidRDefault="00295984" w:rsidP="00295984">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391D13">
          <w:rPr>
            <w:rStyle w:val="Hyperlink"/>
            <w:sz w:val="18"/>
          </w:rPr>
          <w:t>betterprocurement@hpw.qld.gov.au</w:t>
        </w:r>
      </w:hyperlink>
      <w:r w:rsidRPr="0039469C">
        <w:rPr>
          <w:sz w:val="18"/>
        </w:rPr>
        <w:t xml:space="preserve">. </w:t>
      </w:r>
    </w:p>
    <w:p w14:paraId="24A16474" w14:textId="77777777" w:rsidR="00295984" w:rsidRPr="0039469C" w:rsidRDefault="00295984" w:rsidP="00295984">
      <w:pPr>
        <w:rPr>
          <w:b/>
          <w:sz w:val="18"/>
        </w:rPr>
      </w:pPr>
      <w:r w:rsidRPr="0039469C">
        <w:rPr>
          <w:b/>
          <w:sz w:val="18"/>
        </w:rPr>
        <w:t xml:space="preserve">Disclaimer </w:t>
      </w:r>
    </w:p>
    <w:p w14:paraId="5E978B55" w14:textId="77777777" w:rsidR="00295984" w:rsidRPr="0039469C" w:rsidRDefault="00295984" w:rsidP="00295984">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76C929DF" w14:textId="77777777" w:rsidR="00295984" w:rsidRDefault="00295984" w:rsidP="00295984">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E5842BB" w14:textId="77777777" w:rsidR="00295984" w:rsidRPr="00F471EC" w:rsidRDefault="00295984" w:rsidP="00295984">
      <w:pPr>
        <w:rPr>
          <w:b/>
          <w:bCs/>
          <w:sz w:val="18"/>
        </w:rPr>
      </w:pPr>
      <w:r w:rsidRPr="00F471EC">
        <w:rPr>
          <w:b/>
          <w:bCs/>
          <w:sz w:val="18"/>
        </w:rPr>
        <w:t>Administration</w:t>
      </w:r>
    </w:p>
    <w:p w14:paraId="3B04B702" w14:textId="77777777" w:rsidR="00295984" w:rsidRDefault="00295984" w:rsidP="00295984">
      <w:r>
        <w:rPr>
          <w:sz w:val="18"/>
        </w:rPr>
        <w:t>Version 1.2 of this document replaces all previous versions of this document and takes effect immediately.</w:t>
      </w:r>
    </w:p>
    <w:p w14:paraId="3EED8E9C" w14:textId="77777777" w:rsidR="00295984" w:rsidRDefault="00295984" w:rsidP="00295984">
      <w:pPr>
        <w:spacing w:line="259" w:lineRule="auto"/>
      </w:pPr>
      <w:r>
        <w:br w:type="page"/>
      </w:r>
    </w:p>
    <w:sdt>
      <w:sdtPr>
        <w:rPr>
          <w:rFonts w:ascii="Arial" w:eastAsiaTheme="minorEastAsia" w:hAnsi="Arial" w:cstheme="minorBidi"/>
          <w:color w:val="auto"/>
          <w:sz w:val="20"/>
          <w:szCs w:val="20"/>
          <w:lang w:val="en-AU"/>
        </w:rPr>
        <w:id w:val="-1123074547"/>
        <w:docPartObj>
          <w:docPartGallery w:val="Table of Contents"/>
          <w:docPartUnique/>
        </w:docPartObj>
      </w:sdtPr>
      <w:sdtEndPr>
        <w:rPr>
          <w:b/>
          <w:bCs/>
          <w:noProof/>
        </w:rPr>
      </w:sdtEndPr>
      <w:sdtContent>
        <w:p w14:paraId="3A84CA11" w14:textId="77777777" w:rsidR="00295984" w:rsidRPr="00595D05" w:rsidRDefault="00295984" w:rsidP="00295984">
          <w:pPr>
            <w:pStyle w:val="TOCHeading"/>
            <w:rPr>
              <w:rStyle w:val="Heading1Char"/>
            </w:rPr>
          </w:pPr>
          <w:r w:rsidRPr="00595D05">
            <w:rPr>
              <w:rStyle w:val="Heading1Char"/>
            </w:rPr>
            <w:t>Table of Contents</w:t>
          </w:r>
        </w:p>
        <w:p w14:paraId="1348CE63" w14:textId="2F4E525B" w:rsidR="00295984" w:rsidRDefault="00295984" w:rsidP="00295984">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2191871" w:history="1">
            <w:r w:rsidRPr="0017466F">
              <w:rPr>
                <w:rStyle w:val="Hyperlink"/>
                <w:noProof/>
              </w:rPr>
              <w:t>Purpose</w:t>
            </w:r>
            <w:r>
              <w:rPr>
                <w:noProof/>
                <w:webHidden/>
              </w:rPr>
              <w:tab/>
            </w:r>
            <w:r>
              <w:rPr>
                <w:noProof/>
                <w:webHidden/>
              </w:rPr>
              <w:fldChar w:fldCharType="begin"/>
            </w:r>
            <w:r>
              <w:rPr>
                <w:noProof/>
                <w:webHidden/>
              </w:rPr>
              <w:instrText xml:space="preserve"> PAGEREF _Toc202191871 \h </w:instrText>
            </w:r>
            <w:r>
              <w:rPr>
                <w:noProof/>
                <w:webHidden/>
              </w:rPr>
            </w:r>
            <w:r>
              <w:rPr>
                <w:noProof/>
                <w:webHidden/>
              </w:rPr>
              <w:fldChar w:fldCharType="separate"/>
            </w:r>
            <w:r w:rsidR="003171C6">
              <w:rPr>
                <w:noProof/>
                <w:webHidden/>
              </w:rPr>
              <w:t>4</w:t>
            </w:r>
            <w:r>
              <w:rPr>
                <w:noProof/>
                <w:webHidden/>
              </w:rPr>
              <w:fldChar w:fldCharType="end"/>
            </w:r>
          </w:hyperlink>
        </w:p>
        <w:p w14:paraId="6B226821" w14:textId="3261A980" w:rsidR="00295984" w:rsidRDefault="00295984" w:rsidP="00295984">
          <w:pPr>
            <w:pStyle w:val="TOC1"/>
            <w:rPr>
              <w:rFonts w:asciiTheme="minorHAnsi" w:eastAsiaTheme="minorEastAsia" w:hAnsiTheme="minorHAnsi"/>
              <w:noProof/>
              <w:kern w:val="2"/>
              <w:sz w:val="24"/>
              <w:szCs w:val="24"/>
              <w:lang w:eastAsia="en-AU"/>
              <w14:ligatures w14:val="standardContextual"/>
            </w:rPr>
          </w:pPr>
          <w:hyperlink w:anchor="_Toc202191872" w:history="1">
            <w:r w:rsidRPr="0017466F">
              <w:rPr>
                <w:rStyle w:val="Hyperlink"/>
                <w:noProof/>
              </w:rPr>
              <w:t>Enduring community value</w:t>
            </w:r>
            <w:r>
              <w:rPr>
                <w:noProof/>
                <w:webHidden/>
              </w:rPr>
              <w:tab/>
            </w:r>
            <w:r>
              <w:rPr>
                <w:noProof/>
                <w:webHidden/>
              </w:rPr>
              <w:fldChar w:fldCharType="begin"/>
            </w:r>
            <w:r>
              <w:rPr>
                <w:noProof/>
                <w:webHidden/>
              </w:rPr>
              <w:instrText xml:space="preserve"> PAGEREF _Toc202191872 \h </w:instrText>
            </w:r>
            <w:r>
              <w:rPr>
                <w:noProof/>
                <w:webHidden/>
              </w:rPr>
            </w:r>
            <w:r>
              <w:rPr>
                <w:noProof/>
                <w:webHidden/>
              </w:rPr>
              <w:fldChar w:fldCharType="separate"/>
            </w:r>
            <w:r w:rsidR="003171C6">
              <w:rPr>
                <w:noProof/>
                <w:webHidden/>
              </w:rPr>
              <w:t>4</w:t>
            </w:r>
            <w:r>
              <w:rPr>
                <w:noProof/>
                <w:webHidden/>
              </w:rPr>
              <w:fldChar w:fldCharType="end"/>
            </w:r>
          </w:hyperlink>
        </w:p>
        <w:p w14:paraId="249CC192" w14:textId="733A987C" w:rsidR="00295984" w:rsidRDefault="00295984" w:rsidP="00295984">
          <w:pPr>
            <w:pStyle w:val="TOC1"/>
            <w:rPr>
              <w:rFonts w:asciiTheme="minorHAnsi" w:eastAsiaTheme="minorEastAsia" w:hAnsiTheme="minorHAnsi"/>
              <w:noProof/>
              <w:kern w:val="2"/>
              <w:sz w:val="24"/>
              <w:szCs w:val="24"/>
              <w:lang w:eastAsia="en-AU"/>
              <w14:ligatures w14:val="standardContextual"/>
            </w:rPr>
          </w:pPr>
          <w:hyperlink w:anchor="_Toc202191879" w:history="1">
            <w:r w:rsidRPr="0017466F">
              <w:rPr>
                <w:rStyle w:val="Hyperlink"/>
                <w:noProof/>
              </w:rPr>
              <w:t>Further information</w:t>
            </w:r>
            <w:r>
              <w:rPr>
                <w:noProof/>
                <w:webHidden/>
              </w:rPr>
              <w:tab/>
            </w:r>
            <w:r>
              <w:rPr>
                <w:noProof/>
                <w:webHidden/>
              </w:rPr>
              <w:fldChar w:fldCharType="begin"/>
            </w:r>
            <w:r>
              <w:rPr>
                <w:noProof/>
                <w:webHidden/>
              </w:rPr>
              <w:instrText xml:space="preserve"> PAGEREF _Toc202191879 \h </w:instrText>
            </w:r>
            <w:r>
              <w:rPr>
                <w:noProof/>
                <w:webHidden/>
              </w:rPr>
            </w:r>
            <w:r>
              <w:rPr>
                <w:noProof/>
                <w:webHidden/>
              </w:rPr>
              <w:fldChar w:fldCharType="separate"/>
            </w:r>
            <w:r w:rsidR="003171C6">
              <w:rPr>
                <w:noProof/>
                <w:webHidden/>
              </w:rPr>
              <w:t>10</w:t>
            </w:r>
            <w:r>
              <w:rPr>
                <w:noProof/>
                <w:webHidden/>
              </w:rPr>
              <w:fldChar w:fldCharType="end"/>
            </w:r>
          </w:hyperlink>
        </w:p>
        <w:p w14:paraId="546AD37E" w14:textId="49489D99" w:rsidR="00295984" w:rsidRDefault="00295984" w:rsidP="00295984">
          <w:pPr>
            <w:pStyle w:val="TOC1"/>
            <w:rPr>
              <w:rFonts w:asciiTheme="minorHAnsi" w:eastAsiaTheme="minorEastAsia" w:hAnsiTheme="minorHAnsi"/>
              <w:noProof/>
              <w:kern w:val="2"/>
              <w:sz w:val="24"/>
              <w:szCs w:val="24"/>
              <w:lang w:eastAsia="en-AU"/>
              <w14:ligatures w14:val="standardContextual"/>
            </w:rPr>
          </w:pPr>
          <w:hyperlink w:anchor="_Toc202191882" w:history="1">
            <w:r w:rsidRPr="0017466F">
              <w:rPr>
                <w:rStyle w:val="Hyperlink"/>
                <w:noProof/>
              </w:rPr>
              <w:t>Appendix 1 – Example frameworks</w:t>
            </w:r>
            <w:r>
              <w:rPr>
                <w:noProof/>
                <w:webHidden/>
              </w:rPr>
              <w:tab/>
            </w:r>
            <w:r>
              <w:rPr>
                <w:noProof/>
                <w:webHidden/>
              </w:rPr>
              <w:fldChar w:fldCharType="begin"/>
            </w:r>
            <w:r>
              <w:rPr>
                <w:noProof/>
                <w:webHidden/>
              </w:rPr>
              <w:instrText xml:space="preserve"> PAGEREF _Toc202191882 \h </w:instrText>
            </w:r>
            <w:r>
              <w:rPr>
                <w:noProof/>
                <w:webHidden/>
              </w:rPr>
            </w:r>
            <w:r>
              <w:rPr>
                <w:noProof/>
                <w:webHidden/>
              </w:rPr>
              <w:fldChar w:fldCharType="separate"/>
            </w:r>
            <w:r w:rsidR="003171C6">
              <w:rPr>
                <w:noProof/>
                <w:webHidden/>
              </w:rPr>
              <w:t>11</w:t>
            </w:r>
            <w:r>
              <w:rPr>
                <w:noProof/>
                <w:webHidden/>
              </w:rPr>
              <w:fldChar w:fldCharType="end"/>
            </w:r>
          </w:hyperlink>
        </w:p>
        <w:p w14:paraId="112842E6" w14:textId="128C4EA3" w:rsidR="00295984" w:rsidRDefault="00295984" w:rsidP="00295984">
          <w:pPr>
            <w:pStyle w:val="TOC1"/>
            <w:rPr>
              <w:rFonts w:asciiTheme="minorHAnsi" w:eastAsiaTheme="minorEastAsia" w:hAnsiTheme="minorHAnsi"/>
              <w:noProof/>
              <w:kern w:val="2"/>
              <w:sz w:val="24"/>
              <w:szCs w:val="24"/>
              <w:lang w:eastAsia="en-AU"/>
              <w14:ligatures w14:val="standardContextual"/>
            </w:rPr>
          </w:pPr>
          <w:hyperlink w:anchor="_Toc202191886" w:history="1">
            <w:r w:rsidRPr="0017466F">
              <w:rPr>
                <w:rStyle w:val="Hyperlink"/>
                <w:noProof/>
              </w:rPr>
              <w:t>Appendix 2 – ECV and major projects</w:t>
            </w:r>
            <w:r>
              <w:rPr>
                <w:noProof/>
                <w:webHidden/>
              </w:rPr>
              <w:tab/>
            </w:r>
            <w:r>
              <w:rPr>
                <w:noProof/>
                <w:webHidden/>
              </w:rPr>
              <w:fldChar w:fldCharType="begin"/>
            </w:r>
            <w:r>
              <w:rPr>
                <w:noProof/>
                <w:webHidden/>
              </w:rPr>
              <w:instrText xml:space="preserve"> PAGEREF _Toc202191886 \h </w:instrText>
            </w:r>
            <w:r>
              <w:rPr>
                <w:noProof/>
                <w:webHidden/>
              </w:rPr>
            </w:r>
            <w:r>
              <w:rPr>
                <w:noProof/>
                <w:webHidden/>
              </w:rPr>
              <w:fldChar w:fldCharType="separate"/>
            </w:r>
            <w:r w:rsidR="003171C6">
              <w:rPr>
                <w:noProof/>
                <w:webHidden/>
              </w:rPr>
              <w:t>14</w:t>
            </w:r>
            <w:r>
              <w:rPr>
                <w:noProof/>
                <w:webHidden/>
              </w:rPr>
              <w:fldChar w:fldCharType="end"/>
            </w:r>
          </w:hyperlink>
        </w:p>
        <w:p w14:paraId="5CB17B46" w14:textId="77777777" w:rsidR="00295984" w:rsidRDefault="00295984" w:rsidP="00295984">
          <w:r>
            <w:rPr>
              <w:b/>
              <w:bCs/>
              <w:noProof/>
            </w:rPr>
            <w:fldChar w:fldCharType="end"/>
          </w:r>
        </w:p>
      </w:sdtContent>
    </w:sdt>
    <w:p w14:paraId="1FD32571" w14:textId="77777777" w:rsidR="00295984" w:rsidRDefault="00295984" w:rsidP="00295984">
      <w:pPr>
        <w:spacing w:line="259" w:lineRule="auto"/>
      </w:pPr>
      <w:r>
        <w:br w:type="page"/>
      </w:r>
    </w:p>
    <w:p w14:paraId="025020F1" w14:textId="77777777" w:rsidR="00295984" w:rsidRDefault="00295984" w:rsidP="00295984">
      <w:pPr>
        <w:pStyle w:val="Heading1"/>
      </w:pPr>
      <w:bookmarkStart w:id="1" w:name="_Toc202191871"/>
      <w:r>
        <w:lastRenderedPageBreak/>
        <w:t>Purpose</w:t>
      </w:r>
      <w:bookmarkEnd w:id="1"/>
    </w:p>
    <w:p w14:paraId="570C7C90" w14:textId="77777777" w:rsidR="00295984" w:rsidRPr="0053194B" w:rsidRDefault="00295984" w:rsidP="00295984">
      <w:r>
        <w:t>This guide supports procurement officers, project leads and decision-makers to understand the concept of enduring community value (ECV) and the role of procurement, including contract management, to facilitate ECV in projects valued at $100 million or more. This guide should be read in conjunction with your agency’s procurement policies and procedures.</w:t>
      </w:r>
    </w:p>
    <w:p w14:paraId="1513974E" w14:textId="77777777" w:rsidR="00295984" w:rsidRPr="00786887" w:rsidRDefault="00295984" w:rsidP="00295984">
      <w:pPr>
        <w:pStyle w:val="Heading1"/>
      </w:pPr>
      <w:bookmarkStart w:id="2" w:name="_Toc202191872"/>
      <w:r>
        <w:t>Enduring community value</w:t>
      </w:r>
      <w:bookmarkEnd w:id="2"/>
    </w:p>
    <w:p w14:paraId="2BA04089" w14:textId="77777777" w:rsidR="00295984" w:rsidRPr="004C02C8" w:rsidRDefault="00295984" w:rsidP="00295984">
      <w:pPr>
        <w:pStyle w:val="Heading2"/>
      </w:pPr>
      <w:bookmarkStart w:id="3" w:name="_Toc202191873"/>
      <w:r>
        <w:t>Why</w:t>
      </w:r>
      <w:bookmarkEnd w:id="3"/>
    </w:p>
    <w:p w14:paraId="3DD8A043" w14:textId="77777777" w:rsidR="00295984" w:rsidRDefault="00295984" w:rsidP="00295984">
      <w:r w:rsidRPr="00F73C80">
        <w:t>The QPP</w:t>
      </w:r>
      <w:r>
        <w:t xml:space="preserve"> reinforces that</w:t>
      </w:r>
      <w:r w:rsidRPr="00092AF3">
        <w:t xml:space="preserve"> </w:t>
      </w:r>
      <w:r>
        <w:t>value</w:t>
      </w:r>
      <w:r w:rsidRPr="00092AF3">
        <w:t xml:space="preserve"> is more than just the lowest price, and is about advancing economic,</w:t>
      </w:r>
      <w:r>
        <w:t xml:space="preserve"> ethical,</w:t>
      </w:r>
      <w:r w:rsidRPr="00092AF3">
        <w:t xml:space="preserve"> social and environmental outcomes. </w:t>
      </w:r>
      <w:proofErr w:type="gramStart"/>
      <w:r>
        <w:t>T</w:t>
      </w:r>
      <w:r w:rsidRPr="00092AF3">
        <w:t>he rising cost of living,</w:t>
      </w:r>
      <w:proofErr w:type="gramEnd"/>
      <w:r w:rsidRPr="00092AF3">
        <w:t xml:space="preserve"> impacts of climate change, the need for governments to do more with less and contemporary community expectations on ethical sourcing practices, have driven a greater focus on how procurement can be used to create long-term value for the community.     </w:t>
      </w:r>
    </w:p>
    <w:p w14:paraId="3A88F1AC" w14:textId="77777777" w:rsidR="00295984" w:rsidRDefault="00295984" w:rsidP="00295984">
      <w:r>
        <w:t xml:space="preserve">ECV is a policy mechanism that enables buyers to leverage government procurement to deliver on what is needed today, while creating economic, ethical, social and environmental value for Queenslanders now and into the future. In </w:t>
      </w:r>
      <w:r w:rsidRPr="00092AF3">
        <w:t>other words, it is about going above and beyond the minimum requirements, to leave a positive legacy</w:t>
      </w:r>
      <w:r>
        <w:t xml:space="preserve">. </w:t>
      </w:r>
    </w:p>
    <w:p w14:paraId="32AC2A54" w14:textId="77777777" w:rsidR="00295984" w:rsidRDefault="00295984" w:rsidP="00295984">
      <w:r>
        <w:t>Pursuing i</w:t>
      </w:r>
      <w:r w:rsidRPr="00931427">
        <w:t xml:space="preserve">ntergenerational economic, ethical, social and environmental </w:t>
      </w:r>
      <w:r w:rsidRPr="00092AF3">
        <w:t>value align</w:t>
      </w:r>
      <w:r>
        <w:t>s</w:t>
      </w:r>
      <w:r w:rsidRPr="00092AF3">
        <w:t xml:space="preserve"> with community expectations on the role of government in advancing the public interest.</w:t>
      </w:r>
      <w:r>
        <w:t xml:space="preserve"> Pursuing ECV will also promote human rights as legacy outcomes are people focussed and centred around a strong vision for a more inclusive, sustainable and connected society. </w:t>
      </w:r>
    </w:p>
    <w:p w14:paraId="11E0A000" w14:textId="77777777" w:rsidR="00295984" w:rsidRPr="00092AF3" w:rsidRDefault="00295984" w:rsidP="00295984">
      <w:r>
        <w:t>The asset portfolio and procurement pipeline of Queensland’s energy transformation, and the Brisbane 2032 Olympic and Paralympic Games</w:t>
      </w:r>
      <w:r w:rsidRPr="00620A93">
        <w:t xml:space="preserve">, present an excellent opportunity to create ECV.  While ECV has a strong alignment with legacy outcomes sought through the Brisbane 2032 Olympic and Paralympic Games, this guide focusses on broader ECV opportunities that may be present in all major projects. </w:t>
      </w:r>
    </w:p>
    <w:p w14:paraId="7166DE6A" w14:textId="77777777" w:rsidR="00295984" w:rsidRPr="004C02C8" w:rsidRDefault="00295984" w:rsidP="00295984">
      <w:pPr>
        <w:pStyle w:val="Heading2"/>
      </w:pPr>
      <w:bookmarkStart w:id="4" w:name="_Toc202191874"/>
      <w:r w:rsidRPr="004C02C8">
        <w:t>What</w:t>
      </w:r>
      <w:bookmarkEnd w:id="4"/>
      <w:r w:rsidRPr="004C02C8">
        <w:t xml:space="preserve"> </w:t>
      </w:r>
    </w:p>
    <w:p w14:paraId="126F6E1D" w14:textId="77777777" w:rsidR="00295984" w:rsidRDefault="00295984" w:rsidP="00295984">
      <w:r>
        <w:t xml:space="preserve">The QPP defines ECV as the ‘long-term economic, ethical, social and environmental value to current and future generations of Queenslanders and is created through responsible public procurement </w:t>
      </w:r>
      <w:proofErr w:type="gramStart"/>
      <w:r>
        <w:t>choices’</w:t>
      </w:r>
      <w:proofErr w:type="gramEnd"/>
      <w:r>
        <w:t xml:space="preserve">. </w:t>
      </w:r>
    </w:p>
    <w:p w14:paraId="57E00DB3" w14:textId="77777777" w:rsidR="00295984" w:rsidRDefault="00295984" w:rsidP="00295984">
      <w:r>
        <w:t xml:space="preserve">What ECV looks </w:t>
      </w:r>
      <w:proofErr w:type="gramStart"/>
      <w:r>
        <w:t>like</w:t>
      </w:r>
      <w:proofErr w:type="gramEnd"/>
      <w:r>
        <w:t xml:space="preserve"> and its respective </w:t>
      </w:r>
      <w:proofErr w:type="gramStart"/>
      <w:r>
        <w:t>time period</w:t>
      </w:r>
      <w:proofErr w:type="gramEnd"/>
      <w:r>
        <w:t xml:space="preserve"> will differ for each procurement. </w:t>
      </w:r>
      <w:proofErr w:type="gramStart"/>
      <w:r>
        <w:t>As a general rule</w:t>
      </w:r>
      <w:proofErr w:type="gramEnd"/>
      <w:r>
        <w:t xml:space="preserve">, a long-term view of more than 10 years should be taken where possible. This necessitates robust planning and forecasting, noting that ECV outcomes will be subject to, and may evolve, as new challenges or opportunities emerge over time, which could be driven by a range of factors (e.g. geopolitical, economic, environmental, ethical, social).  </w:t>
      </w:r>
    </w:p>
    <w:p w14:paraId="497A6A96" w14:textId="77777777" w:rsidR="00295984" w:rsidRPr="00092AF3" w:rsidRDefault="00295984" w:rsidP="00295984">
      <w:r>
        <w:t xml:space="preserve">With a focus on </w:t>
      </w:r>
      <w:r w:rsidRPr="002858DF">
        <w:rPr>
          <w:i/>
          <w:iCs/>
        </w:rPr>
        <w:t>long-term</w:t>
      </w:r>
      <w:r>
        <w:t xml:space="preserve"> economic, ethical, social and environmental value, ECV is distinct from, but complementary to, existing procurement policy mechanisms such as the Local Benefits Test. </w:t>
      </w:r>
      <w:r w:rsidRPr="00092AF3">
        <w:t xml:space="preserve">For example, while supporting quality, local jobs may be a key priority for a major project, applying an ECV lens on this may result in the buyer seeking commitments from suppliers on how further training and career pathways may be provided to those from disadvantaged backgrounds in emerging sectors (e.g. renewable energy) </w:t>
      </w:r>
      <w:r>
        <w:t xml:space="preserve">to support long-term social outcomes </w:t>
      </w:r>
      <w:r w:rsidRPr="00092AF3">
        <w:t>post-completion of the project.</w:t>
      </w:r>
    </w:p>
    <w:p w14:paraId="7857DF2B" w14:textId="77777777" w:rsidR="00295984" w:rsidRPr="004C02C8" w:rsidRDefault="00295984" w:rsidP="00295984">
      <w:pPr>
        <w:pStyle w:val="Heading2"/>
      </w:pPr>
      <w:bookmarkStart w:id="5" w:name="_Toc202191875"/>
      <w:r>
        <w:t>How</w:t>
      </w:r>
      <w:bookmarkEnd w:id="5"/>
    </w:p>
    <w:bookmarkStart w:id="6" w:name="_Hlk206767623"/>
    <w:p w14:paraId="5E197D4A" w14:textId="77777777" w:rsidR="00295984" w:rsidRDefault="00295984" w:rsidP="00295984">
      <w:r>
        <w:fldChar w:fldCharType="begin"/>
      </w:r>
      <w:r>
        <w:instrText>HYPERLINK "https://www.forgov.qld.gov.au/finance-and-procurement/procurement/procurement-resources/procurement-policies-and-frameworks/queensland-procurement-policy-2023/procurement-process/sourcing-evaluation-and-contract-formation" \l "jobs"</w:instrText>
      </w:r>
      <w:r>
        <w:fldChar w:fldCharType="separate"/>
      </w:r>
      <w:r>
        <w:rPr>
          <w:rStyle w:val="Hyperlink"/>
        </w:rPr>
        <w:t>T</w:t>
      </w:r>
      <w:r w:rsidRPr="002858DF">
        <w:rPr>
          <w:rStyle w:val="Hyperlink"/>
        </w:rPr>
        <w:t>he QPP</w:t>
      </w:r>
      <w:r>
        <w:fldChar w:fldCharType="end"/>
      </w:r>
      <w:r w:rsidRPr="00092AF3">
        <w:t xml:space="preserve"> requires </w:t>
      </w:r>
      <w:bookmarkEnd w:id="6"/>
      <w:r>
        <w:t>agencies</w:t>
      </w:r>
      <w:r w:rsidRPr="00092AF3">
        <w:t xml:space="preserve"> to, </w:t>
      </w:r>
      <w:r>
        <w:t>for</w:t>
      </w:r>
      <w:r w:rsidRPr="00092AF3">
        <w:t xml:space="preserve"> projects of $100 million or more, progress opportunities to create ECV through </w:t>
      </w:r>
      <w:r w:rsidRPr="00716665">
        <w:t>responsible public procurement choices, including the use of local workforces and increasing opportunities for apprentices an</w:t>
      </w:r>
      <w:r w:rsidRPr="00092AF3">
        <w:t>d trainees wherever possible.</w:t>
      </w:r>
    </w:p>
    <w:p w14:paraId="12E865B7" w14:textId="77777777" w:rsidR="00295984" w:rsidRPr="00591E5C" w:rsidRDefault="00295984" w:rsidP="00295984">
      <w:pPr>
        <w:rPr>
          <w:b/>
          <w:bCs/>
        </w:rPr>
      </w:pPr>
      <w:r w:rsidRPr="00092AF3">
        <w:lastRenderedPageBreak/>
        <w:t xml:space="preserve">Although any procurement can potentially create ECV, projects of $100 million </w:t>
      </w:r>
      <w:r>
        <w:t xml:space="preserve">or more </w:t>
      </w:r>
      <w:r w:rsidRPr="00092AF3">
        <w:t xml:space="preserve">present </w:t>
      </w:r>
      <w:proofErr w:type="gramStart"/>
      <w:r w:rsidRPr="00092AF3">
        <w:t>particular opportunities</w:t>
      </w:r>
      <w:proofErr w:type="gramEnd"/>
      <w:r w:rsidRPr="00092AF3">
        <w:t xml:space="preserve"> in this area. This requires </w:t>
      </w:r>
      <w:r>
        <w:t>ensuring</w:t>
      </w:r>
      <w:r w:rsidRPr="00092AF3">
        <w:t xml:space="preserve"> procurement’s role is collaborative and future-focused</w:t>
      </w:r>
      <w:r>
        <w:t xml:space="preserve"> rather than transactions-based</w:t>
      </w:r>
      <w:r w:rsidRPr="00092AF3">
        <w:t xml:space="preserve">. </w:t>
      </w:r>
      <w:r>
        <w:t xml:space="preserve"> </w:t>
      </w:r>
    </w:p>
    <w:tbl>
      <w:tblPr>
        <w:tblStyle w:val="TableGrid"/>
        <w:tblW w:w="5000" w:type="pct"/>
        <w:tblLook w:val="04A0" w:firstRow="1" w:lastRow="0" w:firstColumn="1" w:lastColumn="0" w:noHBand="0" w:noVBand="1"/>
      </w:tblPr>
      <w:tblGrid>
        <w:gridCol w:w="9016"/>
      </w:tblGrid>
      <w:tr w:rsidR="00295984" w14:paraId="3289C2A3" w14:textId="77777777" w:rsidTr="00E92A75">
        <w:tc>
          <w:tcPr>
            <w:tcW w:w="5000" w:type="pct"/>
            <w:shd w:val="clear" w:color="auto" w:fill="0070C0"/>
            <w:hideMark/>
          </w:tcPr>
          <w:p w14:paraId="7892CB2F" w14:textId="77777777" w:rsidR="00295984" w:rsidRPr="00911B09" w:rsidRDefault="00295984" w:rsidP="00E92A75">
            <w:pPr>
              <w:keepNext/>
              <w:keepLines/>
              <w:rPr>
                <w:b/>
                <w:bCs/>
                <w:color w:val="FFFFFF" w:themeColor="background1"/>
                <w:sz w:val="18"/>
                <w:szCs w:val="18"/>
              </w:rPr>
            </w:pPr>
            <w:r>
              <w:rPr>
                <w:b/>
                <w:bCs/>
                <w:color w:val="FFFFFF" w:themeColor="background1"/>
                <w:sz w:val="18"/>
                <w:szCs w:val="18"/>
              </w:rPr>
              <w:t>Note</w:t>
            </w:r>
          </w:p>
        </w:tc>
      </w:tr>
      <w:tr w:rsidR="00295984" w14:paraId="1C4878A5" w14:textId="77777777" w:rsidTr="00E92A75">
        <w:tc>
          <w:tcPr>
            <w:tcW w:w="5000" w:type="pct"/>
            <w:hideMark/>
          </w:tcPr>
          <w:p w14:paraId="69FCA4BB" w14:textId="77777777" w:rsidR="00295984" w:rsidRPr="00591E5C" w:rsidRDefault="00295984" w:rsidP="00E92A75">
            <w:pPr>
              <w:keepNext/>
              <w:keepLines/>
            </w:pPr>
            <w:r>
              <w:t>A</w:t>
            </w:r>
            <w:r w:rsidRPr="00092AF3">
              <w:t xml:space="preserve">gencies have the flexibility to implement this clause in line with their specific procurement policies, procedures and practices, and their respective needs and project goals. </w:t>
            </w:r>
          </w:p>
        </w:tc>
      </w:tr>
    </w:tbl>
    <w:p w14:paraId="46CB843A" w14:textId="77777777" w:rsidR="00295984" w:rsidRPr="00092AF3" w:rsidRDefault="00295984" w:rsidP="00A43475">
      <w:pPr>
        <w:spacing w:before="240"/>
      </w:pPr>
      <w:r>
        <w:t>In summary, t</w:t>
      </w:r>
      <w:r w:rsidRPr="00092AF3">
        <w:t>o progress ECV opportunities in projects of $100 million or more, agencies should:</w:t>
      </w:r>
    </w:p>
    <w:p w14:paraId="089C8BA7" w14:textId="77777777" w:rsidR="00295984" w:rsidRPr="00092AF3" w:rsidRDefault="00295984" w:rsidP="00295984">
      <w:pPr>
        <w:pStyle w:val="ListParagraph"/>
        <w:numPr>
          <w:ilvl w:val="0"/>
          <w:numId w:val="16"/>
        </w:numPr>
        <w:spacing w:line="260" w:lineRule="exact"/>
      </w:pPr>
      <w:r w:rsidRPr="00092AF3">
        <w:t>identify these opportunities</w:t>
      </w:r>
    </w:p>
    <w:p w14:paraId="78A62C54" w14:textId="77777777" w:rsidR="00295984" w:rsidRPr="00092AF3" w:rsidRDefault="00295984" w:rsidP="00295984">
      <w:pPr>
        <w:pStyle w:val="ListParagraph"/>
        <w:numPr>
          <w:ilvl w:val="0"/>
          <w:numId w:val="16"/>
        </w:numPr>
        <w:spacing w:line="260" w:lineRule="exact"/>
      </w:pPr>
      <w:r w:rsidRPr="00092AF3">
        <w:t xml:space="preserve">determine whether procurement is the most appropriate vehicle to progress these opportunities </w:t>
      </w:r>
    </w:p>
    <w:p w14:paraId="19FF883B" w14:textId="77777777" w:rsidR="00295984" w:rsidRPr="00092AF3" w:rsidRDefault="00295984" w:rsidP="00295984">
      <w:pPr>
        <w:pStyle w:val="ListParagraph"/>
        <w:numPr>
          <w:ilvl w:val="0"/>
          <w:numId w:val="16"/>
        </w:numPr>
        <w:spacing w:line="260" w:lineRule="exact"/>
      </w:pPr>
      <w:r w:rsidRPr="00092AF3">
        <w:t>and if so, ensure these are reflected in procurement documentation (e.g. procurement plans, invitation documentation, contract documentation)</w:t>
      </w:r>
      <w:r>
        <w:t xml:space="preserve"> and managed as part of contract delivery.</w:t>
      </w:r>
    </w:p>
    <w:p w14:paraId="7B1A00B1" w14:textId="77777777" w:rsidR="00295984" w:rsidRPr="00092AF3" w:rsidRDefault="00295984" w:rsidP="00295984">
      <w:r w:rsidRPr="00092AF3">
        <w:t xml:space="preserve">Agencies should consider the following to enable implementation of </w:t>
      </w:r>
      <w:hyperlink r:id="rId12" w:anchor="jobs" w:history="1">
        <w:r w:rsidRPr="005B404A">
          <w:rPr>
            <w:rStyle w:val="Hyperlink"/>
          </w:rPr>
          <w:t>Clause 26 of the QPP</w:t>
        </w:r>
      </w:hyperlink>
      <w:r w:rsidRPr="00092AF3">
        <w:t>:</w:t>
      </w:r>
    </w:p>
    <w:p w14:paraId="2F998E86" w14:textId="77777777" w:rsidR="00295984" w:rsidRPr="00092AF3" w:rsidRDefault="00295984" w:rsidP="00295984">
      <w:pPr>
        <w:pStyle w:val="ListParagraph"/>
        <w:numPr>
          <w:ilvl w:val="0"/>
          <w:numId w:val="13"/>
        </w:numPr>
        <w:spacing w:line="260" w:lineRule="exact"/>
      </w:pPr>
      <w:r>
        <w:t>S</w:t>
      </w:r>
      <w:r w:rsidRPr="00092AF3">
        <w:t>upporting procurement decision-makers to engage early</w:t>
      </w:r>
      <w:r>
        <w:t xml:space="preserve"> with key stakeholders at the investment planning stage.</w:t>
      </w:r>
      <w:r w:rsidRPr="00092AF3">
        <w:t xml:space="preserve"> </w:t>
      </w:r>
    </w:p>
    <w:p w14:paraId="30FD66D9" w14:textId="77777777" w:rsidR="00295984" w:rsidRDefault="00295984" w:rsidP="00295984">
      <w:pPr>
        <w:pStyle w:val="ListParagraph"/>
        <w:numPr>
          <w:ilvl w:val="0"/>
          <w:numId w:val="13"/>
        </w:numPr>
        <w:spacing w:line="260" w:lineRule="exact"/>
      </w:pPr>
      <w:r>
        <w:t>U</w:t>
      </w:r>
      <w:r w:rsidRPr="00092AF3">
        <w:t>pdating procurement and major project policies and procedures to support incorporation of ECV opportunities in projects valued at $100</w:t>
      </w:r>
      <w:r>
        <w:t xml:space="preserve"> million or more.</w:t>
      </w:r>
    </w:p>
    <w:p w14:paraId="045F6735" w14:textId="77777777" w:rsidR="00295984" w:rsidRDefault="00295984" w:rsidP="00295984">
      <w:pPr>
        <w:ind w:left="720" w:right="1088"/>
      </w:pPr>
    </w:p>
    <w:p w14:paraId="5B06FD98" w14:textId="77777777" w:rsidR="00295984" w:rsidRDefault="00295984" w:rsidP="00295984">
      <w:pPr>
        <w:pStyle w:val="IntenseQuote"/>
        <w:jc w:val="left"/>
      </w:pPr>
      <w:r w:rsidRPr="001B67A2">
        <w:rPr>
          <w:b/>
          <w:bCs/>
        </w:rPr>
        <w:t>Dollar ($) value</w:t>
      </w:r>
      <w:r w:rsidRPr="002858DF">
        <w:rPr>
          <w:color w:val="C00000"/>
        </w:rPr>
        <w:t xml:space="preserve"> </w:t>
      </w:r>
      <w:r>
        <w:br/>
        <w:t>All references to a dollar value in this guide refer to the Australian dollar (AUD) and are exclusive of GST.</w:t>
      </w:r>
    </w:p>
    <w:p w14:paraId="363BA9E7" w14:textId="77777777" w:rsidR="00295984" w:rsidRPr="00092AF3" w:rsidRDefault="00295984" w:rsidP="00295984">
      <w:pPr>
        <w:pStyle w:val="Heading3"/>
      </w:pPr>
      <w:bookmarkStart w:id="7" w:name="_Toc202191876"/>
      <w:r w:rsidRPr="00092AF3">
        <w:t>Engaging early</w:t>
      </w:r>
      <w:r>
        <w:t xml:space="preserve"> with key stakeholders</w:t>
      </w:r>
      <w:r w:rsidRPr="00092AF3">
        <w:t xml:space="preserve"> </w:t>
      </w:r>
      <w:r>
        <w:t>at investment planning stage</w:t>
      </w:r>
      <w:bookmarkEnd w:id="7"/>
    </w:p>
    <w:p w14:paraId="29F1DC29" w14:textId="77777777" w:rsidR="00295984" w:rsidRDefault="00295984" w:rsidP="00295984">
      <w:pPr>
        <w:pStyle w:val="Heading4"/>
      </w:pPr>
      <w:bookmarkStart w:id="8" w:name="_Why"/>
      <w:bookmarkEnd w:id="8"/>
      <w:r>
        <w:t>Why</w:t>
      </w:r>
    </w:p>
    <w:p w14:paraId="3E97D12F" w14:textId="77777777" w:rsidR="00295984" w:rsidRDefault="00295984" w:rsidP="00295984">
      <w:r w:rsidRPr="00092AF3">
        <w:t>Identifying ECV opportunities and determining whether procurement is the most appropriate vehicle</w:t>
      </w:r>
      <w:r>
        <w:t xml:space="preserve"> to progress the same</w:t>
      </w:r>
      <w:r w:rsidRPr="00092AF3">
        <w:t xml:space="preserve"> requires procurement decision-makers</w:t>
      </w:r>
      <w:r>
        <w:t xml:space="preserve"> to engage with key stakeholders at the early stages of investment planning. </w:t>
      </w:r>
    </w:p>
    <w:p w14:paraId="6140CC11" w14:textId="77777777" w:rsidR="00295984" w:rsidRDefault="00295984" w:rsidP="00295984">
      <w:proofErr w:type="gramStart"/>
      <w:r>
        <w:t>For the purpose of</w:t>
      </w:r>
      <w:proofErr w:type="gramEnd"/>
      <w:r>
        <w:t xml:space="preserve"> this guide, investment planning means activities related to strategic planning for the organisation through to planning for a major program or project.</w:t>
      </w:r>
    </w:p>
    <w:tbl>
      <w:tblPr>
        <w:tblStyle w:val="TableGrid"/>
        <w:tblW w:w="5000" w:type="pct"/>
        <w:tblLook w:val="04A0" w:firstRow="1" w:lastRow="0" w:firstColumn="1" w:lastColumn="0" w:noHBand="0" w:noVBand="1"/>
      </w:tblPr>
      <w:tblGrid>
        <w:gridCol w:w="9016"/>
      </w:tblGrid>
      <w:tr w:rsidR="00295984" w14:paraId="22D4DC21" w14:textId="77777777" w:rsidTr="00E92A75">
        <w:tc>
          <w:tcPr>
            <w:tcW w:w="5000" w:type="pct"/>
            <w:shd w:val="clear" w:color="auto" w:fill="0070C0"/>
            <w:hideMark/>
          </w:tcPr>
          <w:p w14:paraId="0DE199C5" w14:textId="77777777" w:rsidR="00295984" w:rsidRPr="00911B09" w:rsidRDefault="00295984" w:rsidP="00E92A75">
            <w:pPr>
              <w:rPr>
                <w:b/>
                <w:bCs/>
                <w:color w:val="FFFFFF" w:themeColor="background1"/>
                <w:sz w:val="18"/>
                <w:szCs w:val="18"/>
              </w:rPr>
            </w:pPr>
            <w:r>
              <w:rPr>
                <w:b/>
                <w:bCs/>
                <w:color w:val="FFFFFF" w:themeColor="background1"/>
                <w:sz w:val="18"/>
                <w:szCs w:val="18"/>
              </w:rPr>
              <w:t>Key stakeholders</w:t>
            </w:r>
          </w:p>
        </w:tc>
      </w:tr>
      <w:tr w:rsidR="00295984" w14:paraId="3580A16D" w14:textId="77777777" w:rsidTr="00E92A75">
        <w:tc>
          <w:tcPr>
            <w:tcW w:w="5000" w:type="pct"/>
            <w:hideMark/>
          </w:tcPr>
          <w:p w14:paraId="5B0DB55A" w14:textId="77777777" w:rsidR="00295984" w:rsidRDefault="00295984" w:rsidP="00E92A75">
            <w:r>
              <w:t>Key stakeholders that procurement decision-makers may engage with include:</w:t>
            </w:r>
          </w:p>
          <w:p w14:paraId="37F335F5" w14:textId="77777777" w:rsidR="00295984" w:rsidRPr="00092AF3" w:rsidRDefault="00295984" w:rsidP="00295984">
            <w:pPr>
              <w:pStyle w:val="ListParagraph"/>
              <w:numPr>
                <w:ilvl w:val="0"/>
                <w:numId w:val="19"/>
              </w:numPr>
              <w:spacing w:line="260" w:lineRule="exact"/>
            </w:pPr>
            <w:r>
              <w:t xml:space="preserve">teams responsible for business, investment, program and/or project planning (collectively known as ‘investment planning </w:t>
            </w:r>
            <w:proofErr w:type="gramStart"/>
            <w:r>
              <w:t>teams’</w:t>
            </w:r>
            <w:proofErr w:type="gramEnd"/>
            <w:r>
              <w:t xml:space="preserve">) </w:t>
            </w:r>
          </w:p>
          <w:p w14:paraId="0869BFF0" w14:textId="77777777" w:rsidR="00295984" w:rsidRDefault="00295984" w:rsidP="00295984">
            <w:pPr>
              <w:pStyle w:val="ListParagraph"/>
              <w:numPr>
                <w:ilvl w:val="0"/>
                <w:numId w:val="19"/>
              </w:numPr>
              <w:spacing w:line="260" w:lineRule="exact"/>
            </w:pPr>
            <w:r>
              <w:t xml:space="preserve">relevant procurement Category Councils </w:t>
            </w:r>
          </w:p>
          <w:p w14:paraId="5BF51C0C" w14:textId="77777777" w:rsidR="00295984" w:rsidRDefault="00295984" w:rsidP="00295984">
            <w:pPr>
              <w:pStyle w:val="ListParagraph"/>
              <w:numPr>
                <w:ilvl w:val="0"/>
                <w:numId w:val="19"/>
              </w:numPr>
              <w:spacing w:line="260" w:lineRule="exact"/>
            </w:pPr>
            <w:r>
              <w:t xml:space="preserve">agencies responsible for government targets and objectives </w:t>
            </w:r>
          </w:p>
          <w:p w14:paraId="6541EB99" w14:textId="77777777" w:rsidR="00295984" w:rsidRDefault="00295984" w:rsidP="00295984">
            <w:pPr>
              <w:pStyle w:val="ListParagraph"/>
              <w:numPr>
                <w:ilvl w:val="0"/>
                <w:numId w:val="19"/>
              </w:numPr>
              <w:spacing w:line="260" w:lineRule="exact"/>
            </w:pPr>
            <w:r>
              <w:t xml:space="preserve">industry representatives </w:t>
            </w:r>
          </w:p>
          <w:p w14:paraId="2CF8345C" w14:textId="77777777" w:rsidR="00295984" w:rsidRDefault="00295984" w:rsidP="00295984">
            <w:pPr>
              <w:pStyle w:val="ListParagraph"/>
              <w:numPr>
                <w:ilvl w:val="0"/>
                <w:numId w:val="19"/>
              </w:numPr>
              <w:spacing w:line="260" w:lineRule="exact"/>
            </w:pPr>
            <w:r>
              <w:t xml:space="preserve">other Queensland Government agencies </w:t>
            </w:r>
          </w:p>
          <w:p w14:paraId="48FD76DA" w14:textId="77777777" w:rsidR="00295984" w:rsidRDefault="00295984" w:rsidP="00295984">
            <w:pPr>
              <w:pStyle w:val="ListParagraph"/>
              <w:numPr>
                <w:ilvl w:val="0"/>
                <w:numId w:val="19"/>
              </w:numPr>
              <w:spacing w:line="260" w:lineRule="exact"/>
            </w:pPr>
            <w:r>
              <w:t xml:space="preserve">other local, state, national and international government agencies </w:t>
            </w:r>
          </w:p>
          <w:p w14:paraId="3EC56356" w14:textId="77777777" w:rsidR="00295984" w:rsidRPr="00A85656" w:rsidRDefault="00295984" w:rsidP="00295984">
            <w:pPr>
              <w:pStyle w:val="ListParagraph"/>
              <w:numPr>
                <w:ilvl w:val="0"/>
                <w:numId w:val="19"/>
              </w:numPr>
              <w:spacing w:line="260" w:lineRule="exact"/>
            </w:pPr>
            <w:r>
              <w:t>community groups.</w:t>
            </w:r>
          </w:p>
        </w:tc>
      </w:tr>
    </w:tbl>
    <w:p w14:paraId="22BD9B81" w14:textId="77777777" w:rsidR="00295984" w:rsidRDefault="00295984" w:rsidP="00295984">
      <w:pPr>
        <w:pStyle w:val="Heading4"/>
      </w:pPr>
      <w:r>
        <w:t>When</w:t>
      </w:r>
    </w:p>
    <w:p w14:paraId="5F037396" w14:textId="77777777" w:rsidR="00295984" w:rsidRDefault="00295984" w:rsidP="00295984">
      <w:r>
        <w:t>It is recommended that engagement commence as early as possible. This could be as early as during strategic planning for the organisation, through to the planning phase for major programs and projects (e.g. during the strategic assessment of needs stage, or development of the program or project brief).</w:t>
      </w:r>
    </w:p>
    <w:p w14:paraId="22762586" w14:textId="77777777" w:rsidR="00295984" w:rsidRDefault="00295984" w:rsidP="00295984">
      <w:r>
        <w:lastRenderedPageBreak/>
        <w:t xml:space="preserve">As an example of how early within the context of major project planning, this has been highlighted in yellow against a sample of project and building frameworks used in the Queensland Government as outlined in </w:t>
      </w:r>
      <w:r w:rsidRPr="004D336D">
        <w:rPr>
          <w:b/>
          <w:bCs/>
        </w:rPr>
        <w:t>Table 1</w:t>
      </w:r>
      <w:r>
        <w:t xml:space="preserve"> below.</w:t>
      </w:r>
      <w:r>
        <w:rPr>
          <w:rStyle w:val="FootnoteReference"/>
        </w:rPr>
        <w:footnoteReference w:customMarkFollows="1" w:id="1"/>
        <w:t>1</w:t>
      </w:r>
    </w:p>
    <w:p w14:paraId="298A4BF7" w14:textId="77777777" w:rsidR="00295984" w:rsidRPr="009811FD" w:rsidRDefault="00295984" w:rsidP="00295984">
      <w:pPr>
        <w:spacing w:line="259" w:lineRule="auto"/>
        <w:rPr>
          <w:b/>
          <w:bCs/>
          <w:sz w:val="18"/>
          <w:szCs w:val="20"/>
        </w:rPr>
      </w:pPr>
      <w:r w:rsidRPr="004D336D">
        <w:rPr>
          <w:b/>
          <w:bCs/>
          <w:sz w:val="18"/>
          <w:szCs w:val="20"/>
        </w:rPr>
        <w:t>Table 1:</w:t>
      </w:r>
      <w:r w:rsidRPr="004D336D">
        <w:rPr>
          <w:sz w:val="18"/>
          <w:szCs w:val="20"/>
        </w:rPr>
        <w:t xml:space="preserve"> Sample of Queensland Government project and building frameworks</w:t>
      </w:r>
    </w:p>
    <w:tbl>
      <w:tblPr>
        <w:tblStyle w:val="TableGrid"/>
        <w:tblW w:w="5000" w:type="pct"/>
        <w:tblLook w:val="04A0" w:firstRow="1" w:lastRow="0" w:firstColumn="1" w:lastColumn="0" w:noHBand="0" w:noVBand="1"/>
      </w:tblPr>
      <w:tblGrid>
        <w:gridCol w:w="3006"/>
        <w:gridCol w:w="3006"/>
        <w:gridCol w:w="3004"/>
      </w:tblGrid>
      <w:tr w:rsidR="00295984" w14:paraId="1FDF39F9" w14:textId="77777777" w:rsidTr="00E92A75">
        <w:tc>
          <w:tcPr>
            <w:tcW w:w="1667" w:type="pct"/>
            <w:shd w:val="clear" w:color="auto" w:fill="0070C0"/>
            <w:hideMark/>
          </w:tcPr>
          <w:p w14:paraId="399104BE" w14:textId="77777777" w:rsidR="00295984" w:rsidRPr="001D79FD" w:rsidRDefault="00295984" w:rsidP="00E92A75">
            <w:pPr>
              <w:rPr>
                <w:b/>
                <w:bCs/>
                <w:color w:val="FFFFFF" w:themeColor="background1"/>
                <w:sz w:val="18"/>
                <w:szCs w:val="18"/>
              </w:rPr>
            </w:pPr>
            <w:r w:rsidRPr="001D79FD">
              <w:rPr>
                <w:b/>
                <w:bCs/>
                <w:color w:val="FFFFFF" w:themeColor="background1"/>
                <w:sz w:val="18"/>
                <w:szCs w:val="18"/>
              </w:rPr>
              <w:t xml:space="preserve">Generic major project delivery process (derived from QT </w:t>
            </w:r>
            <w:hyperlink r:id="rId13" w:history="1">
              <w:r w:rsidRPr="001D79FD">
                <w:rPr>
                  <w:rStyle w:val="Hyperlink"/>
                  <w:b/>
                  <w:bCs/>
                  <w:color w:val="FFFFFF" w:themeColor="background1"/>
                  <w:sz w:val="18"/>
                  <w:szCs w:val="18"/>
                </w:rPr>
                <w:t>Project Assessment Framework</w:t>
              </w:r>
            </w:hyperlink>
            <w:r w:rsidRPr="001D79FD">
              <w:rPr>
                <w:b/>
                <w:bCs/>
                <w:color w:val="FFFFFF" w:themeColor="background1"/>
                <w:sz w:val="18"/>
                <w:szCs w:val="18"/>
              </w:rPr>
              <w:t>)</w:t>
            </w:r>
          </w:p>
        </w:tc>
        <w:tc>
          <w:tcPr>
            <w:tcW w:w="1667" w:type="pct"/>
            <w:shd w:val="clear" w:color="auto" w:fill="0070C0"/>
            <w:hideMark/>
          </w:tcPr>
          <w:p w14:paraId="0B6FC7D7" w14:textId="77777777" w:rsidR="00295984" w:rsidRPr="001D79FD" w:rsidRDefault="00295984" w:rsidP="00E92A75">
            <w:pPr>
              <w:rPr>
                <w:rFonts w:cs="Arial"/>
                <w:color w:val="FFFFFF" w:themeColor="background1"/>
              </w:rPr>
            </w:pPr>
            <w:r w:rsidRPr="001D79FD">
              <w:rPr>
                <w:b/>
                <w:bCs/>
                <w:color w:val="FFFFFF" w:themeColor="background1"/>
                <w:sz w:val="18"/>
                <w:szCs w:val="18"/>
              </w:rPr>
              <w:t xml:space="preserve">Building Construction and Maintenance category-related major project delivery process (derived from </w:t>
            </w:r>
            <w:hyperlink r:id="rId14" w:history="1">
              <w:r w:rsidRPr="001D79FD">
                <w:rPr>
                  <w:rStyle w:val="Hyperlink"/>
                  <w:b/>
                  <w:bCs/>
                  <w:color w:val="FFFFFF" w:themeColor="background1"/>
                  <w:sz w:val="18"/>
                  <w:szCs w:val="18"/>
                </w:rPr>
                <w:t>Queensland Government Building Policy Framework – Growth and Renewal</w:t>
              </w:r>
            </w:hyperlink>
            <w:r w:rsidRPr="001D79FD">
              <w:rPr>
                <w:b/>
                <w:bCs/>
                <w:color w:val="FFFFFF" w:themeColor="background1"/>
                <w:sz w:val="18"/>
                <w:szCs w:val="18"/>
              </w:rPr>
              <w:t>)</w:t>
            </w:r>
          </w:p>
        </w:tc>
        <w:tc>
          <w:tcPr>
            <w:tcW w:w="1666" w:type="pct"/>
            <w:shd w:val="clear" w:color="auto" w:fill="0070C0"/>
            <w:hideMark/>
          </w:tcPr>
          <w:p w14:paraId="5A523C46" w14:textId="77777777" w:rsidR="00295984" w:rsidRPr="001D79FD" w:rsidRDefault="00295984" w:rsidP="00E92A75">
            <w:pPr>
              <w:rPr>
                <w:rFonts w:cs="Arial"/>
                <w:color w:val="FFFFFF" w:themeColor="background1"/>
              </w:rPr>
            </w:pPr>
            <w:r w:rsidRPr="001D79FD">
              <w:rPr>
                <w:b/>
                <w:bCs/>
                <w:color w:val="FFFFFF" w:themeColor="background1"/>
                <w:sz w:val="18"/>
                <w:szCs w:val="18"/>
              </w:rPr>
              <w:t xml:space="preserve">Transport Infrastructure and Services category-related major project delivery process (derived from DTMR </w:t>
            </w:r>
            <w:hyperlink r:id="rId15" w:history="1">
              <w:proofErr w:type="spellStart"/>
              <w:r w:rsidRPr="001D79FD">
                <w:rPr>
                  <w:rStyle w:val="Hyperlink"/>
                  <w:b/>
                  <w:bCs/>
                  <w:color w:val="FFFFFF" w:themeColor="background1"/>
                  <w:sz w:val="18"/>
                  <w:szCs w:val="18"/>
                </w:rPr>
                <w:t>OnQ</w:t>
              </w:r>
              <w:proofErr w:type="spellEnd"/>
              <w:r w:rsidRPr="001D79FD">
                <w:rPr>
                  <w:rStyle w:val="Hyperlink"/>
                  <w:b/>
                  <w:bCs/>
                  <w:color w:val="FFFFFF" w:themeColor="background1"/>
                  <w:sz w:val="18"/>
                  <w:szCs w:val="18"/>
                </w:rPr>
                <w:t xml:space="preserve"> Project Management Framework</w:t>
              </w:r>
            </w:hyperlink>
            <w:r w:rsidRPr="001D79FD">
              <w:rPr>
                <w:b/>
                <w:bCs/>
                <w:color w:val="FFFFFF" w:themeColor="background1"/>
                <w:sz w:val="18"/>
                <w:szCs w:val="18"/>
              </w:rPr>
              <w:t>)</w:t>
            </w:r>
          </w:p>
        </w:tc>
      </w:tr>
      <w:tr w:rsidR="00295984" w14:paraId="482FC5D6" w14:textId="77777777" w:rsidTr="00E92A75">
        <w:tc>
          <w:tcPr>
            <w:tcW w:w="1667" w:type="pct"/>
            <w:hideMark/>
          </w:tcPr>
          <w:p w14:paraId="51BFD88D" w14:textId="77777777" w:rsidR="00295984" w:rsidRPr="00825F9A" w:rsidRDefault="00295984" w:rsidP="00E92A75">
            <w:pPr>
              <w:rPr>
                <w:rFonts w:cs="Arial"/>
                <w:sz w:val="18"/>
                <w:szCs w:val="18"/>
                <w:highlight w:val="yellow"/>
              </w:rPr>
            </w:pPr>
            <w:r w:rsidRPr="00825F9A">
              <w:rPr>
                <w:rFonts w:cs="Arial"/>
                <w:sz w:val="18"/>
                <w:szCs w:val="18"/>
                <w:highlight w:val="yellow"/>
              </w:rPr>
              <w:t>Strategic Assessment of Service Requirement</w:t>
            </w:r>
          </w:p>
        </w:tc>
        <w:tc>
          <w:tcPr>
            <w:tcW w:w="1667" w:type="pct"/>
            <w:hideMark/>
          </w:tcPr>
          <w:p w14:paraId="47E383EC" w14:textId="77777777" w:rsidR="00295984" w:rsidRPr="00825F9A" w:rsidRDefault="00295984" w:rsidP="00E92A75">
            <w:pPr>
              <w:rPr>
                <w:rFonts w:cs="Arial"/>
                <w:sz w:val="18"/>
                <w:szCs w:val="18"/>
                <w:highlight w:val="yellow"/>
              </w:rPr>
            </w:pPr>
            <w:r w:rsidRPr="00825F9A">
              <w:rPr>
                <w:rFonts w:cs="Arial"/>
                <w:sz w:val="18"/>
                <w:szCs w:val="18"/>
                <w:highlight w:val="yellow"/>
              </w:rPr>
              <w:t>Stage 1: Needs Assessment</w:t>
            </w:r>
          </w:p>
        </w:tc>
        <w:tc>
          <w:tcPr>
            <w:tcW w:w="1666" w:type="pct"/>
            <w:hideMark/>
          </w:tcPr>
          <w:p w14:paraId="7E48C162" w14:textId="77777777" w:rsidR="00295984" w:rsidRPr="00825F9A" w:rsidRDefault="00295984" w:rsidP="00E92A75">
            <w:pPr>
              <w:rPr>
                <w:rFonts w:cs="Arial"/>
                <w:sz w:val="18"/>
                <w:szCs w:val="18"/>
                <w:highlight w:val="yellow"/>
              </w:rPr>
            </w:pPr>
            <w:r w:rsidRPr="00825F9A">
              <w:rPr>
                <w:rFonts w:cs="Arial"/>
                <w:sz w:val="18"/>
                <w:szCs w:val="18"/>
                <w:highlight w:val="yellow"/>
              </w:rPr>
              <w:t>Business, portfolio or strategic planning</w:t>
            </w:r>
          </w:p>
        </w:tc>
      </w:tr>
      <w:tr w:rsidR="00295984" w14:paraId="39B187B5" w14:textId="77777777" w:rsidTr="00E92A75">
        <w:tc>
          <w:tcPr>
            <w:tcW w:w="1667" w:type="pct"/>
          </w:tcPr>
          <w:p w14:paraId="6BC578AF" w14:textId="77777777" w:rsidR="00295984" w:rsidRPr="00825F9A" w:rsidRDefault="00295984" w:rsidP="00E92A75">
            <w:pPr>
              <w:rPr>
                <w:rFonts w:cs="Arial"/>
                <w:sz w:val="18"/>
                <w:szCs w:val="18"/>
                <w:highlight w:val="yellow"/>
              </w:rPr>
            </w:pPr>
            <w:r w:rsidRPr="00825F9A">
              <w:rPr>
                <w:rFonts w:cs="Arial"/>
                <w:sz w:val="18"/>
                <w:szCs w:val="18"/>
                <w:highlight w:val="yellow"/>
              </w:rPr>
              <w:t>Preliminary Evaluation</w:t>
            </w:r>
          </w:p>
        </w:tc>
        <w:tc>
          <w:tcPr>
            <w:tcW w:w="1667" w:type="pct"/>
          </w:tcPr>
          <w:p w14:paraId="11B3B887" w14:textId="77777777" w:rsidR="00295984" w:rsidRPr="00825F9A" w:rsidRDefault="00295984" w:rsidP="00E92A75">
            <w:pPr>
              <w:rPr>
                <w:rFonts w:cs="Arial"/>
                <w:sz w:val="18"/>
                <w:szCs w:val="18"/>
                <w:highlight w:val="yellow"/>
              </w:rPr>
            </w:pPr>
            <w:r w:rsidRPr="00825F9A">
              <w:rPr>
                <w:rFonts w:cs="Arial"/>
                <w:sz w:val="18"/>
                <w:szCs w:val="18"/>
                <w:highlight w:val="yellow"/>
              </w:rPr>
              <w:t>Stage 2: Planning</w:t>
            </w:r>
          </w:p>
        </w:tc>
        <w:tc>
          <w:tcPr>
            <w:tcW w:w="1666" w:type="pct"/>
          </w:tcPr>
          <w:p w14:paraId="36BADCB3" w14:textId="77777777" w:rsidR="00295984" w:rsidRPr="00825F9A" w:rsidRDefault="00295984" w:rsidP="00E92A75">
            <w:pPr>
              <w:rPr>
                <w:rFonts w:cs="Arial"/>
                <w:sz w:val="18"/>
                <w:szCs w:val="18"/>
                <w:highlight w:val="yellow"/>
              </w:rPr>
            </w:pPr>
            <w:r w:rsidRPr="00825F9A">
              <w:rPr>
                <w:rFonts w:cs="Arial"/>
                <w:sz w:val="18"/>
                <w:szCs w:val="18"/>
                <w:highlight w:val="yellow"/>
              </w:rPr>
              <w:t xml:space="preserve">Portfolio management </w:t>
            </w:r>
          </w:p>
        </w:tc>
      </w:tr>
      <w:tr w:rsidR="00295984" w14:paraId="1BB2C684" w14:textId="77777777" w:rsidTr="00E92A75">
        <w:tc>
          <w:tcPr>
            <w:tcW w:w="1667" w:type="pct"/>
          </w:tcPr>
          <w:p w14:paraId="6AB00BEF" w14:textId="77777777" w:rsidR="00295984" w:rsidRPr="00825F9A" w:rsidRDefault="00295984" w:rsidP="00E92A75">
            <w:pPr>
              <w:rPr>
                <w:rFonts w:cs="Arial"/>
                <w:sz w:val="18"/>
                <w:szCs w:val="18"/>
                <w:highlight w:val="yellow"/>
              </w:rPr>
            </w:pPr>
            <w:r w:rsidRPr="00825F9A">
              <w:rPr>
                <w:rFonts w:cs="Arial"/>
                <w:sz w:val="18"/>
                <w:szCs w:val="18"/>
                <w:highlight w:val="yellow"/>
              </w:rPr>
              <w:t>Business Case Development</w:t>
            </w:r>
          </w:p>
        </w:tc>
        <w:tc>
          <w:tcPr>
            <w:tcW w:w="1667" w:type="pct"/>
          </w:tcPr>
          <w:p w14:paraId="7EC6C037" w14:textId="77777777" w:rsidR="00295984" w:rsidRPr="00825F9A" w:rsidRDefault="00295984" w:rsidP="00E92A75">
            <w:pPr>
              <w:rPr>
                <w:rFonts w:cs="Arial"/>
                <w:sz w:val="18"/>
                <w:szCs w:val="18"/>
              </w:rPr>
            </w:pPr>
            <w:r w:rsidRPr="00825F9A">
              <w:rPr>
                <w:rFonts w:cs="Arial"/>
                <w:sz w:val="18"/>
                <w:szCs w:val="18"/>
              </w:rPr>
              <w:t>Stage 3: Acquisition</w:t>
            </w:r>
          </w:p>
        </w:tc>
        <w:tc>
          <w:tcPr>
            <w:tcW w:w="1666" w:type="pct"/>
          </w:tcPr>
          <w:p w14:paraId="29C8E981" w14:textId="77777777" w:rsidR="00295984" w:rsidRPr="00825F9A" w:rsidRDefault="00295984" w:rsidP="00E92A75">
            <w:pPr>
              <w:rPr>
                <w:rFonts w:cs="Arial"/>
                <w:sz w:val="18"/>
                <w:szCs w:val="18"/>
                <w:highlight w:val="yellow"/>
              </w:rPr>
            </w:pPr>
            <w:r w:rsidRPr="00825F9A">
              <w:rPr>
                <w:rFonts w:cs="Arial"/>
                <w:sz w:val="18"/>
                <w:szCs w:val="18"/>
                <w:highlight w:val="yellow"/>
              </w:rPr>
              <w:t>Program management</w:t>
            </w:r>
          </w:p>
        </w:tc>
      </w:tr>
      <w:tr w:rsidR="00295984" w14:paraId="526C7FB5" w14:textId="77777777" w:rsidTr="00E92A75">
        <w:tc>
          <w:tcPr>
            <w:tcW w:w="1667" w:type="pct"/>
          </w:tcPr>
          <w:p w14:paraId="347688D3" w14:textId="77777777" w:rsidR="00295984" w:rsidRPr="00825F9A" w:rsidRDefault="00295984" w:rsidP="00E92A75">
            <w:pPr>
              <w:rPr>
                <w:rFonts w:cs="Arial"/>
                <w:sz w:val="18"/>
                <w:szCs w:val="18"/>
              </w:rPr>
            </w:pPr>
            <w:r w:rsidRPr="00825F9A">
              <w:rPr>
                <w:rFonts w:cs="Arial"/>
                <w:sz w:val="18"/>
                <w:szCs w:val="18"/>
              </w:rPr>
              <w:t>Supply Strategy Development</w:t>
            </w:r>
          </w:p>
        </w:tc>
        <w:tc>
          <w:tcPr>
            <w:tcW w:w="1667" w:type="pct"/>
          </w:tcPr>
          <w:p w14:paraId="426BDC72" w14:textId="77777777" w:rsidR="00295984" w:rsidRPr="00825F9A" w:rsidRDefault="00295984" w:rsidP="00E92A75">
            <w:pPr>
              <w:rPr>
                <w:rFonts w:cs="Arial"/>
                <w:sz w:val="18"/>
                <w:szCs w:val="18"/>
              </w:rPr>
            </w:pPr>
            <w:r w:rsidRPr="00825F9A">
              <w:rPr>
                <w:rFonts w:cs="Arial"/>
                <w:sz w:val="18"/>
                <w:szCs w:val="18"/>
              </w:rPr>
              <w:t>Stage 4: Commission</w:t>
            </w:r>
          </w:p>
        </w:tc>
        <w:tc>
          <w:tcPr>
            <w:tcW w:w="1666" w:type="pct"/>
            <w:vMerge w:val="restart"/>
          </w:tcPr>
          <w:p w14:paraId="3EF4DA6E" w14:textId="77777777" w:rsidR="00295984" w:rsidRPr="00825F9A" w:rsidRDefault="00295984" w:rsidP="00E92A75">
            <w:pPr>
              <w:rPr>
                <w:rFonts w:cs="Arial"/>
                <w:sz w:val="18"/>
                <w:szCs w:val="18"/>
              </w:rPr>
            </w:pPr>
            <w:r w:rsidRPr="00825F9A">
              <w:rPr>
                <w:rFonts w:cs="Arial"/>
                <w:sz w:val="18"/>
                <w:szCs w:val="18"/>
              </w:rPr>
              <w:t>Project management</w:t>
            </w:r>
          </w:p>
        </w:tc>
      </w:tr>
      <w:tr w:rsidR="00295984" w14:paraId="61D7CC35" w14:textId="77777777" w:rsidTr="00E92A75">
        <w:tc>
          <w:tcPr>
            <w:tcW w:w="1667" w:type="pct"/>
          </w:tcPr>
          <w:p w14:paraId="276C231D" w14:textId="77777777" w:rsidR="00295984" w:rsidRPr="00825F9A" w:rsidRDefault="00295984" w:rsidP="00E92A75">
            <w:pPr>
              <w:rPr>
                <w:rFonts w:cs="Arial"/>
                <w:sz w:val="18"/>
                <w:szCs w:val="18"/>
              </w:rPr>
            </w:pPr>
            <w:r w:rsidRPr="00825F9A">
              <w:rPr>
                <w:rFonts w:cs="Arial"/>
                <w:sz w:val="18"/>
                <w:szCs w:val="18"/>
              </w:rPr>
              <w:t>Source Suppliers</w:t>
            </w:r>
          </w:p>
        </w:tc>
        <w:tc>
          <w:tcPr>
            <w:tcW w:w="1667" w:type="pct"/>
          </w:tcPr>
          <w:p w14:paraId="7A8BD9A3" w14:textId="77777777" w:rsidR="00295984" w:rsidRPr="00825F9A" w:rsidRDefault="00295984" w:rsidP="00E92A75">
            <w:pPr>
              <w:rPr>
                <w:rFonts w:cs="Arial"/>
                <w:sz w:val="18"/>
                <w:szCs w:val="18"/>
              </w:rPr>
            </w:pPr>
            <w:r w:rsidRPr="00825F9A">
              <w:rPr>
                <w:rFonts w:cs="Arial"/>
                <w:sz w:val="18"/>
                <w:szCs w:val="18"/>
              </w:rPr>
              <w:t>Stage 5: Operate, maintain and monitor performance</w:t>
            </w:r>
          </w:p>
        </w:tc>
        <w:tc>
          <w:tcPr>
            <w:tcW w:w="1666" w:type="pct"/>
            <w:vMerge/>
          </w:tcPr>
          <w:p w14:paraId="622934B4" w14:textId="77777777" w:rsidR="00295984" w:rsidRDefault="00295984" w:rsidP="00E92A75">
            <w:pPr>
              <w:rPr>
                <w:rFonts w:cs="Arial"/>
                <w:sz w:val="16"/>
                <w:szCs w:val="16"/>
              </w:rPr>
            </w:pPr>
          </w:p>
        </w:tc>
      </w:tr>
      <w:tr w:rsidR="00295984" w14:paraId="18F53230" w14:textId="77777777" w:rsidTr="00E92A75">
        <w:tc>
          <w:tcPr>
            <w:tcW w:w="1667" w:type="pct"/>
          </w:tcPr>
          <w:p w14:paraId="2EC1FFE5" w14:textId="77777777" w:rsidR="00295984" w:rsidRPr="00825F9A" w:rsidRDefault="00295984" w:rsidP="00E92A75">
            <w:pPr>
              <w:rPr>
                <w:rFonts w:cs="Arial"/>
                <w:sz w:val="18"/>
                <w:szCs w:val="18"/>
              </w:rPr>
            </w:pPr>
            <w:r w:rsidRPr="00825F9A">
              <w:rPr>
                <w:rFonts w:cs="Arial"/>
                <w:sz w:val="18"/>
                <w:szCs w:val="18"/>
              </w:rPr>
              <w:t>Establish Service Capability</w:t>
            </w:r>
          </w:p>
        </w:tc>
        <w:tc>
          <w:tcPr>
            <w:tcW w:w="1667" w:type="pct"/>
            <w:vMerge w:val="restart"/>
          </w:tcPr>
          <w:p w14:paraId="6382CA95" w14:textId="77777777" w:rsidR="00295984" w:rsidRPr="00825F9A" w:rsidRDefault="00295984" w:rsidP="00E92A75">
            <w:pPr>
              <w:rPr>
                <w:rFonts w:cs="Arial"/>
                <w:sz w:val="18"/>
                <w:szCs w:val="18"/>
              </w:rPr>
            </w:pPr>
            <w:r w:rsidRPr="00825F9A">
              <w:rPr>
                <w:rFonts w:cs="Arial"/>
                <w:sz w:val="18"/>
                <w:szCs w:val="18"/>
              </w:rPr>
              <w:t>Stage 6: Asset evaluation and future need</w:t>
            </w:r>
          </w:p>
        </w:tc>
        <w:tc>
          <w:tcPr>
            <w:tcW w:w="1666" w:type="pct"/>
            <w:vMerge/>
          </w:tcPr>
          <w:p w14:paraId="2BA2A087" w14:textId="77777777" w:rsidR="00295984" w:rsidRDefault="00295984" w:rsidP="00E92A75">
            <w:pPr>
              <w:rPr>
                <w:rFonts w:cs="Arial"/>
                <w:sz w:val="16"/>
                <w:szCs w:val="16"/>
              </w:rPr>
            </w:pPr>
          </w:p>
        </w:tc>
      </w:tr>
      <w:tr w:rsidR="00295984" w14:paraId="776D1FEB" w14:textId="77777777" w:rsidTr="00E92A75">
        <w:tc>
          <w:tcPr>
            <w:tcW w:w="1667" w:type="pct"/>
          </w:tcPr>
          <w:p w14:paraId="1193186F" w14:textId="77777777" w:rsidR="00295984" w:rsidRPr="00825F9A" w:rsidRDefault="00295984" w:rsidP="00E92A75">
            <w:pPr>
              <w:rPr>
                <w:rFonts w:cs="Arial"/>
                <w:sz w:val="18"/>
                <w:szCs w:val="18"/>
              </w:rPr>
            </w:pPr>
            <w:r w:rsidRPr="00825F9A">
              <w:rPr>
                <w:rFonts w:cs="Arial"/>
                <w:sz w:val="18"/>
                <w:szCs w:val="18"/>
              </w:rPr>
              <w:t>Deliver Service</w:t>
            </w:r>
          </w:p>
        </w:tc>
        <w:tc>
          <w:tcPr>
            <w:tcW w:w="1667" w:type="pct"/>
            <w:vMerge/>
          </w:tcPr>
          <w:p w14:paraId="531D0841" w14:textId="77777777" w:rsidR="00295984" w:rsidRDefault="00295984" w:rsidP="00E92A75">
            <w:pPr>
              <w:rPr>
                <w:rFonts w:cs="Arial"/>
                <w:sz w:val="16"/>
                <w:szCs w:val="16"/>
              </w:rPr>
            </w:pPr>
          </w:p>
        </w:tc>
        <w:tc>
          <w:tcPr>
            <w:tcW w:w="1666" w:type="pct"/>
            <w:vMerge/>
          </w:tcPr>
          <w:p w14:paraId="1BD28CB8" w14:textId="77777777" w:rsidR="00295984" w:rsidRDefault="00295984" w:rsidP="00E92A75">
            <w:pPr>
              <w:rPr>
                <w:rFonts w:cs="Arial"/>
                <w:sz w:val="16"/>
                <w:szCs w:val="16"/>
              </w:rPr>
            </w:pPr>
          </w:p>
        </w:tc>
      </w:tr>
      <w:tr w:rsidR="00295984" w14:paraId="34EE399E" w14:textId="77777777" w:rsidTr="00E92A75">
        <w:tc>
          <w:tcPr>
            <w:tcW w:w="1667" w:type="pct"/>
          </w:tcPr>
          <w:p w14:paraId="306E799A" w14:textId="77777777" w:rsidR="00295984" w:rsidRPr="00825F9A" w:rsidRDefault="00295984" w:rsidP="00E92A75">
            <w:pPr>
              <w:rPr>
                <w:rFonts w:cs="Arial"/>
                <w:sz w:val="18"/>
                <w:szCs w:val="18"/>
              </w:rPr>
            </w:pPr>
            <w:r w:rsidRPr="00825F9A">
              <w:rPr>
                <w:rFonts w:cs="Arial"/>
                <w:sz w:val="18"/>
                <w:szCs w:val="18"/>
              </w:rPr>
              <w:t xml:space="preserve">Benefits </w:t>
            </w:r>
            <w:proofErr w:type="spellStart"/>
            <w:r w:rsidRPr="00825F9A">
              <w:rPr>
                <w:rFonts w:cs="Arial"/>
                <w:sz w:val="18"/>
                <w:szCs w:val="18"/>
              </w:rPr>
              <w:t>Realisation</w:t>
            </w:r>
            <w:proofErr w:type="spellEnd"/>
          </w:p>
        </w:tc>
        <w:tc>
          <w:tcPr>
            <w:tcW w:w="1667" w:type="pct"/>
            <w:vMerge/>
          </w:tcPr>
          <w:p w14:paraId="193BCCE8" w14:textId="77777777" w:rsidR="00295984" w:rsidRDefault="00295984" w:rsidP="00E92A75">
            <w:pPr>
              <w:rPr>
                <w:rFonts w:cs="Arial"/>
                <w:sz w:val="16"/>
                <w:szCs w:val="16"/>
              </w:rPr>
            </w:pPr>
          </w:p>
        </w:tc>
        <w:tc>
          <w:tcPr>
            <w:tcW w:w="1666" w:type="pct"/>
            <w:vMerge/>
          </w:tcPr>
          <w:p w14:paraId="2630B075" w14:textId="77777777" w:rsidR="00295984" w:rsidRDefault="00295984" w:rsidP="00E92A75">
            <w:pPr>
              <w:rPr>
                <w:rFonts w:cs="Arial"/>
                <w:sz w:val="16"/>
                <w:szCs w:val="16"/>
              </w:rPr>
            </w:pPr>
          </w:p>
        </w:tc>
      </w:tr>
    </w:tbl>
    <w:p w14:paraId="32253652" w14:textId="77777777" w:rsidR="00295984" w:rsidRDefault="00295984" w:rsidP="00295984">
      <w:pPr>
        <w:pStyle w:val="Heading4"/>
      </w:pPr>
      <w:r>
        <w:t>How</w:t>
      </w:r>
    </w:p>
    <w:p w14:paraId="58A1AC0C" w14:textId="77777777" w:rsidR="00295984" w:rsidRDefault="00295984" w:rsidP="00295984">
      <w:r>
        <w:t>To support early, effective strategic engagement, procurement decision-makers need to be recognised as a trusted, strategic partner.</w:t>
      </w:r>
      <w:r>
        <w:rPr>
          <w:rStyle w:val="FootnoteReference"/>
        </w:rPr>
        <w:footnoteReference w:customMarkFollows="1" w:id="2"/>
        <w:t>2</w:t>
      </w:r>
      <w:r>
        <w:t xml:space="preserve"> The outcomes of engagement will inform the following pre-procurement considerations for a major project:</w:t>
      </w:r>
    </w:p>
    <w:p w14:paraId="4D523468" w14:textId="77777777" w:rsidR="00295984" w:rsidRDefault="00295984" w:rsidP="00295984">
      <w:pPr>
        <w:pStyle w:val="ListParagraph"/>
        <w:numPr>
          <w:ilvl w:val="0"/>
          <w:numId w:val="21"/>
        </w:numPr>
        <w:spacing w:line="260" w:lineRule="exact"/>
      </w:pPr>
      <w:r>
        <w:t>defining the goal(s) of the major project, including ECV-related</w:t>
      </w:r>
    </w:p>
    <w:p w14:paraId="65B150C5" w14:textId="77777777" w:rsidR="00295984" w:rsidRDefault="00295984" w:rsidP="00295984">
      <w:pPr>
        <w:pStyle w:val="ListParagraph"/>
        <w:numPr>
          <w:ilvl w:val="0"/>
          <w:numId w:val="21"/>
        </w:numPr>
        <w:spacing w:line="260" w:lineRule="exact"/>
      </w:pPr>
      <w:r>
        <w:t>conducting a project local needs analysis to refine ECV-related project goals</w:t>
      </w:r>
    </w:p>
    <w:p w14:paraId="5E749159" w14:textId="77777777" w:rsidR="00295984" w:rsidRDefault="00295984" w:rsidP="00295984">
      <w:pPr>
        <w:pStyle w:val="ListParagraph"/>
        <w:numPr>
          <w:ilvl w:val="0"/>
          <w:numId w:val="21"/>
        </w:numPr>
        <w:spacing w:line="260" w:lineRule="exact"/>
      </w:pPr>
      <w:r>
        <w:t>identifying and validating ECV-related project goals which can be facilitated by procurement (refer to the ‘</w:t>
      </w:r>
      <w:hyperlink w:anchor="_Identifying_ECV_procurement" w:history="1">
        <w:r w:rsidRPr="00EE7DF7">
          <w:rPr>
            <w:rStyle w:val="Hyperlink"/>
          </w:rPr>
          <w:t>Identifying ECV procurement opportunities</w:t>
        </w:r>
      </w:hyperlink>
      <w:r>
        <w:t>’ section of this guide).</w:t>
      </w:r>
    </w:p>
    <w:p w14:paraId="38F8DFDF" w14:textId="77777777" w:rsidR="00295984" w:rsidRDefault="00295984" w:rsidP="00295984">
      <w:pPr>
        <w:pStyle w:val="Heading5"/>
      </w:pPr>
      <w:r>
        <w:t>Defining the goal(s) of the major project, including ECV-related goals</w:t>
      </w:r>
    </w:p>
    <w:p w14:paraId="3EB12E00" w14:textId="77777777" w:rsidR="00295984" w:rsidRDefault="00295984" w:rsidP="00295984">
      <w:r>
        <w:t xml:space="preserve">This involves a holistic consideration of what the major project seeks to achieve, including analysis of: </w:t>
      </w:r>
    </w:p>
    <w:p w14:paraId="2E3E947C" w14:textId="77777777" w:rsidR="00295984" w:rsidRDefault="00295984" w:rsidP="00295984">
      <w:pPr>
        <w:pStyle w:val="ListParagraph"/>
        <w:numPr>
          <w:ilvl w:val="0"/>
          <w:numId w:val="17"/>
        </w:numPr>
        <w:spacing w:line="260" w:lineRule="exact"/>
      </w:pPr>
      <w:r>
        <w:t>what ECV can be pursued throughout the major project (from planning, design, construction, commissioning, operation through to maintenance)</w:t>
      </w:r>
    </w:p>
    <w:p w14:paraId="31D334C3" w14:textId="77777777" w:rsidR="00295984" w:rsidRPr="00092AF3" w:rsidRDefault="00295984" w:rsidP="00295984">
      <w:pPr>
        <w:pStyle w:val="ListParagraph"/>
        <w:numPr>
          <w:ilvl w:val="0"/>
          <w:numId w:val="17"/>
        </w:numPr>
        <w:spacing w:line="260" w:lineRule="exact"/>
      </w:pPr>
      <w:r w:rsidRPr="00092AF3">
        <w:t xml:space="preserve">an assessment of the </w:t>
      </w:r>
      <w:proofErr w:type="gramStart"/>
      <w:r w:rsidRPr="00092AF3">
        <w:t>time period</w:t>
      </w:r>
      <w:proofErr w:type="gramEnd"/>
      <w:r w:rsidRPr="00092AF3">
        <w:t>,</w:t>
      </w:r>
      <w:r>
        <w:t xml:space="preserve"> costs, benefits and</w:t>
      </w:r>
      <w:r w:rsidRPr="00092AF3">
        <w:t xml:space="preserve"> risks (including unintended consequences – e.g. impacts to housing stock/affordability, over-reliance on government work).</w:t>
      </w:r>
    </w:p>
    <w:p w14:paraId="0E9BDCE8" w14:textId="77777777" w:rsidR="00295984" w:rsidRDefault="00295984" w:rsidP="00295984">
      <w:r>
        <w:t>In identifying what ECV can be pursued throughout the major project, agencies may consider how the project supports legacy-related objectives. At a minimum, this should be aligned with long-term strategies and plans from the Queensland Government (e.</w:t>
      </w:r>
      <w:r w:rsidRPr="00620A93">
        <w:t xml:space="preserve">g. </w:t>
      </w:r>
      <w:r w:rsidRPr="00EA0872">
        <w:rPr>
          <w:i/>
          <w:iCs/>
        </w:rPr>
        <w:t>Elevate 2042: Brisbane 2032 Olympic and Paralympic Games Legacy Strategy</w:t>
      </w:r>
      <w:r w:rsidRPr="00620A93">
        <w:t>).</w:t>
      </w:r>
      <w:r>
        <w:rPr>
          <w:rStyle w:val="FootnoteReference"/>
        </w:rPr>
        <w:footnoteReference w:id="3"/>
      </w:r>
      <w:r>
        <w:t xml:space="preserve"> To supplement this, agencies may also refer to strategies and plans from international organisations (e.g. United Nations Sustainable Development Goals).</w:t>
      </w:r>
      <w:r>
        <w:rPr>
          <w:rStyle w:val="FootnoteReference"/>
        </w:rPr>
        <w:footnoteReference w:id="4"/>
      </w:r>
    </w:p>
    <w:p w14:paraId="0C766F60" w14:textId="77777777" w:rsidR="00295984" w:rsidRDefault="00295984" w:rsidP="00295984">
      <w:r>
        <w:lastRenderedPageBreak/>
        <w:t xml:space="preserve">Note agencies may refer to a variety of frameworks to help guide what ECV could look like. Examples have been provided in </w:t>
      </w:r>
      <w:r w:rsidRPr="00CE0BA4">
        <w:rPr>
          <w:b/>
          <w:bCs/>
        </w:rPr>
        <w:t>Appendix 1</w:t>
      </w:r>
      <w:r>
        <w:t xml:space="preserve"> as a resource to help guide agencies in this process. Agencies may wish to refer to other resources as applicable, for example whole-of-government and/or agency strategies and plans.</w:t>
      </w:r>
      <w:r>
        <w:rPr>
          <w:rStyle w:val="CommentReference"/>
        </w:rPr>
        <w:t xml:space="preserve"> </w:t>
      </w:r>
    </w:p>
    <w:p w14:paraId="369B671B" w14:textId="77777777" w:rsidR="00295984" w:rsidRPr="002A5361" w:rsidRDefault="00295984" w:rsidP="00295984">
      <w:r>
        <w:t xml:space="preserve">For case studies on what ECV could look like in major projects, refer to </w:t>
      </w:r>
      <w:r w:rsidRPr="00D517B6">
        <w:rPr>
          <w:b/>
          <w:bCs/>
        </w:rPr>
        <w:t>Appendix 2</w:t>
      </w:r>
      <w:r>
        <w:t>.</w:t>
      </w:r>
      <w:r w:rsidRPr="00F05498">
        <w:t xml:space="preserve"> </w:t>
      </w:r>
    </w:p>
    <w:p w14:paraId="02CF3740" w14:textId="77777777" w:rsidR="00295984" w:rsidRDefault="00295984" w:rsidP="00295984">
      <w:pPr>
        <w:pStyle w:val="Heading5"/>
      </w:pPr>
      <w:r>
        <w:t>Conducting a project local needs analysis to refine ECV-related project goals</w:t>
      </w:r>
    </w:p>
    <w:p w14:paraId="62874DD1" w14:textId="77777777" w:rsidR="00295984" w:rsidRDefault="00295984" w:rsidP="00295984">
      <w:pPr>
        <w:widowControl w:val="0"/>
      </w:pPr>
      <w:r>
        <w:t>The project local needs analysis helps to form a picture of what the local community looks like and what its future needs are. It will underpin a targeted approach that maximises value, and should cover demographic trends, inequalities, experiences and expectations, supply and demand of services, gaps and priorities. This may also involve consideration of impacts from future projects.</w:t>
      </w:r>
      <w:r>
        <w:rPr>
          <w:rStyle w:val="FootnoteReference"/>
        </w:rPr>
        <w:footnoteReference w:id="5"/>
      </w:r>
      <w:r>
        <w:t xml:space="preserve"> </w:t>
      </w:r>
    </w:p>
    <w:p w14:paraId="7BC13446" w14:textId="77777777" w:rsidR="00295984" w:rsidRDefault="00295984" w:rsidP="00295984">
      <w:pPr>
        <w:widowControl w:val="0"/>
      </w:pPr>
      <w:r>
        <w:t>For example, in one area low employment rates for young people might be an issue, and in another area crime, poor air quality, or mental health may be a priority.</w:t>
      </w:r>
      <w:r>
        <w:rPr>
          <w:rStyle w:val="FootnoteReference"/>
        </w:rPr>
        <w:footnoteReference w:id="6"/>
      </w:r>
    </w:p>
    <w:p w14:paraId="3DFF611C" w14:textId="35CBAFCE" w:rsidR="00295984" w:rsidRDefault="00295984" w:rsidP="00295984">
      <w:pPr>
        <w:pStyle w:val="Heading5"/>
        <w:keepNext w:val="0"/>
        <w:keepLines w:val="0"/>
        <w:widowControl w:val="0"/>
      </w:pPr>
      <w:r>
        <w:t>Identifying ECV-related project goals which can be facilitated by procurement (refer to the ‘</w:t>
      </w:r>
      <w:hyperlink w:anchor="_Identifying_ECV_procurement" w:history="1">
        <w:r w:rsidRPr="00EE7DF7">
          <w:rPr>
            <w:rStyle w:val="Hyperlink"/>
          </w:rPr>
          <w:t>Identifying ECV procurement opportunities</w:t>
        </w:r>
      </w:hyperlink>
      <w:r>
        <w:t xml:space="preserve">’ section of this guide) </w:t>
      </w:r>
    </w:p>
    <w:p w14:paraId="093D366F" w14:textId="77777777" w:rsidR="00295984" w:rsidRDefault="00295984" w:rsidP="00295984">
      <w:pPr>
        <w:widowControl w:val="0"/>
      </w:pPr>
      <w:r>
        <w:t>To do this, it is necessary to have a clear understanding of the remit of procurement, and how it can support the achievement of identified ECV-related project goals. It is recommended that this be explored in consultation with key stakeholders as outlined in the ‘</w:t>
      </w:r>
      <w:hyperlink w:anchor="_Why" w:history="1">
        <w:r w:rsidRPr="00D045F3">
          <w:rPr>
            <w:rStyle w:val="Hyperlink"/>
          </w:rPr>
          <w:t>Why</w:t>
        </w:r>
      </w:hyperlink>
      <w:r>
        <w:t xml:space="preserve">’ section of this guide. </w:t>
      </w:r>
    </w:p>
    <w:p w14:paraId="0C5DE9D7" w14:textId="77777777" w:rsidR="00295984" w:rsidRDefault="00295984" w:rsidP="00295984">
      <w:r>
        <w:t>Some ECV-related project goals may be more appropriate to be progressed outside of procurement. For example, if an ECV opportunity involves partnering with local charities or community groups (which may or may not be within the boundaries of the project site), the project owner may facilitate this via a grant arrangement.</w:t>
      </w:r>
    </w:p>
    <w:p w14:paraId="09E08259" w14:textId="77777777" w:rsidR="00295984" w:rsidRDefault="00295984" w:rsidP="00295984">
      <w:pPr>
        <w:pStyle w:val="Heading3"/>
      </w:pPr>
      <w:bookmarkStart w:id="9" w:name="_Identifying_ECV_procurement"/>
      <w:bookmarkStart w:id="10" w:name="_Toc202191877"/>
      <w:bookmarkEnd w:id="9"/>
      <w:r>
        <w:t>Identifying ECV procurement opportunities</w:t>
      </w:r>
      <w:bookmarkEnd w:id="10"/>
    </w:p>
    <w:p w14:paraId="04F54E60" w14:textId="77777777" w:rsidR="00295984" w:rsidRDefault="00295984" w:rsidP="00295984">
      <w:r>
        <w:t xml:space="preserve">Through comprehensive planning, research and engagement, opportunities for ECV-related project goals which can be facilitated by procurement can be identified. </w:t>
      </w:r>
    </w:p>
    <w:p w14:paraId="51CC7BA3" w14:textId="77777777" w:rsidR="00295984" w:rsidRPr="00092AF3" w:rsidRDefault="00295984" w:rsidP="00295984">
      <w:r>
        <w:t xml:space="preserve">Not all ECV outcomes need to be progressed in any one procurement – it will depend on its nature, value and risk. The project local needs analysis mentioned above, along with a supply market analysis and any relevant category strategies, will help to identify which ECV outcomes are appropriate. </w:t>
      </w:r>
      <w:r w:rsidRPr="00092AF3">
        <w:t>Examples of ECV</w:t>
      </w:r>
      <w:r>
        <w:t xml:space="preserve"> outcomes that can be facilitated by procurement</w:t>
      </w:r>
      <w:r w:rsidRPr="00092AF3">
        <w:t xml:space="preserve"> include, but are not limited to, the following:</w:t>
      </w:r>
    </w:p>
    <w:p w14:paraId="2CAFEFFC" w14:textId="77777777" w:rsidR="00295984" w:rsidRPr="00092AF3" w:rsidRDefault="00295984" w:rsidP="00295984">
      <w:pPr>
        <w:pStyle w:val="ListParagraph"/>
        <w:numPr>
          <w:ilvl w:val="0"/>
          <w:numId w:val="12"/>
        </w:numPr>
        <w:spacing w:line="260" w:lineRule="exact"/>
      </w:pPr>
      <w:r>
        <w:t>S</w:t>
      </w:r>
      <w:r w:rsidRPr="00092AF3">
        <w:t>ustainable, quality, local jobs supported from the building of assets or creating new long-term manufacturing sector jobs</w:t>
      </w:r>
      <w:r>
        <w:t>.</w:t>
      </w:r>
    </w:p>
    <w:p w14:paraId="7496733B" w14:textId="77777777" w:rsidR="00295984" w:rsidRPr="00092AF3" w:rsidRDefault="00295984" w:rsidP="00295984">
      <w:pPr>
        <w:pStyle w:val="ListParagraph"/>
        <w:numPr>
          <w:ilvl w:val="0"/>
          <w:numId w:val="12"/>
        </w:numPr>
        <w:spacing w:line="260" w:lineRule="exact"/>
      </w:pPr>
      <w:r>
        <w:t>B</w:t>
      </w:r>
      <w:r w:rsidRPr="00092AF3">
        <w:t>reaking the cycle of unemployment for disadvantaged job seekers in regional areas</w:t>
      </w:r>
      <w:r>
        <w:t>.</w:t>
      </w:r>
      <w:r>
        <w:rPr>
          <w:rStyle w:val="FootnoteReference"/>
        </w:rPr>
        <w:footnoteReference w:id="7"/>
      </w:r>
    </w:p>
    <w:p w14:paraId="4ACF92B9" w14:textId="77777777" w:rsidR="00295984" w:rsidRPr="00092AF3" w:rsidRDefault="00295984" w:rsidP="00295984">
      <w:pPr>
        <w:pStyle w:val="ListParagraph"/>
        <w:numPr>
          <w:ilvl w:val="0"/>
          <w:numId w:val="12"/>
        </w:numPr>
        <w:spacing w:line="260" w:lineRule="exact"/>
      </w:pPr>
      <w:r>
        <w:t>E</w:t>
      </w:r>
      <w:r w:rsidRPr="00092AF3">
        <w:t>nsuring well-planned public spaces are contained in specifications for major projects as appropriate</w:t>
      </w:r>
      <w:r>
        <w:t>.</w:t>
      </w:r>
    </w:p>
    <w:p w14:paraId="183C9974" w14:textId="77777777" w:rsidR="00295984" w:rsidRDefault="00295984" w:rsidP="00295984">
      <w:pPr>
        <w:pStyle w:val="ListParagraph"/>
        <w:numPr>
          <w:ilvl w:val="0"/>
          <w:numId w:val="12"/>
        </w:numPr>
        <w:spacing w:line="260" w:lineRule="exact"/>
      </w:pPr>
      <w:r>
        <w:t>A</w:t>
      </w:r>
      <w:r w:rsidRPr="00092AF3">
        <w:t>ssets which are long-term energy efficient and embrace circular economy principles, contributing less waste to the environment over time</w:t>
      </w:r>
      <w:r>
        <w:t>.</w:t>
      </w:r>
    </w:p>
    <w:p w14:paraId="67D7AD3D" w14:textId="77777777" w:rsidR="00295984" w:rsidRDefault="00295984" w:rsidP="00295984">
      <w:pPr>
        <w:pStyle w:val="ListParagraph"/>
        <w:numPr>
          <w:ilvl w:val="0"/>
          <w:numId w:val="12"/>
        </w:numPr>
        <w:spacing w:line="260" w:lineRule="exact"/>
      </w:pPr>
      <w:r>
        <w:t>Maintaining environmental sustainability through best practice environmental management, including activities that support decarbonisation and emissions reduction.</w:t>
      </w:r>
    </w:p>
    <w:p w14:paraId="581DDC8B" w14:textId="77777777" w:rsidR="00295984" w:rsidRDefault="00295984" w:rsidP="00295984">
      <w:pPr>
        <w:pStyle w:val="ListParagraph"/>
        <w:numPr>
          <w:ilvl w:val="0"/>
          <w:numId w:val="12"/>
        </w:numPr>
        <w:spacing w:line="260" w:lineRule="exact"/>
      </w:pPr>
      <w:r>
        <w:t>Positive relationship development between community, government agency/</w:t>
      </w:r>
      <w:proofErr w:type="spellStart"/>
      <w:r>
        <w:t>ies</w:t>
      </w:r>
      <w:proofErr w:type="spellEnd"/>
      <w:r>
        <w:t xml:space="preserve"> and other stakeholders.</w:t>
      </w:r>
    </w:p>
    <w:p w14:paraId="0CA2A31B" w14:textId="77777777" w:rsidR="00295984" w:rsidRDefault="00295984" w:rsidP="00295984">
      <w:pPr>
        <w:pStyle w:val="ListParagraph"/>
        <w:numPr>
          <w:ilvl w:val="0"/>
          <w:numId w:val="12"/>
        </w:numPr>
        <w:spacing w:line="260" w:lineRule="exact"/>
      </w:pPr>
      <w:r>
        <w:lastRenderedPageBreak/>
        <w:t>I</w:t>
      </w:r>
      <w:r w:rsidRPr="00F05498">
        <w:t>dentif</w:t>
      </w:r>
      <w:r>
        <w:t>ication of</w:t>
      </w:r>
      <w:r w:rsidRPr="00F05498">
        <w:t xml:space="preserve"> opportunities to grow supplier diversity in the supply chain or local community through engaging innovation-driven enterprises</w:t>
      </w:r>
      <w:r>
        <w:t>.</w:t>
      </w:r>
    </w:p>
    <w:p w14:paraId="5657F7C8" w14:textId="77777777" w:rsidR="00295984" w:rsidRPr="00092AF3" w:rsidRDefault="00295984" w:rsidP="00295984">
      <w:pPr>
        <w:pStyle w:val="ListParagraph"/>
        <w:numPr>
          <w:ilvl w:val="0"/>
          <w:numId w:val="12"/>
        </w:numPr>
        <w:spacing w:line="260" w:lineRule="exact"/>
      </w:pPr>
      <w:r>
        <w:t>Creating opportunities for entrepreneurship and innovation-driven enterprises to start, stay and scale locally for supporting economic growth and job creation.</w:t>
      </w:r>
    </w:p>
    <w:p w14:paraId="07C99D9C" w14:textId="77777777" w:rsidR="00295984" w:rsidRPr="00952C6F" w:rsidRDefault="00295984" w:rsidP="00295984">
      <w:pPr>
        <w:pStyle w:val="ListParagraph"/>
        <w:numPr>
          <w:ilvl w:val="0"/>
          <w:numId w:val="12"/>
        </w:numPr>
        <w:spacing w:line="260" w:lineRule="exact"/>
      </w:pPr>
      <w:r>
        <w:t>E</w:t>
      </w:r>
      <w:r w:rsidRPr="00092AF3">
        <w:t xml:space="preserve">nsuring skills and training opportunities are leveraged for the long-term benefit of local communities and the broader </w:t>
      </w:r>
      <w:proofErr w:type="gramStart"/>
      <w:r w:rsidRPr="00092AF3">
        <w:t>workforce, and</w:t>
      </w:r>
      <w:proofErr w:type="gramEnd"/>
      <w:r w:rsidRPr="00092AF3">
        <w:t xml:space="preserve"> are aligned with relevant whole-of-government workforce strategies</w:t>
      </w:r>
      <w:r>
        <w:t xml:space="preserve"> </w:t>
      </w:r>
      <w:r>
        <w:rPr>
          <w:color w:val="000000"/>
          <w:shd w:val="clear" w:color="auto" w:fill="FFFFFF"/>
        </w:rPr>
        <w:t xml:space="preserve">such as the </w:t>
      </w:r>
      <w:proofErr w:type="gramStart"/>
      <w:r>
        <w:rPr>
          <w:i/>
          <w:iCs/>
          <w:color w:val="000000"/>
          <w:shd w:val="clear" w:color="auto" w:fill="FFFFFF"/>
        </w:rPr>
        <w:t>Good</w:t>
      </w:r>
      <w:proofErr w:type="gramEnd"/>
      <w:r>
        <w:rPr>
          <w:i/>
          <w:iCs/>
          <w:color w:val="000000"/>
          <w:shd w:val="clear" w:color="auto" w:fill="FFFFFF"/>
        </w:rPr>
        <w:t xml:space="preserve"> people. Good jobs: Queensland Workforce Strategy 2022-2032.</w:t>
      </w:r>
      <w:r w:rsidRPr="00734D02">
        <w:rPr>
          <w:rStyle w:val="FootnoteReference"/>
          <w:i/>
          <w:iCs/>
          <w:color w:val="000000"/>
          <w:shd w:val="clear" w:color="auto" w:fill="FFFFFF"/>
        </w:rPr>
        <w:t xml:space="preserve"> </w:t>
      </w:r>
      <w:r>
        <w:rPr>
          <w:rStyle w:val="FootnoteReference"/>
          <w:color w:val="000000"/>
          <w:shd w:val="clear" w:color="auto" w:fill="FFFFFF"/>
        </w:rPr>
        <w:footnoteReference w:id="8"/>
      </w:r>
    </w:p>
    <w:p w14:paraId="5CB01701" w14:textId="77777777" w:rsidR="00295984" w:rsidRDefault="00295984" w:rsidP="00C06E42">
      <w:pPr>
        <w:spacing w:before="240"/>
      </w:pPr>
      <w:r>
        <w:t xml:space="preserve">While the </w:t>
      </w:r>
      <w:hyperlink r:id="rId16" w:history="1">
        <w:r w:rsidRPr="00F05498">
          <w:rPr>
            <w:rStyle w:val="Hyperlink"/>
          </w:rPr>
          <w:t>QPP</w:t>
        </w:r>
      </w:hyperlink>
      <w:r>
        <w:t xml:space="preserve"> does not prescribe ECV-specific targets to be met, pursuing ECV outcomes can contribute to meeting government targets and objectives as set out in </w:t>
      </w:r>
      <w:hyperlink r:id="rId17" w:anchor="principle-1" w:history="1">
        <w:r w:rsidRPr="00F05498">
          <w:rPr>
            <w:rStyle w:val="Hyperlink"/>
          </w:rPr>
          <w:t>Principle 1</w:t>
        </w:r>
      </w:hyperlink>
      <w:r>
        <w:t>.</w:t>
      </w:r>
    </w:p>
    <w:p w14:paraId="6A6F5714" w14:textId="77777777" w:rsidR="00295984" w:rsidRDefault="00295984" w:rsidP="00295984">
      <w:pPr>
        <w:pStyle w:val="Heading3"/>
      </w:pPr>
      <w:bookmarkStart w:id="11" w:name="_Toc202191878"/>
      <w:r>
        <w:t>Incorporating ECV procurement opportunities - procedural considerations</w:t>
      </w:r>
      <w:bookmarkEnd w:id="11"/>
    </w:p>
    <w:p w14:paraId="4C6C92AD" w14:textId="77777777" w:rsidR="00295984" w:rsidRDefault="00295984" w:rsidP="00295984">
      <w:r>
        <w:t xml:space="preserve">Once ECV-related project goals which can be facilitated by procurement are identified, procurement should ensure that these are appropriately captured within invitation and contractual documentation. </w:t>
      </w:r>
    </w:p>
    <w:p w14:paraId="7C43CCB6" w14:textId="77777777" w:rsidR="00295984" w:rsidRDefault="00295984" w:rsidP="00295984">
      <w:pPr>
        <w:pStyle w:val="Heading4"/>
      </w:pPr>
      <w:r w:rsidRPr="00F666BD">
        <w:t>Plan</w:t>
      </w:r>
    </w:p>
    <w:p w14:paraId="50116877" w14:textId="77777777" w:rsidR="00295984" w:rsidRDefault="00295984" w:rsidP="002454DF">
      <w:pPr>
        <w:pStyle w:val="ListParagraph"/>
        <w:numPr>
          <w:ilvl w:val="0"/>
          <w:numId w:val="12"/>
        </w:numPr>
        <w:spacing w:line="260" w:lineRule="exact"/>
      </w:pPr>
      <w:r>
        <w:t xml:space="preserve">Incorporating </w:t>
      </w:r>
      <w:r w:rsidRPr="0076475F">
        <w:t>relevant</w:t>
      </w:r>
      <w:r>
        <w:t xml:space="preserve"> ECV-related project goals as a procurement objective, as part of a procurement strategy (i.e. define what is ECV for your particular procurement), aligning with relevant legislation, the </w:t>
      </w:r>
      <w:hyperlink r:id="rId18" w:history="1">
        <w:r w:rsidRPr="005B404A">
          <w:rPr>
            <w:rStyle w:val="Hyperlink"/>
          </w:rPr>
          <w:t>QPP</w:t>
        </w:r>
      </w:hyperlink>
      <w:r>
        <w:t xml:space="preserve"> and procurement-related policies.</w:t>
      </w:r>
    </w:p>
    <w:p w14:paraId="1D63BF74" w14:textId="25F15ACF" w:rsidR="00295984" w:rsidRDefault="00295984" w:rsidP="002454DF">
      <w:pPr>
        <w:spacing w:before="240"/>
        <w:ind w:left="720"/>
      </w:pPr>
      <w:r>
        <w:t xml:space="preserve">With ECV, it encourages buyers to think ‘outside of the box’ and be future-focused, to ensure major projects’ procurement activities support broader, long-term outcomes. </w:t>
      </w:r>
    </w:p>
    <w:p w14:paraId="50D01429" w14:textId="7E9B0D8C" w:rsidR="00295984" w:rsidRPr="00092AF3" w:rsidRDefault="00295984" w:rsidP="002454DF">
      <w:pPr>
        <w:ind w:left="720"/>
      </w:pPr>
      <w:r w:rsidRPr="00092AF3">
        <w:t>For example, while supporting local jobs may be a key priority for a major project, applying an ECV lens on this may result in the buyer seeking long-term commitments from suppliers on how further training and career pathways may be provided to those from disadvantaged backgrounds in emerging sectors (e.g. renewable energy) post-completion of the project.</w:t>
      </w:r>
    </w:p>
    <w:p w14:paraId="59A251B8" w14:textId="77777777" w:rsidR="00295984" w:rsidRDefault="00295984" w:rsidP="002454DF">
      <w:pPr>
        <w:ind w:left="720"/>
      </w:pPr>
      <w:r>
        <w:t xml:space="preserve">Achieving a procurement strategy with ECV outcomes may also require consideration of innovative delivery models where the supply chain is incentivised to deliver added value to the buyer (e.g. </w:t>
      </w:r>
      <w:bookmarkStart w:id="12" w:name="_Hlk153553021"/>
      <w:r>
        <w:t>concession contracts, unbundling, Public Private Partnerships, Alliance contracting</w:t>
      </w:r>
      <w:bookmarkEnd w:id="12"/>
      <w:r>
        <w:t xml:space="preserve">). </w:t>
      </w:r>
    </w:p>
    <w:p w14:paraId="4325DE1B" w14:textId="77777777" w:rsidR="00295984" w:rsidRDefault="00295984" w:rsidP="002454DF">
      <w:pPr>
        <w:pStyle w:val="ListParagraph"/>
        <w:numPr>
          <w:ilvl w:val="0"/>
          <w:numId w:val="12"/>
        </w:numPr>
        <w:spacing w:line="260" w:lineRule="exact"/>
      </w:pPr>
      <w:r>
        <w:t xml:space="preserve">Engage early with industry on the procurement strategy options and how ECV can be delivered. Agencies can reach out to the Department of State Development, Infrastructure and Planning (DSDIP) to develop tailored industry engagement strategies and DSDIP also plays a role in industry capability development.  </w:t>
      </w:r>
    </w:p>
    <w:p w14:paraId="1EC6789E" w14:textId="77777777" w:rsidR="00295984" w:rsidRDefault="00295984" w:rsidP="000C1550">
      <w:pPr>
        <w:pStyle w:val="ListParagraph"/>
        <w:numPr>
          <w:ilvl w:val="0"/>
          <w:numId w:val="12"/>
        </w:numPr>
        <w:spacing w:before="240" w:line="260" w:lineRule="exact"/>
      </w:pPr>
      <w:r>
        <w:t>Identifying potential roles and responsibilities, including how data on ECV outcomes will be collected, and performance tracked and reported. This may be considered through the contract management framework or through a project’s overarching benefits realisation framework.</w:t>
      </w:r>
      <w:r>
        <w:rPr>
          <w:rStyle w:val="FootnoteReference"/>
        </w:rPr>
        <w:footnoteReference w:id="9"/>
      </w:r>
      <w:r>
        <w:t xml:space="preserve">  </w:t>
      </w:r>
    </w:p>
    <w:p w14:paraId="3F0E11D3" w14:textId="77777777" w:rsidR="00295984" w:rsidRPr="00A5450E" w:rsidRDefault="00295984" w:rsidP="00295984">
      <w:pPr>
        <w:pStyle w:val="Heading4"/>
      </w:pPr>
      <w:r w:rsidRPr="00A5450E">
        <w:t>Source and evaluate</w:t>
      </w:r>
    </w:p>
    <w:p w14:paraId="29421257" w14:textId="31E2217B" w:rsidR="00295984" w:rsidRDefault="00295984" w:rsidP="005A6BF7">
      <w:pPr>
        <w:pStyle w:val="ListParagraph"/>
        <w:numPr>
          <w:ilvl w:val="0"/>
          <w:numId w:val="12"/>
        </w:numPr>
        <w:spacing w:line="260" w:lineRule="exact"/>
      </w:pPr>
      <w:r>
        <w:t>Outlining in invitation documentation government’s intent to seek ECV outcomes, in addition to the business need.</w:t>
      </w:r>
      <w:r w:rsidR="00E225B3">
        <w:t xml:space="preserve"> </w:t>
      </w:r>
      <w:r>
        <w:t>Reflecting this intent in setting evaluation criteria (which includes ECV evaluation criteria) and evaluation criteria weightings.</w:t>
      </w:r>
    </w:p>
    <w:p w14:paraId="66C66B7F" w14:textId="3CA9A285" w:rsidR="00295984" w:rsidRDefault="00295984" w:rsidP="00F43F0B">
      <w:pPr>
        <w:pStyle w:val="ListParagraph"/>
        <w:numPr>
          <w:ilvl w:val="0"/>
          <w:numId w:val="12"/>
        </w:numPr>
        <w:spacing w:before="240" w:line="260" w:lineRule="exact"/>
      </w:pPr>
      <w:r>
        <w:t xml:space="preserve">Consider adjusting the overall evaluation criteria weightings ratio to support achievement of this intent. This may involve allocating a greater weighting percentage to non-price evaluation </w:t>
      </w:r>
      <w:r>
        <w:lastRenderedPageBreak/>
        <w:t>criteria, of which ECV is an example of a non-price criterion (e.g. 60% non-</w:t>
      </w:r>
      <w:proofErr w:type="gramStart"/>
      <w:r>
        <w:t>price :</w:t>
      </w:r>
      <w:proofErr w:type="gramEnd"/>
      <w:r>
        <w:t xml:space="preserve"> 40% </w:t>
      </w:r>
      <w:proofErr w:type="gramStart"/>
      <w:r>
        <w:t>price ,</w:t>
      </w:r>
      <w:proofErr w:type="gramEnd"/>
      <w:r>
        <w:t xml:space="preserve"> or 70% non-price: 30% price).</w:t>
      </w:r>
    </w:p>
    <w:p w14:paraId="6516C372" w14:textId="77777777" w:rsidR="00295984" w:rsidRDefault="00295984" w:rsidP="000C1550">
      <w:pPr>
        <w:spacing w:before="240"/>
        <w:ind w:left="720"/>
      </w:pPr>
      <w:r>
        <w:t>In adjusting the overall evaluation criteria weightings ratio, and determining the weighting for the ECV evaluation criteria, this involves considering a range of factors to ensure a value for money outcome. These factors include, but are not limited to, the following:</w:t>
      </w:r>
    </w:p>
    <w:p w14:paraId="3554E43A" w14:textId="77777777" w:rsidR="00295984" w:rsidRDefault="00295984" w:rsidP="00295984">
      <w:pPr>
        <w:pStyle w:val="ListParagraph"/>
        <w:numPr>
          <w:ilvl w:val="1"/>
          <w:numId w:val="14"/>
        </w:numPr>
        <w:spacing w:line="260" w:lineRule="exact"/>
      </w:pPr>
      <w:r>
        <w:t>procurement objective and strategy</w:t>
      </w:r>
    </w:p>
    <w:p w14:paraId="14C4498F" w14:textId="77777777" w:rsidR="00295984" w:rsidRDefault="00295984" w:rsidP="00295984">
      <w:pPr>
        <w:pStyle w:val="ListParagraph"/>
        <w:numPr>
          <w:ilvl w:val="1"/>
          <w:numId w:val="14"/>
        </w:numPr>
        <w:spacing w:line="260" w:lineRule="exact"/>
      </w:pPr>
      <w:r>
        <w:t>outcome of the project local needs analysis and supply market analysis</w:t>
      </w:r>
    </w:p>
    <w:p w14:paraId="4946A72D" w14:textId="77777777" w:rsidR="00295984" w:rsidRDefault="00295984" w:rsidP="00295984">
      <w:pPr>
        <w:pStyle w:val="ListParagraph"/>
        <w:numPr>
          <w:ilvl w:val="1"/>
          <w:numId w:val="14"/>
        </w:numPr>
        <w:spacing w:line="260" w:lineRule="exact"/>
      </w:pPr>
      <w:r>
        <w:t xml:space="preserve">any weightings used in previous similar procurement </w:t>
      </w:r>
    </w:p>
    <w:p w14:paraId="368833FA" w14:textId="77777777" w:rsidR="00295984" w:rsidRDefault="00295984" w:rsidP="00295984">
      <w:pPr>
        <w:pStyle w:val="ListParagraph"/>
        <w:numPr>
          <w:ilvl w:val="1"/>
          <w:numId w:val="14"/>
        </w:numPr>
        <w:spacing w:line="260" w:lineRule="exact"/>
      </w:pPr>
      <w:r>
        <w:t>outcome of consultation with, and alignment with category strategy prepared and endorsed by, the relevant Category Council</w:t>
      </w:r>
    </w:p>
    <w:p w14:paraId="223ED45D" w14:textId="77777777" w:rsidR="00295984" w:rsidRDefault="00295984" w:rsidP="00295984">
      <w:pPr>
        <w:pStyle w:val="ListParagraph"/>
        <w:numPr>
          <w:ilvl w:val="1"/>
          <w:numId w:val="14"/>
        </w:numPr>
        <w:spacing w:line="260" w:lineRule="exact"/>
      </w:pPr>
      <w:r>
        <w:t>weighting allocated to other evaluation criteria.</w:t>
      </w:r>
    </w:p>
    <w:p w14:paraId="5F65C5C1" w14:textId="77777777" w:rsidR="00295984" w:rsidRDefault="00295984" w:rsidP="00914E38">
      <w:pPr>
        <w:spacing w:before="240"/>
        <w:ind w:left="720"/>
      </w:pPr>
      <w:r>
        <w:t xml:space="preserve">Other procurement policy requirements should be included as evaluation criteria where applicable. However tailoring ECV evaluation criteria and weightings in consideration of the abovementioned sub-points will reduce the risk of duplication and dilution of evaluation criteria. </w:t>
      </w:r>
    </w:p>
    <w:p w14:paraId="5E607260" w14:textId="77777777" w:rsidR="00295984" w:rsidRDefault="00295984" w:rsidP="00295984">
      <w:pPr>
        <w:ind w:left="720"/>
      </w:pPr>
      <w:r>
        <w:t xml:space="preserve">This guide does not outline potential weightings for ECV evaluation criteria. It supports agencies’ flexibility in </w:t>
      </w:r>
      <w:r w:rsidRPr="00092AF3">
        <w:t>implement</w:t>
      </w:r>
      <w:r>
        <w:t>ing</w:t>
      </w:r>
      <w:r w:rsidRPr="00092AF3">
        <w:t xml:space="preserve"> </w:t>
      </w:r>
      <w:r>
        <w:t xml:space="preserve">the intent of the policy requirement in line </w:t>
      </w:r>
      <w:r w:rsidRPr="00092AF3">
        <w:t>with their specific procurement policies, procedures and practices, and their respective needs and project goals</w:t>
      </w:r>
      <w:r>
        <w:t xml:space="preserve">. </w:t>
      </w:r>
    </w:p>
    <w:p w14:paraId="3510B0FB" w14:textId="77777777" w:rsidR="00295984" w:rsidRDefault="00295984" w:rsidP="00914E38">
      <w:pPr>
        <w:pStyle w:val="ListParagraph"/>
        <w:numPr>
          <w:ilvl w:val="0"/>
          <w:numId w:val="12"/>
        </w:numPr>
        <w:spacing w:line="260" w:lineRule="exact"/>
      </w:pPr>
      <w:r>
        <w:t xml:space="preserve">Preparing outcome-based evaluation questions to elicit innovative commitments by </w:t>
      </w:r>
      <w:r>
        <w:rPr>
          <w:color w:val="000000"/>
        </w:rPr>
        <w:t>asking suppliers to respond with long-term positive impact solutions</w:t>
      </w:r>
      <w:r>
        <w:t>.</w:t>
      </w:r>
    </w:p>
    <w:p w14:paraId="5C625A6F" w14:textId="77777777" w:rsidR="00295984" w:rsidRDefault="00295984" w:rsidP="004A1B11">
      <w:pPr>
        <w:spacing w:before="240"/>
        <w:ind w:left="720"/>
      </w:pPr>
      <w:r>
        <w:t>For example, instead of ‘Supplier to commit to X number of apprenticeships during the project’, consider ‘How will you deliver high quality apprenticeship opportunities and support apprentice career progression?’.</w:t>
      </w:r>
    </w:p>
    <w:p w14:paraId="44343894" w14:textId="77777777" w:rsidR="00295984" w:rsidRDefault="00295984" w:rsidP="004A1B11">
      <w:pPr>
        <w:pStyle w:val="ListParagraph"/>
        <w:numPr>
          <w:ilvl w:val="0"/>
          <w:numId w:val="12"/>
        </w:numPr>
        <w:spacing w:line="260" w:lineRule="exact"/>
      </w:pPr>
      <w:r>
        <w:t>Planning for a robust and defensible evaluation methodology.</w:t>
      </w:r>
      <w:r>
        <w:rPr>
          <w:rStyle w:val="FootnoteReference"/>
        </w:rPr>
        <w:footnoteReference w:id="10"/>
      </w:r>
    </w:p>
    <w:p w14:paraId="226B60F5" w14:textId="77777777" w:rsidR="00295984" w:rsidRDefault="00295984" w:rsidP="004A1B11">
      <w:pPr>
        <w:spacing w:before="240"/>
        <w:ind w:left="720"/>
      </w:pPr>
      <w:r>
        <w:t xml:space="preserve">Where an outcome-based response is sought, this will require time and collaboration amongst procurement and investment planning teams to carefully consider and articulate how each response will be scored. </w:t>
      </w:r>
    </w:p>
    <w:p w14:paraId="1B7DCCAB" w14:textId="77777777" w:rsidR="00295984" w:rsidRDefault="00295984" w:rsidP="004A1B11">
      <w:pPr>
        <w:pStyle w:val="ListParagraph"/>
        <w:numPr>
          <w:ilvl w:val="0"/>
          <w:numId w:val="12"/>
        </w:numPr>
        <w:spacing w:line="260" w:lineRule="exact"/>
      </w:pPr>
      <w:r>
        <w:t xml:space="preserve">Provide forward notice of the procurement opportunity through the </w:t>
      </w:r>
      <w:r w:rsidRPr="00734D02">
        <w:t>Queensland Government Forward Procurement Pipeline</w:t>
      </w:r>
      <w:r>
        <w:t>.</w:t>
      </w:r>
      <w:r>
        <w:rPr>
          <w:rStyle w:val="FootnoteReference"/>
        </w:rPr>
        <w:footnoteReference w:id="11"/>
      </w:r>
    </w:p>
    <w:p w14:paraId="3E507E9B" w14:textId="39660FED" w:rsidR="00295984" w:rsidRDefault="00295984" w:rsidP="004A1B11">
      <w:pPr>
        <w:spacing w:line="260" w:lineRule="exact"/>
        <w:ind w:left="720"/>
      </w:pPr>
      <w:r>
        <w:t xml:space="preserve">Buyers may also require head contractors to advertise any opportunities on </w:t>
      </w:r>
      <w:proofErr w:type="spellStart"/>
      <w:r w:rsidRPr="00734D02">
        <w:t>QTenders</w:t>
      </w:r>
      <w:proofErr w:type="spellEnd"/>
      <w:r>
        <w:rPr>
          <w:rStyle w:val="FootnoteReference"/>
        </w:rPr>
        <w:footnoteReference w:id="12"/>
      </w:r>
      <w:r>
        <w:t xml:space="preserve"> or </w:t>
      </w:r>
      <w:proofErr w:type="spellStart"/>
      <w:r w:rsidRPr="00734D02">
        <w:t>eTender</w:t>
      </w:r>
      <w:proofErr w:type="spellEnd"/>
      <w:r>
        <w:t>.</w:t>
      </w:r>
      <w:r>
        <w:rPr>
          <w:rStyle w:val="FootnoteReference"/>
        </w:rPr>
        <w:footnoteReference w:id="13"/>
      </w:r>
    </w:p>
    <w:p w14:paraId="3115D547" w14:textId="77777777" w:rsidR="00295984" w:rsidRPr="0023594F" w:rsidRDefault="00295984" w:rsidP="00295984">
      <w:pPr>
        <w:pStyle w:val="Heading4"/>
      </w:pPr>
      <w:r w:rsidRPr="00A5450E">
        <w:t xml:space="preserve">Award </w:t>
      </w:r>
    </w:p>
    <w:p w14:paraId="2DA3DDE2" w14:textId="77777777" w:rsidR="00295984" w:rsidRDefault="00295984" w:rsidP="00295984">
      <w:pPr>
        <w:pStyle w:val="ListParagraph"/>
        <w:numPr>
          <w:ilvl w:val="0"/>
          <w:numId w:val="11"/>
        </w:numPr>
        <w:spacing w:line="260" w:lineRule="exact"/>
      </w:pPr>
      <w:r>
        <w:t>Embedding commitments made by the supplier in the contract.</w:t>
      </w:r>
    </w:p>
    <w:p w14:paraId="0283FFD2" w14:textId="77777777" w:rsidR="00295984" w:rsidRDefault="00295984" w:rsidP="00295984">
      <w:pPr>
        <w:pStyle w:val="ListParagraph"/>
        <w:numPr>
          <w:ilvl w:val="0"/>
          <w:numId w:val="11"/>
        </w:numPr>
        <w:spacing w:line="260" w:lineRule="exact"/>
      </w:pPr>
      <w:r>
        <w:t>Use of specific key performance indicators is recommended, combined with adding ECV commitments as a standing agenda item for supplier meetings.</w:t>
      </w:r>
    </w:p>
    <w:p w14:paraId="1CF9D12A" w14:textId="77777777" w:rsidR="00295984" w:rsidRDefault="00295984" w:rsidP="00295984">
      <w:pPr>
        <w:pStyle w:val="ListParagraph"/>
        <w:numPr>
          <w:ilvl w:val="0"/>
          <w:numId w:val="11"/>
        </w:numPr>
        <w:spacing w:line="260" w:lineRule="exact"/>
      </w:pPr>
      <w:r>
        <w:t>Including in the contract potential roles and responsibilities, including how data on ECV outcomes will be collected, and performance tracked and reported.</w:t>
      </w:r>
    </w:p>
    <w:p w14:paraId="36DA02BD" w14:textId="77777777" w:rsidR="00295984" w:rsidRPr="00097CB0" w:rsidRDefault="00295984" w:rsidP="00295984">
      <w:pPr>
        <w:pStyle w:val="Heading4"/>
      </w:pPr>
      <w:r w:rsidRPr="00097CB0">
        <w:lastRenderedPageBreak/>
        <w:t>Manage</w:t>
      </w:r>
    </w:p>
    <w:p w14:paraId="64A7EC44" w14:textId="77777777" w:rsidR="00295984" w:rsidRDefault="00295984" w:rsidP="00295984">
      <w:pPr>
        <w:pStyle w:val="ListParagraph"/>
        <w:numPr>
          <w:ilvl w:val="0"/>
          <w:numId w:val="11"/>
        </w:numPr>
        <w:spacing w:line="260" w:lineRule="exact"/>
      </w:pPr>
      <w:r>
        <w:t>Preparing a contract management plan.</w:t>
      </w:r>
      <w:r>
        <w:rPr>
          <w:rStyle w:val="FootnoteReference"/>
        </w:rPr>
        <w:footnoteReference w:id="14"/>
      </w:r>
    </w:p>
    <w:p w14:paraId="191FE437" w14:textId="77777777" w:rsidR="00295984" w:rsidRDefault="00295984" w:rsidP="00295984">
      <w:pPr>
        <w:pStyle w:val="ListParagraph"/>
        <w:numPr>
          <w:ilvl w:val="0"/>
          <w:numId w:val="11"/>
        </w:numPr>
        <w:spacing w:line="260" w:lineRule="exact"/>
      </w:pPr>
      <w:r>
        <w:t>Tracking and reporting on performance against commitments (e.g. developing reporting tools and processes for contractors to report to the agency).</w:t>
      </w:r>
      <w:r>
        <w:rPr>
          <w:rStyle w:val="FootnoteReference"/>
        </w:rPr>
        <w:footnoteReference w:id="15"/>
      </w:r>
    </w:p>
    <w:p w14:paraId="7782E0F4" w14:textId="77777777" w:rsidR="00295984" w:rsidRDefault="00295984" w:rsidP="004A1B11">
      <w:pPr>
        <w:spacing w:before="240"/>
        <w:ind w:left="720"/>
      </w:pPr>
      <w:r>
        <w:t>Focus should not only be on quantitative data, but also qualitative data (e.g. case studies) as it enables a narrative to be told.</w:t>
      </w:r>
    </w:p>
    <w:p w14:paraId="72FCDBB6" w14:textId="77777777" w:rsidR="00295984" w:rsidRDefault="00295984" w:rsidP="004A1B11">
      <w:pPr>
        <w:ind w:left="720"/>
      </w:pPr>
      <w:r w:rsidRPr="003B3359">
        <w:rPr>
          <w:rFonts w:cs="Arial"/>
        </w:rPr>
        <w:t xml:space="preserve">In the case of designing </w:t>
      </w:r>
      <w:r>
        <w:rPr>
          <w:rFonts w:cs="Arial"/>
        </w:rPr>
        <w:t>ECV</w:t>
      </w:r>
      <w:r w:rsidRPr="003B3359">
        <w:rPr>
          <w:rFonts w:cs="Arial"/>
        </w:rPr>
        <w:t xml:space="preserve"> reporting for a contractor and subcontractor(s) arrangement, where practical, reporting should be the responsibility of the contractor</w:t>
      </w:r>
      <w:r>
        <w:rPr>
          <w:rFonts w:cs="Arial"/>
        </w:rPr>
        <w:t xml:space="preserve"> a</w:t>
      </w:r>
      <w:r w:rsidRPr="003B3359">
        <w:rPr>
          <w:rFonts w:cs="Arial"/>
        </w:rPr>
        <w:t xml:space="preserve">s the burden of extending </w:t>
      </w:r>
      <w:r>
        <w:rPr>
          <w:rFonts w:cs="Arial"/>
        </w:rPr>
        <w:t>ECV</w:t>
      </w:r>
      <w:r w:rsidRPr="003B3359">
        <w:rPr>
          <w:rFonts w:cs="Arial"/>
        </w:rPr>
        <w:t xml:space="preserve"> reporting to a subcontractor needs to be </w:t>
      </w:r>
      <w:proofErr w:type="gramStart"/>
      <w:r w:rsidRPr="003B3359">
        <w:rPr>
          <w:rFonts w:cs="Arial"/>
        </w:rPr>
        <w:t>taken into account</w:t>
      </w:r>
      <w:proofErr w:type="gramEnd"/>
      <w:r w:rsidRPr="003B3359">
        <w:rPr>
          <w:rFonts w:cs="Arial"/>
        </w:rPr>
        <w:t xml:space="preserve">, particularly where the subcontractor is a small business. </w:t>
      </w:r>
    </w:p>
    <w:p w14:paraId="6985C4AF" w14:textId="77777777" w:rsidR="00295984" w:rsidRDefault="00295984" w:rsidP="00295984">
      <w:pPr>
        <w:pStyle w:val="ListParagraph"/>
        <w:numPr>
          <w:ilvl w:val="0"/>
          <w:numId w:val="11"/>
        </w:numPr>
        <w:spacing w:line="260" w:lineRule="exact"/>
      </w:pPr>
      <w:r>
        <w:t>Promptly addressing contract risks and issues and escalating where necessary.</w:t>
      </w:r>
    </w:p>
    <w:p w14:paraId="4BD7593F" w14:textId="77777777" w:rsidR="00295984" w:rsidRDefault="00295984" w:rsidP="00295984">
      <w:pPr>
        <w:pStyle w:val="ListParagraph"/>
        <w:numPr>
          <w:ilvl w:val="0"/>
          <w:numId w:val="10"/>
        </w:numPr>
        <w:spacing w:line="260" w:lineRule="exact"/>
        <w:rPr>
          <w:rFonts w:cs="Arial"/>
        </w:rPr>
      </w:pPr>
      <w:r w:rsidRPr="00DB738B">
        <w:rPr>
          <w:rFonts w:cs="Arial"/>
        </w:rPr>
        <w:t xml:space="preserve">Each agency is responsible for reporting on </w:t>
      </w:r>
      <w:r>
        <w:rPr>
          <w:rFonts w:cs="Arial"/>
        </w:rPr>
        <w:t xml:space="preserve">compliance with </w:t>
      </w:r>
      <w:hyperlink r:id="rId19" w:anchor="jobs" w:history="1">
        <w:r w:rsidRPr="0052175E">
          <w:rPr>
            <w:rStyle w:val="Hyperlink"/>
            <w:rFonts w:cs="Arial"/>
          </w:rPr>
          <w:t xml:space="preserve">Clause 26 </w:t>
        </w:r>
        <w:r>
          <w:rPr>
            <w:rStyle w:val="Hyperlink"/>
            <w:rFonts w:cs="Arial"/>
          </w:rPr>
          <w:t xml:space="preserve">of the </w:t>
        </w:r>
        <w:r w:rsidRPr="0052175E">
          <w:rPr>
            <w:rStyle w:val="Hyperlink"/>
            <w:rFonts w:cs="Arial"/>
          </w:rPr>
          <w:t>QPP</w:t>
        </w:r>
      </w:hyperlink>
      <w:r w:rsidRPr="00DB738B">
        <w:rPr>
          <w:rFonts w:cs="Arial"/>
        </w:rPr>
        <w:t xml:space="preserve"> in line with the</w:t>
      </w:r>
      <w:r>
        <w:rPr>
          <w:rFonts w:cs="Arial"/>
        </w:rPr>
        <w:t xml:space="preserve"> whole-of-government procurement reporting framework</w:t>
      </w:r>
      <w:r w:rsidRPr="00DB738B">
        <w:rPr>
          <w:rFonts w:cs="Arial"/>
        </w:rPr>
        <w:t xml:space="preserve">. </w:t>
      </w:r>
    </w:p>
    <w:p w14:paraId="1F87A067" w14:textId="77777777" w:rsidR="00295984" w:rsidRDefault="00295984" w:rsidP="00177F14">
      <w:pPr>
        <w:pStyle w:val="ListParagraph"/>
        <w:spacing w:before="240"/>
        <w:rPr>
          <w:rFonts w:cs="Arial"/>
        </w:rPr>
      </w:pPr>
      <w:r>
        <w:rPr>
          <w:rFonts w:cs="Arial"/>
        </w:rPr>
        <w:t>It is a matter for agencies to collect and report procurement-related data and information to Queensland Government Procurement in line with this framework.</w:t>
      </w:r>
    </w:p>
    <w:p w14:paraId="31215314" w14:textId="77777777" w:rsidR="00295984" w:rsidRDefault="00295984" w:rsidP="00177F14">
      <w:pPr>
        <w:pStyle w:val="ListParagraph"/>
        <w:spacing w:before="240"/>
        <w:rPr>
          <w:rFonts w:cs="Arial"/>
        </w:rPr>
      </w:pPr>
      <w:r w:rsidRPr="00D2334B">
        <w:rPr>
          <w:rFonts w:cs="Arial"/>
        </w:rPr>
        <w:t xml:space="preserve">For more information refer to your agency’s central procurement unit or head of procurement, or </w:t>
      </w:r>
      <w:hyperlink w:anchor="_Contacts" w:history="1">
        <w:r w:rsidRPr="00D2334B">
          <w:rPr>
            <w:rStyle w:val="Hyperlink"/>
            <w:rFonts w:cs="Arial"/>
          </w:rPr>
          <w:t>Queensland Government Procurement</w:t>
        </w:r>
      </w:hyperlink>
      <w:r w:rsidRPr="00D2334B">
        <w:rPr>
          <w:rFonts w:cs="Arial"/>
        </w:rPr>
        <w:t>.</w:t>
      </w:r>
      <w:r>
        <w:rPr>
          <w:rFonts w:cs="Arial"/>
        </w:rPr>
        <w:t xml:space="preserve"> </w:t>
      </w:r>
    </w:p>
    <w:p w14:paraId="667D00ED" w14:textId="77777777" w:rsidR="00295984" w:rsidRPr="00461255" w:rsidRDefault="00295984" w:rsidP="00177F14">
      <w:pPr>
        <w:spacing w:before="240"/>
        <w:ind w:left="720"/>
      </w:pPr>
      <w:r w:rsidRPr="00461255">
        <w:rPr>
          <w:rFonts w:cs="Arial"/>
        </w:rPr>
        <w:t>Provide relevant information for project benefits realisation reporting (as part of the Project Assessment Framework stages) where this avenue has been identified in the project planning phase for reporting on ECV outcomes.</w:t>
      </w:r>
      <w:r w:rsidRPr="00F73C80">
        <w:rPr>
          <w:rFonts w:cs="Arial"/>
          <w:b/>
        </w:rPr>
        <w:t xml:space="preserve"> </w:t>
      </w:r>
    </w:p>
    <w:p w14:paraId="64997C0E" w14:textId="77777777" w:rsidR="00295984" w:rsidRDefault="00295984" w:rsidP="00295984">
      <w:pPr>
        <w:pStyle w:val="Heading1"/>
      </w:pPr>
      <w:bookmarkStart w:id="13" w:name="_Toc202191879"/>
      <w:r>
        <w:t>Further information</w:t>
      </w:r>
      <w:bookmarkEnd w:id="13"/>
      <w:r>
        <w:t xml:space="preserve"> </w:t>
      </w:r>
    </w:p>
    <w:p w14:paraId="6F391DDE" w14:textId="77777777" w:rsidR="00295984" w:rsidRDefault="00295984" w:rsidP="00295984">
      <w:pPr>
        <w:pStyle w:val="Heading2"/>
      </w:pPr>
      <w:bookmarkStart w:id="14" w:name="_Contacts"/>
      <w:bookmarkStart w:id="15" w:name="_Toc202191880"/>
      <w:bookmarkEnd w:id="14"/>
      <w:r>
        <w:t>Contacts</w:t>
      </w:r>
      <w:bookmarkEnd w:id="15"/>
    </w:p>
    <w:p w14:paraId="7D3BC65B" w14:textId="77777777" w:rsidR="00295984" w:rsidRDefault="00295984" w:rsidP="00295984">
      <w:r>
        <w:t>Please contact Queensland Government Procurement (</w:t>
      </w:r>
      <w:hyperlink r:id="rId20" w:history="1">
        <w:r w:rsidRPr="00CE48FB">
          <w:rPr>
            <w:rStyle w:val="Hyperlink"/>
          </w:rPr>
          <w:t>betterprocurement@epw.qld.gov.au</w:t>
        </w:r>
      </w:hyperlink>
      <w:r>
        <w:t>) if you have any questions on this guide.</w:t>
      </w:r>
    </w:p>
    <w:p w14:paraId="793582DF" w14:textId="77777777" w:rsidR="00295984" w:rsidRDefault="00295984" w:rsidP="00295984">
      <w:pPr>
        <w:pStyle w:val="Heading2"/>
      </w:pPr>
      <w:bookmarkStart w:id="16" w:name="_Toc202191881"/>
      <w:r>
        <w:t>Links</w:t>
      </w:r>
      <w:bookmarkEnd w:id="16"/>
      <w:r>
        <w:t xml:space="preserve"> </w:t>
      </w:r>
    </w:p>
    <w:p w14:paraId="14EAA1EC" w14:textId="77777777" w:rsidR="00295984" w:rsidRPr="00CE6908" w:rsidRDefault="00295984" w:rsidP="00295984">
      <w:pPr>
        <w:pStyle w:val="ListParagraph"/>
        <w:numPr>
          <w:ilvl w:val="0"/>
          <w:numId w:val="9"/>
        </w:numPr>
        <w:spacing w:line="260" w:lineRule="exact"/>
        <w:rPr>
          <w:rStyle w:val="normaltextrun"/>
          <w:b/>
          <w:bCs/>
        </w:rPr>
      </w:pPr>
      <w:proofErr w:type="spellStart"/>
      <w:r>
        <w:t>ForGov</w:t>
      </w:r>
      <w:proofErr w:type="spellEnd"/>
      <w:r>
        <w:t xml:space="preserve"> Procurement Guidance - </w:t>
      </w:r>
      <w:hyperlink r:id="rId21" w:tgtFrame="_blank" w:history="1">
        <w:r w:rsidRPr="00295984">
          <w:rPr>
            <w:rStyle w:val="Hyperlink"/>
          </w:rPr>
          <w:t>https://www.forgov.qld.gov.au/finance-and-procurement/procurement/procurement-resources/procurement-guidance</w:t>
        </w:r>
      </w:hyperlink>
      <w:r>
        <w:rPr>
          <w:rStyle w:val="normaltextrun"/>
          <w:rFonts w:cs="Arial"/>
          <w:color w:val="000000"/>
          <w:szCs w:val="20"/>
          <w:shd w:val="clear" w:color="auto" w:fill="FFFFFF"/>
        </w:rPr>
        <w:t> </w:t>
      </w:r>
    </w:p>
    <w:p w14:paraId="0852866C" w14:textId="77777777" w:rsidR="00295984" w:rsidRPr="00CE6908" w:rsidRDefault="00295984" w:rsidP="00295984">
      <w:pPr>
        <w:pStyle w:val="ListParagraph"/>
        <w:numPr>
          <w:ilvl w:val="0"/>
          <w:numId w:val="9"/>
        </w:numPr>
        <w:spacing w:line="260" w:lineRule="exact"/>
      </w:pPr>
      <w:r w:rsidRPr="00CE6908">
        <w:t>Social procurement guid</w:t>
      </w:r>
      <w:r>
        <w:t>ance materials</w:t>
      </w:r>
      <w:r w:rsidRPr="00CE6908">
        <w:t xml:space="preserve"> - </w:t>
      </w:r>
      <w:hyperlink r:id="rId22" w:history="1">
        <w:r w:rsidRPr="00955B0B">
          <w:rPr>
            <w:rStyle w:val="Hyperlink"/>
          </w:rPr>
          <w:t>https://www.forgov.qld.gov.au/finance-and-procurement/procurement/procurement-resources/consider-social-procurement</w:t>
        </w:r>
      </w:hyperlink>
      <w:r>
        <w:t xml:space="preserve"> </w:t>
      </w:r>
    </w:p>
    <w:p w14:paraId="60FB8CBD" w14:textId="77777777" w:rsidR="00295984" w:rsidRDefault="00295984" w:rsidP="00295984"/>
    <w:p w14:paraId="2D530EA5" w14:textId="77777777" w:rsidR="00295984" w:rsidRDefault="00295984" w:rsidP="00295984">
      <w:pPr>
        <w:spacing w:line="259" w:lineRule="auto"/>
      </w:pPr>
      <w:r>
        <w:br w:type="page"/>
      </w:r>
    </w:p>
    <w:p w14:paraId="66659D91" w14:textId="77777777" w:rsidR="00295984" w:rsidRDefault="00295984" w:rsidP="00295984">
      <w:pPr>
        <w:pStyle w:val="Heading1"/>
      </w:pPr>
      <w:bookmarkStart w:id="17" w:name="_Toc202191882"/>
      <w:r>
        <w:lastRenderedPageBreak/>
        <w:t>Appendix 1 – Example frameworks</w:t>
      </w:r>
      <w:bookmarkEnd w:id="17"/>
    </w:p>
    <w:p w14:paraId="635AA468" w14:textId="77777777" w:rsidR="00295984" w:rsidRDefault="00295984" w:rsidP="00295984">
      <w:pPr>
        <w:pStyle w:val="Heading2"/>
      </w:pPr>
      <w:bookmarkStart w:id="18" w:name="_Toc202191883"/>
      <w:r>
        <w:t>Example 1 - National Themes, Outcomes and Measures (TOMS) Framework (Social Value Portal, United Kingdom)</w:t>
      </w:r>
      <w:bookmarkEnd w:id="18"/>
    </w:p>
    <w:p w14:paraId="276216BB" w14:textId="77777777" w:rsidR="00295984" w:rsidRDefault="00295984" w:rsidP="00295984">
      <w:r>
        <w:t xml:space="preserve">The TOMS Framework was developed by the Social Value Portal, a social impact company based in the UK, to support the public and private sectors to measure and report on social value. Initially delivered as a solution for the </w:t>
      </w:r>
      <w:r w:rsidRPr="00580623">
        <w:rPr>
          <w:i/>
          <w:iCs/>
        </w:rPr>
        <w:t>Public Services (Social Value) Act 2012</w:t>
      </w:r>
      <w:r>
        <w:t>, the TOMS Framework has evolved into a social value measurement standard across the UK.</w:t>
      </w:r>
    </w:p>
    <w:p w14:paraId="790EBB74" w14:textId="77777777" w:rsidR="00295984" w:rsidRDefault="00295984" w:rsidP="00295984">
      <w:r>
        <w:t>The TOMS Framework includes social value measures designed to maximise impact across five key themes – jobs, growth, social, environment and innovation. The TOMS Framework also contains key performance indicators to help measure, track, manage, and improve on social value.</w:t>
      </w:r>
    </w:p>
    <w:p w14:paraId="453A41D5" w14:textId="77777777" w:rsidR="00295984" w:rsidRDefault="00295984" w:rsidP="00295984">
      <w:r>
        <w:t xml:space="preserve">An example of the TOMS Framework is outlined in </w:t>
      </w:r>
      <w:r w:rsidRPr="00576C9B">
        <w:rPr>
          <w:b/>
          <w:bCs/>
        </w:rPr>
        <w:t>Table 2</w:t>
      </w:r>
      <w:r>
        <w:t xml:space="preserve"> below:</w:t>
      </w:r>
    </w:p>
    <w:p w14:paraId="66FC6969" w14:textId="77777777" w:rsidR="00295984" w:rsidRDefault="00295984" w:rsidP="00295984">
      <w:r w:rsidRPr="00576C9B">
        <w:rPr>
          <w:b/>
          <w:bCs/>
        </w:rPr>
        <w:t>Table 2:</w:t>
      </w:r>
      <w:r>
        <w:t xml:space="preserve"> Example TOMS Framework</w:t>
      </w:r>
    </w:p>
    <w:tbl>
      <w:tblPr>
        <w:tblStyle w:val="TableGrid"/>
        <w:tblW w:w="5000" w:type="pct"/>
        <w:tblLook w:val="04A0" w:firstRow="1" w:lastRow="0" w:firstColumn="1" w:lastColumn="0" w:noHBand="0" w:noVBand="1"/>
      </w:tblPr>
      <w:tblGrid>
        <w:gridCol w:w="4508"/>
        <w:gridCol w:w="4508"/>
      </w:tblGrid>
      <w:tr w:rsidR="00295984" w14:paraId="569CFA3C" w14:textId="77777777" w:rsidTr="00E92A75">
        <w:tc>
          <w:tcPr>
            <w:tcW w:w="2500" w:type="pct"/>
            <w:shd w:val="clear" w:color="auto" w:fill="0070C0"/>
          </w:tcPr>
          <w:p w14:paraId="7C64C399" w14:textId="77777777" w:rsidR="00295984" w:rsidRPr="000E1476" w:rsidRDefault="00295984" w:rsidP="00E92A75">
            <w:pPr>
              <w:rPr>
                <w:b/>
                <w:bCs/>
                <w:color w:val="FFFFFF" w:themeColor="background1"/>
                <w:sz w:val="18"/>
                <w:szCs w:val="18"/>
              </w:rPr>
            </w:pPr>
            <w:r w:rsidRPr="000E1476">
              <w:rPr>
                <w:b/>
                <w:bCs/>
                <w:color w:val="FFFFFF" w:themeColor="background1"/>
                <w:sz w:val="18"/>
                <w:szCs w:val="18"/>
              </w:rPr>
              <w:t>Themes</w:t>
            </w:r>
          </w:p>
        </w:tc>
        <w:tc>
          <w:tcPr>
            <w:tcW w:w="2500" w:type="pct"/>
            <w:shd w:val="clear" w:color="auto" w:fill="0070C0"/>
          </w:tcPr>
          <w:p w14:paraId="40B0B859" w14:textId="77777777" w:rsidR="00295984" w:rsidRPr="000E1476" w:rsidRDefault="00295984" w:rsidP="00E92A75">
            <w:pPr>
              <w:rPr>
                <w:rFonts w:cs="Arial"/>
                <w:b/>
                <w:bCs/>
                <w:color w:val="FFFFFF" w:themeColor="background1"/>
              </w:rPr>
            </w:pPr>
            <w:r w:rsidRPr="000E1476">
              <w:rPr>
                <w:rFonts w:cs="Arial"/>
                <w:b/>
                <w:bCs/>
                <w:color w:val="FFFFFF" w:themeColor="background1"/>
              </w:rPr>
              <w:t>Outcomes</w:t>
            </w:r>
          </w:p>
        </w:tc>
      </w:tr>
      <w:tr w:rsidR="00295984" w14:paraId="1C727EBF" w14:textId="77777777" w:rsidTr="00E92A75">
        <w:tc>
          <w:tcPr>
            <w:tcW w:w="2500" w:type="pct"/>
            <w:vMerge w:val="restart"/>
          </w:tcPr>
          <w:p w14:paraId="5F38A9B6" w14:textId="77777777" w:rsidR="00295984" w:rsidRPr="00772D2D" w:rsidRDefault="00295984" w:rsidP="00E92A75">
            <w:pPr>
              <w:rPr>
                <w:rFonts w:cs="Arial"/>
                <w:sz w:val="18"/>
                <w:szCs w:val="18"/>
              </w:rPr>
            </w:pPr>
            <w:r w:rsidRPr="00772D2D">
              <w:rPr>
                <w:rFonts w:cs="Arial"/>
                <w:sz w:val="18"/>
                <w:szCs w:val="18"/>
              </w:rPr>
              <w:t>Jobs: Promote Local Skills and Employment</w:t>
            </w:r>
          </w:p>
        </w:tc>
        <w:tc>
          <w:tcPr>
            <w:tcW w:w="2500" w:type="pct"/>
          </w:tcPr>
          <w:p w14:paraId="1BD383C3" w14:textId="77777777" w:rsidR="00295984" w:rsidRPr="00772D2D" w:rsidRDefault="00295984" w:rsidP="00E92A75">
            <w:pPr>
              <w:rPr>
                <w:rFonts w:cs="Arial"/>
                <w:sz w:val="18"/>
                <w:szCs w:val="18"/>
              </w:rPr>
            </w:pPr>
            <w:r w:rsidRPr="00772D2D">
              <w:rPr>
                <w:rFonts w:cs="Arial"/>
                <w:sz w:val="18"/>
                <w:szCs w:val="18"/>
              </w:rPr>
              <w:t>More local people in employment</w:t>
            </w:r>
          </w:p>
        </w:tc>
      </w:tr>
      <w:tr w:rsidR="00295984" w14:paraId="1994F7D1" w14:textId="77777777" w:rsidTr="00E92A75">
        <w:tc>
          <w:tcPr>
            <w:tcW w:w="2500" w:type="pct"/>
            <w:vMerge/>
          </w:tcPr>
          <w:p w14:paraId="6F7533FC" w14:textId="77777777" w:rsidR="00295984" w:rsidRPr="00772D2D" w:rsidRDefault="00295984" w:rsidP="00E92A75">
            <w:pPr>
              <w:rPr>
                <w:rFonts w:cs="Arial"/>
                <w:sz w:val="18"/>
                <w:szCs w:val="18"/>
              </w:rPr>
            </w:pPr>
          </w:p>
        </w:tc>
        <w:tc>
          <w:tcPr>
            <w:tcW w:w="2500" w:type="pct"/>
          </w:tcPr>
          <w:p w14:paraId="7E583923" w14:textId="77777777" w:rsidR="00295984" w:rsidRPr="00772D2D" w:rsidRDefault="00295984" w:rsidP="00E92A75">
            <w:pPr>
              <w:rPr>
                <w:rFonts w:cs="Arial"/>
                <w:sz w:val="18"/>
                <w:szCs w:val="18"/>
              </w:rPr>
            </w:pPr>
            <w:r w:rsidRPr="00772D2D">
              <w:rPr>
                <w:rFonts w:cs="Arial"/>
                <w:sz w:val="18"/>
                <w:szCs w:val="18"/>
              </w:rPr>
              <w:t>More opportunities for disadvantaged people</w:t>
            </w:r>
          </w:p>
        </w:tc>
      </w:tr>
      <w:tr w:rsidR="00295984" w14:paraId="5D1D4BA0" w14:textId="77777777" w:rsidTr="00E92A75">
        <w:tc>
          <w:tcPr>
            <w:tcW w:w="2500" w:type="pct"/>
            <w:vMerge/>
          </w:tcPr>
          <w:p w14:paraId="02F3C966" w14:textId="77777777" w:rsidR="00295984" w:rsidRPr="00825F9A" w:rsidRDefault="00295984" w:rsidP="00E92A75">
            <w:pPr>
              <w:rPr>
                <w:rFonts w:cs="Arial"/>
                <w:sz w:val="18"/>
                <w:szCs w:val="18"/>
                <w:highlight w:val="yellow"/>
              </w:rPr>
            </w:pPr>
          </w:p>
        </w:tc>
        <w:tc>
          <w:tcPr>
            <w:tcW w:w="2500" w:type="pct"/>
          </w:tcPr>
          <w:p w14:paraId="5D81F192" w14:textId="77777777" w:rsidR="00295984" w:rsidRPr="00825F9A" w:rsidRDefault="00295984" w:rsidP="00E92A75">
            <w:pPr>
              <w:rPr>
                <w:rFonts w:cs="Arial"/>
                <w:sz w:val="18"/>
                <w:szCs w:val="18"/>
              </w:rPr>
            </w:pPr>
            <w:r>
              <w:rPr>
                <w:rFonts w:cs="Arial"/>
                <w:sz w:val="18"/>
                <w:szCs w:val="18"/>
              </w:rPr>
              <w:t>Improved skills for local people</w:t>
            </w:r>
          </w:p>
        </w:tc>
      </w:tr>
      <w:tr w:rsidR="00295984" w14:paraId="35B31191" w14:textId="77777777" w:rsidTr="00E92A75">
        <w:tc>
          <w:tcPr>
            <w:tcW w:w="2500" w:type="pct"/>
            <w:vMerge/>
          </w:tcPr>
          <w:p w14:paraId="47EB24F2" w14:textId="77777777" w:rsidR="00295984" w:rsidRPr="00825F9A" w:rsidRDefault="00295984" w:rsidP="00E92A75">
            <w:pPr>
              <w:rPr>
                <w:rFonts w:cs="Arial"/>
                <w:sz w:val="18"/>
                <w:szCs w:val="18"/>
              </w:rPr>
            </w:pPr>
          </w:p>
        </w:tc>
        <w:tc>
          <w:tcPr>
            <w:tcW w:w="2500" w:type="pct"/>
          </w:tcPr>
          <w:p w14:paraId="22F5405E" w14:textId="77777777" w:rsidR="00295984" w:rsidRPr="00825F9A" w:rsidRDefault="00295984" w:rsidP="00E92A75">
            <w:pPr>
              <w:rPr>
                <w:rFonts w:cs="Arial"/>
                <w:sz w:val="18"/>
                <w:szCs w:val="18"/>
              </w:rPr>
            </w:pPr>
            <w:r>
              <w:rPr>
                <w:rFonts w:cs="Arial"/>
                <w:sz w:val="18"/>
                <w:szCs w:val="18"/>
              </w:rPr>
              <w:t>Improved employability of young people</w:t>
            </w:r>
          </w:p>
        </w:tc>
      </w:tr>
      <w:tr w:rsidR="00295984" w14:paraId="0EAAA139" w14:textId="77777777" w:rsidTr="00E92A75">
        <w:tc>
          <w:tcPr>
            <w:tcW w:w="2500" w:type="pct"/>
            <w:vMerge w:val="restart"/>
          </w:tcPr>
          <w:p w14:paraId="31B5C317" w14:textId="77777777" w:rsidR="00295984" w:rsidRPr="00825F9A" w:rsidRDefault="00295984" w:rsidP="00E92A75">
            <w:pPr>
              <w:rPr>
                <w:rFonts w:cs="Arial"/>
                <w:sz w:val="18"/>
                <w:szCs w:val="18"/>
              </w:rPr>
            </w:pPr>
            <w:r>
              <w:rPr>
                <w:rFonts w:cs="Arial"/>
                <w:sz w:val="18"/>
                <w:szCs w:val="18"/>
              </w:rPr>
              <w:t>Growth: Supporting Growth of Responsible Regional Business</w:t>
            </w:r>
          </w:p>
        </w:tc>
        <w:tc>
          <w:tcPr>
            <w:tcW w:w="2500" w:type="pct"/>
          </w:tcPr>
          <w:p w14:paraId="250A13E9" w14:textId="77777777" w:rsidR="00295984" w:rsidRPr="00825F9A" w:rsidRDefault="00295984" w:rsidP="00E92A75">
            <w:pPr>
              <w:rPr>
                <w:rFonts w:cs="Arial"/>
                <w:sz w:val="18"/>
                <w:szCs w:val="18"/>
              </w:rPr>
            </w:pPr>
            <w:r>
              <w:rPr>
                <w:rFonts w:cs="Arial"/>
                <w:sz w:val="18"/>
                <w:szCs w:val="18"/>
              </w:rPr>
              <w:t>More opportunities for local small and medium enterprises (SMEs) and voluntary, community and social enterprises (VCSEs)</w:t>
            </w:r>
          </w:p>
        </w:tc>
      </w:tr>
      <w:tr w:rsidR="00295984" w14:paraId="58D8893E" w14:textId="77777777" w:rsidTr="00E92A75">
        <w:tc>
          <w:tcPr>
            <w:tcW w:w="2500" w:type="pct"/>
            <w:vMerge/>
          </w:tcPr>
          <w:p w14:paraId="42F7B770" w14:textId="77777777" w:rsidR="00295984" w:rsidRPr="00825F9A" w:rsidRDefault="00295984" w:rsidP="00E92A75">
            <w:pPr>
              <w:rPr>
                <w:rFonts w:cs="Arial"/>
                <w:sz w:val="18"/>
                <w:szCs w:val="18"/>
              </w:rPr>
            </w:pPr>
          </w:p>
        </w:tc>
        <w:tc>
          <w:tcPr>
            <w:tcW w:w="2500" w:type="pct"/>
          </w:tcPr>
          <w:p w14:paraId="34451237" w14:textId="77777777" w:rsidR="00295984" w:rsidRPr="00825F9A" w:rsidRDefault="00295984" w:rsidP="00E92A75">
            <w:pPr>
              <w:rPr>
                <w:rFonts w:cs="Arial"/>
                <w:sz w:val="18"/>
                <w:szCs w:val="18"/>
              </w:rPr>
            </w:pPr>
            <w:r>
              <w:rPr>
                <w:rFonts w:cs="Arial"/>
                <w:sz w:val="18"/>
                <w:szCs w:val="18"/>
              </w:rPr>
              <w:t>Improving staff wellbeing</w:t>
            </w:r>
          </w:p>
        </w:tc>
      </w:tr>
      <w:tr w:rsidR="00295984" w14:paraId="4F23B232" w14:textId="77777777" w:rsidTr="00E92A75">
        <w:tc>
          <w:tcPr>
            <w:tcW w:w="2500" w:type="pct"/>
            <w:vMerge/>
          </w:tcPr>
          <w:p w14:paraId="0615F162" w14:textId="77777777" w:rsidR="00295984" w:rsidRPr="00825F9A" w:rsidRDefault="00295984" w:rsidP="00E92A75">
            <w:pPr>
              <w:rPr>
                <w:rFonts w:cs="Arial"/>
                <w:sz w:val="18"/>
                <w:szCs w:val="18"/>
              </w:rPr>
            </w:pPr>
          </w:p>
        </w:tc>
        <w:tc>
          <w:tcPr>
            <w:tcW w:w="2500" w:type="pct"/>
          </w:tcPr>
          <w:p w14:paraId="12D9F89F" w14:textId="77777777" w:rsidR="00295984" w:rsidRPr="00825F9A" w:rsidRDefault="00295984" w:rsidP="00E92A75">
            <w:pPr>
              <w:rPr>
                <w:rFonts w:cs="Arial"/>
                <w:sz w:val="18"/>
                <w:szCs w:val="18"/>
              </w:rPr>
            </w:pPr>
            <w:r>
              <w:rPr>
                <w:rFonts w:cs="Arial"/>
                <w:sz w:val="18"/>
                <w:szCs w:val="18"/>
              </w:rPr>
              <w:t>Ethical Procurement is promoted</w:t>
            </w:r>
          </w:p>
        </w:tc>
      </w:tr>
      <w:tr w:rsidR="00295984" w14:paraId="13F94318" w14:textId="77777777" w:rsidTr="00E92A75">
        <w:tc>
          <w:tcPr>
            <w:tcW w:w="2500" w:type="pct"/>
            <w:vMerge/>
          </w:tcPr>
          <w:p w14:paraId="2777F81D" w14:textId="77777777" w:rsidR="00295984" w:rsidRPr="00825F9A" w:rsidRDefault="00295984" w:rsidP="00E92A75">
            <w:pPr>
              <w:rPr>
                <w:rFonts w:cs="Arial"/>
                <w:sz w:val="18"/>
                <w:szCs w:val="18"/>
              </w:rPr>
            </w:pPr>
          </w:p>
        </w:tc>
        <w:tc>
          <w:tcPr>
            <w:tcW w:w="2500" w:type="pct"/>
          </w:tcPr>
          <w:p w14:paraId="4076431B" w14:textId="77777777" w:rsidR="00295984" w:rsidRPr="00825F9A" w:rsidRDefault="00295984" w:rsidP="00E92A75">
            <w:pPr>
              <w:rPr>
                <w:rFonts w:cs="Arial"/>
                <w:sz w:val="18"/>
                <w:szCs w:val="18"/>
              </w:rPr>
            </w:pPr>
            <w:r>
              <w:rPr>
                <w:rFonts w:cs="Arial"/>
                <w:sz w:val="18"/>
                <w:szCs w:val="18"/>
              </w:rPr>
              <w:t xml:space="preserve">A workforce and culture that </w:t>
            </w:r>
            <w:proofErr w:type="gramStart"/>
            <w:r>
              <w:rPr>
                <w:rFonts w:cs="Arial"/>
                <w:sz w:val="18"/>
                <w:szCs w:val="18"/>
              </w:rPr>
              <w:t>reflect</w:t>
            </w:r>
            <w:proofErr w:type="gramEnd"/>
            <w:r>
              <w:rPr>
                <w:rFonts w:cs="Arial"/>
                <w:sz w:val="18"/>
                <w:szCs w:val="18"/>
              </w:rPr>
              <w:t xml:space="preserve"> the diversity of the local community</w:t>
            </w:r>
          </w:p>
        </w:tc>
      </w:tr>
      <w:tr w:rsidR="00295984" w14:paraId="51E20C48" w14:textId="77777777" w:rsidTr="00E92A75">
        <w:tc>
          <w:tcPr>
            <w:tcW w:w="2500" w:type="pct"/>
            <w:vMerge/>
          </w:tcPr>
          <w:p w14:paraId="5C8FB2DA" w14:textId="77777777" w:rsidR="00295984" w:rsidRPr="00825F9A" w:rsidRDefault="00295984" w:rsidP="00E92A75">
            <w:pPr>
              <w:rPr>
                <w:rFonts w:cs="Arial"/>
                <w:sz w:val="18"/>
                <w:szCs w:val="18"/>
              </w:rPr>
            </w:pPr>
          </w:p>
        </w:tc>
        <w:tc>
          <w:tcPr>
            <w:tcW w:w="2500" w:type="pct"/>
          </w:tcPr>
          <w:p w14:paraId="0FCD4BCF" w14:textId="77777777" w:rsidR="00295984" w:rsidRPr="00825F9A" w:rsidRDefault="00295984" w:rsidP="00E92A75">
            <w:pPr>
              <w:rPr>
                <w:rFonts w:cs="Arial"/>
                <w:sz w:val="18"/>
                <w:szCs w:val="18"/>
              </w:rPr>
            </w:pPr>
            <w:r>
              <w:rPr>
                <w:rFonts w:cs="Arial"/>
                <w:sz w:val="18"/>
                <w:szCs w:val="18"/>
              </w:rPr>
              <w:t>Social value embedded in the supply chain</w:t>
            </w:r>
          </w:p>
        </w:tc>
      </w:tr>
      <w:tr w:rsidR="00295984" w14:paraId="43A761BD" w14:textId="77777777" w:rsidTr="00E92A75">
        <w:tc>
          <w:tcPr>
            <w:tcW w:w="2500" w:type="pct"/>
            <w:vMerge w:val="restart"/>
          </w:tcPr>
          <w:p w14:paraId="67FDF5F4" w14:textId="77777777" w:rsidR="00295984" w:rsidRPr="00825F9A" w:rsidRDefault="00295984" w:rsidP="00E92A75">
            <w:pPr>
              <w:rPr>
                <w:rFonts w:cs="Arial"/>
                <w:sz w:val="18"/>
                <w:szCs w:val="18"/>
              </w:rPr>
            </w:pPr>
            <w:r>
              <w:rPr>
                <w:rFonts w:cs="Arial"/>
                <w:sz w:val="18"/>
                <w:szCs w:val="18"/>
              </w:rPr>
              <w:t>Social: Healthier, Safer and more Resilient Communities</w:t>
            </w:r>
          </w:p>
        </w:tc>
        <w:tc>
          <w:tcPr>
            <w:tcW w:w="2500" w:type="pct"/>
          </w:tcPr>
          <w:p w14:paraId="14D17CA4" w14:textId="77777777" w:rsidR="00295984" w:rsidRPr="00825F9A" w:rsidRDefault="00295984" w:rsidP="00E92A75">
            <w:pPr>
              <w:rPr>
                <w:rFonts w:cs="Arial"/>
                <w:sz w:val="18"/>
                <w:szCs w:val="18"/>
              </w:rPr>
            </w:pPr>
            <w:r>
              <w:rPr>
                <w:rFonts w:cs="Arial"/>
                <w:sz w:val="18"/>
                <w:szCs w:val="18"/>
              </w:rPr>
              <w:t>Crime is reduced</w:t>
            </w:r>
          </w:p>
        </w:tc>
      </w:tr>
      <w:tr w:rsidR="00295984" w14:paraId="044C329F" w14:textId="77777777" w:rsidTr="00E92A75">
        <w:tc>
          <w:tcPr>
            <w:tcW w:w="2500" w:type="pct"/>
            <w:vMerge/>
          </w:tcPr>
          <w:p w14:paraId="075D786A" w14:textId="77777777" w:rsidR="00295984" w:rsidRPr="00825F9A" w:rsidRDefault="00295984" w:rsidP="00E92A75">
            <w:pPr>
              <w:rPr>
                <w:rFonts w:cs="Arial"/>
                <w:sz w:val="18"/>
                <w:szCs w:val="18"/>
              </w:rPr>
            </w:pPr>
          </w:p>
        </w:tc>
        <w:tc>
          <w:tcPr>
            <w:tcW w:w="2500" w:type="pct"/>
          </w:tcPr>
          <w:p w14:paraId="27E12B70" w14:textId="77777777" w:rsidR="00295984" w:rsidRPr="00825F9A" w:rsidRDefault="00295984" w:rsidP="00E92A75">
            <w:pPr>
              <w:rPr>
                <w:rFonts w:cs="Arial"/>
                <w:sz w:val="18"/>
                <w:szCs w:val="18"/>
              </w:rPr>
            </w:pPr>
            <w:r>
              <w:rPr>
                <w:rFonts w:cs="Arial"/>
                <w:sz w:val="18"/>
                <w:szCs w:val="18"/>
              </w:rPr>
              <w:t>Creating a healthier community</w:t>
            </w:r>
          </w:p>
        </w:tc>
      </w:tr>
      <w:tr w:rsidR="00295984" w14:paraId="44CEA309" w14:textId="77777777" w:rsidTr="00E92A75">
        <w:tc>
          <w:tcPr>
            <w:tcW w:w="2500" w:type="pct"/>
            <w:vMerge/>
          </w:tcPr>
          <w:p w14:paraId="7A3EA373" w14:textId="77777777" w:rsidR="00295984" w:rsidRPr="00825F9A" w:rsidRDefault="00295984" w:rsidP="00E92A75">
            <w:pPr>
              <w:rPr>
                <w:rFonts w:cs="Arial"/>
                <w:sz w:val="18"/>
                <w:szCs w:val="18"/>
              </w:rPr>
            </w:pPr>
          </w:p>
        </w:tc>
        <w:tc>
          <w:tcPr>
            <w:tcW w:w="2500" w:type="pct"/>
          </w:tcPr>
          <w:p w14:paraId="50115AA1" w14:textId="77777777" w:rsidR="00295984" w:rsidRPr="00825F9A" w:rsidRDefault="00295984" w:rsidP="00E92A75">
            <w:pPr>
              <w:rPr>
                <w:rFonts w:cs="Arial"/>
                <w:sz w:val="18"/>
                <w:szCs w:val="18"/>
              </w:rPr>
            </w:pPr>
            <w:r>
              <w:rPr>
                <w:rFonts w:cs="Arial"/>
                <w:sz w:val="18"/>
                <w:szCs w:val="18"/>
              </w:rPr>
              <w:t>Vulnerable people are helped to live independently</w:t>
            </w:r>
          </w:p>
        </w:tc>
      </w:tr>
      <w:tr w:rsidR="00295984" w14:paraId="051D601A" w14:textId="77777777" w:rsidTr="00E92A75">
        <w:tc>
          <w:tcPr>
            <w:tcW w:w="2500" w:type="pct"/>
            <w:vMerge/>
          </w:tcPr>
          <w:p w14:paraId="46517439" w14:textId="77777777" w:rsidR="00295984" w:rsidRPr="00825F9A" w:rsidRDefault="00295984" w:rsidP="00E92A75">
            <w:pPr>
              <w:rPr>
                <w:rFonts w:cs="Arial"/>
                <w:sz w:val="18"/>
                <w:szCs w:val="18"/>
              </w:rPr>
            </w:pPr>
          </w:p>
        </w:tc>
        <w:tc>
          <w:tcPr>
            <w:tcW w:w="2500" w:type="pct"/>
          </w:tcPr>
          <w:p w14:paraId="3DE49463" w14:textId="77777777" w:rsidR="00295984" w:rsidRPr="00825F9A" w:rsidRDefault="00295984" w:rsidP="00E92A75">
            <w:pPr>
              <w:rPr>
                <w:rFonts w:cs="Arial"/>
                <w:sz w:val="18"/>
                <w:szCs w:val="18"/>
              </w:rPr>
            </w:pPr>
            <w:r>
              <w:rPr>
                <w:rFonts w:cs="Arial"/>
                <w:sz w:val="18"/>
                <w:szCs w:val="18"/>
              </w:rPr>
              <w:t>More working with the community</w:t>
            </w:r>
          </w:p>
        </w:tc>
      </w:tr>
      <w:tr w:rsidR="00295984" w14:paraId="299D094C" w14:textId="77777777" w:rsidTr="00E92A75">
        <w:tc>
          <w:tcPr>
            <w:tcW w:w="2500" w:type="pct"/>
            <w:vMerge w:val="restart"/>
          </w:tcPr>
          <w:p w14:paraId="52FC7985" w14:textId="77777777" w:rsidR="00295984" w:rsidRPr="00825F9A" w:rsidRDefault="00295984" w:rsidP="00E92A75">
            <w:pPr>
              <w:rPr>
                <w:rFonts w:cs="Arial"/>
                <w:sz w:val="18"/>
                <w:szCs w:val="18"/>
              </w:rPr>
            </w:pPr>
            <w:r>
              <w:rPr>
                <w:rFonts w:cs="Arial"/>
                <w:sz w:val="18"/>
                <w:szCs w:val="18"/>
              </w:rPr>
              <w:t>Environment: Protecting and Improving Our Environment</w:t>
            </w:r>
          </w:p>
        </w:tc>
        <w:tc>
          <w:tcPr>
            <w:tcW w:w="2500" w:type="pct"/>
          </w:tcPr>
          <w:p w14:paraId="3ACEC65F" w14:textId="77777777" w:rsidR="00295984" w:rsidRPr="00825F9A" w:rsidRDefault="00295984" w:rsidP="00E92A75">
            <w:pPr>
              <w:rPr>
                <w:rFonts w:cs="Arial"/>
                <w:sz w:val="18"/>
                <w:szCs w:val="18"/>
              </w:rPr>
            </w:pPr>
            <w:r>
              <w:rPr>
                <w:rFonts w:cs="Arial"/>
                <w:sz w:val="18"/>
                <w:szCs w:val="18"/>
              </w:rPr>
              <w:t>Climate impacts are reduced</w:t>
            </w:r>
          </w:p>
        </w:tc>
      </w:tr>
      <w:tr w:rsidR="00295984" w14:paraId="797F4EBD" w14:textId="77777777" w:rsidTr="00E92A75">
        <w:tc>
          <w:tcPr>
            <w:tcW w:w="2500" w:type="pct"/>
            <w:vMerge/>
          </w:tcPr>
          <w:p w14:paraId="087A79D6" w14:textId="77777777" w:rsidR="00295984" w:rsidRPr="00825F9A" w:rsidRDefault="00295984" w:rsidP="00E92A75">
            <w:pPr>
              <w:rPr>
                <w:rFonts w:cs="Arial"/>
                <w:sz w:val="18"/>
                <w:szCs w:val="18"/>
              </w:rPr>
            </w:pPr>
          </w:p>
        </w:tc>
        <w:tc>
          <w:tcPr>
            <w:tcW w:w="2500" w:type="pct"/>
          </w:tcPr>
          <w:p w14:paraId="5DA0B652" w14:textId="77777777" w:rsidR="00295984" w:rsidRPr="00825F9A" w:rsidRDefault="00295984" w:rsidP="00E92A75">
            <w:pPr>
              <w:rPr>
                <w:rFonts w:cs="Arial"/>
                <w:sz w:val="18"/>
                <w:szCs w:val="18"/>
              </w:rPr>
            </w:pPr>
            <w:r>
              <w:rPr>
                <w:rFonts w:cs="Arial"/>
                <w:sz w:val="18"/>
                <w:szCs w:val="18"/>
              </w:rPr>
              <w:t>Air pollution is reduced</w:t>
            </w:r>
          </w:p>
        </w:tc>
      </w:tr>
      <w:tr w:rsidR="00295984" w14:paraId="05CFFF1A" w14:textId="77777777" w:rsidTr="00E92A75">
        <w:tc>
          <w:tcPr>
            <w:tcW w:w="2500" w:type="pct"/>
            <w:vMerge/>
          </w:tcPr>
          <w:p w14:paraId="23FC9888" w14:textId="77777777" w:rsidR="00295984" w:rsidRPr="00825F9A" w:rsidRDefault="00295984" w:rsidP="00E92A75">
            <w:pPr>
              <w:rPr>
                <w:rFonts w:cs="Arial"/>
                <w:sz w:val="18"/>
                <w:szCs w:val="18"/>
              </w:rPr>
            </w:pPr>
          </w:p>
        </w:tc>
        <w:tc>
          <w:tcPr>
            <w:tcW w:w="2500" w:type="pct"/>
          </w:tcPr>
          <w:p w14:paraId="2C74543A" w14:textId="77777777" w:rsidR="00295984" w:rsidRPr="00825F9A" w:rsidRDefault="00295984" w:rsidP="00E92A75">
            <w:pPr>
              <w:rPr>
                <w:rFonts w:cs="Arial"/>
                <w:sz w:val="18"/>
                <w:szCs w:val="18"/>
              </w:rPr>
            </w:pPr>
            <w:r>
              <w:rPr>
                <w:rFonts w:cs="Arial"/>
                <w:sz w:val="18"/>
                <w:szCs w:val="18"/>
              </w:rPr>
              <w:t>Better places to live</w:t>
            </w:r>
          </w:p>
        </w:tc>
      </w:tr>
      <w:tr w:rsidR="00295984" w14:paraId="7D08735D" w14:textId="77777777" w:rsidTr="00E92A75">
        <w:tc>
          <w:tcPr>
            <w:tcW w:w="2500" w:type="pct"/>
            <w:vMerge/>
          </w:tcPr>
          <w:p w14:paraId="177A4D9B" w14:textId="77777777" w:rsidR="00295984" w:rsidRPr="00825F9A" w:rsidRDefault="00295984" w:rsidP="00E92A75">
            <w:pPr>
              <w:rPr>
                <w:rFonts w:cs="Arial"/>
                <w:sz w:val="18"/>
                <w:szCs w:val="18"/>
              </w:rPr>
            </w:pPr>
          </w:p>
        </w:tc>
        <w:tc>
          <w:tcPr>
            <w:tcW w:w="2500" w:type="pct"/>
          </w:tcPr>
          <w:p w14:paraId="49FFFFE3" w14:textId="77777777" w:rsidR="00295984" w:rsidRPr="00825F9A" w:rsidRDefault="00295984" w:rsidP="00E92A75">
            <w:pPr>
              <w:rPr>
                <w:rFonts w:cs="Arial"/>
                <w:sz w:val="18"/>
                <w:szCs w:val="18"/>
              </w:rPr>
            </w:pPr>
            <w:r>
              <w:rPr>
                <w:rFonts w:cs="Arial"/>
                <w:sz w:val="18"/>
                <w:szCs w:val="18"/>
              </w:rPr>
              <w:t>Sustainable Procurement is promoted</w:t>
            </w:r>
          </w:p>
        </w:tc>
      </w:tr>
      <w:tr w:rsidR="00295984" w14:paraId="42346C69" w14:textId="77777777" w:rsidTr="00E92A75">
        <w:tc>
          <w:tcPr>
            <w:tcW w:w="2500" w:type="pct"/>
          </w:tcPr>
          <w:p w14:paraId="483EB710" w14:textId="77777777" w:rsidR="00295984" w:rsidRPr="00825F9A" w:rsidRDefault="00295984" w:rsidP="00E92A75">
            <w:pPr>
              <w:rPr>
                <w:rFonts w:cs="Arial"/>
                <w:sz w:val="18"/>
                <w:szCs w:val="18"/>
              </w:rPr>
            </w:pPr>
            <w:r>
              <w:rPr>
                <w:rFonts w:cs="Arial"/>
                <w:sz w:val="18"/>
                <w:szCs w:val="18"/>
              </w:rPr>
              <w:t>Innovation: Promoting Social Innovation</w:t>
            </w:r>
          </w:p>
        </w:tc>
        <w:tc>
          <w:tcPr>
            <w:tcW w:w="2500" w:type="pct"/>
          </w:tcPr>
          <w:p w14:paraId="2901B974" w14:textId="77777777" w:rsidR="00295984" w:rsidRPr="00825F9A" w:rsidRDefault="00295984" w:rsidP="00E92A75">
            <w:pPr>
              <w:rPr>
                <w:rFonts w:cs="Arial"/>
                <w:sz w:val="18"/>
                <w:szCs w:val="18"/>
              </w:rPr>
            </w:pPr>
            <w:r>
              <w:rPr>
                <w:rFonts w:cs="Arial"/>
                <w:sz w:val="18"/>
                <w:szCs w:val="18"/>
              </w:rPr>
              <w:t>Other measures</w:t>
            </w:r>
          </w:p>
        </w:tc>
      </w:tr>
    </w:tbl>
    <w:p w14:paraId="702FC6BE" w14:textId="77777777" w:rsidR="00295984" w:rsidRPr="00F05498" w:rsidRDefault="00295984" w:rsidP="00295984">
      <w:pPr>
        <w:rPr>
          <w:b/>
          <w:szCs w:val="20"/>
        </w:rPr>
      </w:pPr>
      <w:bookmarkStart w:id="19" w:name="_Toc152657194"/>
      <w:r>
        <w:rPr>
          <w:szCs w:val="20"/>
        </w:rPr>
        <w:br/>
      </w:r>
      <w:r w:rsidRPr="00F05498">
        <w:rPr>
          <w:szCs w:val="20"/>
        </w:rPr>
        <w:t>Agencies may refer to this table to develop fit-for-purpose ECV outcomes, for example if innovation is identified as a key outcome:</w:t>
      </w:r>
    </w:p>
    <w:p w14:paraId="73E8559D" w14:textId="77777777" w:rsidR="00295984" w:rsidRPr="00F05498" w:rsidRDefault="00295984" w:rsidP="00295984">
      <w:pPr>
        <w:pStyle w:val="ListParagraph"/>
        <w:numPr>
          <w:ilvl w:val="0"/>
          <w:numId w:val="23"/>
        </w:numPr>
        <w:spacing w:line="260" w:lineRule="exact"/>
        <w:rPr>
          <w:szCs w:val="20"/>
        </w:rPr>
      </w:pPr>
      <w:r w:rsidRPr="00F05498">
        <w:rPr>
          <w:szCs w:val="20"/>
        </w:rPr>
        <w:t xml:space="preserve">Theme: Innovation: Promote Entrepreneurship and Increase Supply Chain Resilience </w:t>
      </w:r>
    </w:p>
    <w:p w14:paraId="33296C23" w14:textId="77777777" w:rsidR="00295984" w:rsidRPr="00F05498" w:rsidRDefault="00295984" w:rsidP="00295984">
      <w:pPr>
        <w:pStyle w:val="ListParagraph"/>
        <w:numPr>
          <w:ilvl w:val="0"/>
          <w:numId w:val="23"/>
        </w:numPr>
        <w:spacing w:line="260" w:lineRule="exact"/>
        <w:rPr>
          <w:szCs w:val="20"/>
        </w:rPr>
      </w:pPr>
      <w:r w:rsidRPr="00F05498">
        <w:rPr>
          <w:szCs w:val="20"/>
        </w:rPr>
        <w:t>Outcome: More innovation-driven enterprises start, stay and scale locally; more diverse supply chain; greater adoption and diffusion of new technologies; increased productivity.</w:t>
      </w:r>
    </w:p>
    <w:bookmarkEnd w:id="19"/>
    <w:p w14:paraId="5726372E" w14:textId="77777777" w:rsidR="00295984" w:rsidRDefault="00295984" w:rsidP="00295984">
      <w:pPr>
        <w:pStyle w:val="Heading5"/>
      </w:pPr>
      <w:r>
        <w:t>More information about this example</w:t>
      </w:r>
    </w:p>
    <w:p w14:paraId="701FCFF3" w14:textId="77777777" w:rsidR="00295984" w:rsidRDefault="00295984" w:rsidP="00295984">
      <w:r>
        <w:t xml:space="preserve">A Social Value Toolkit for District Councils, </w:t>
      </w:r>
      <w:hyperlink r:id="rId23" w:history="1">
        <w:r w:rsidRPr="0088308F">
          <w:rPr>
            <w:rStyle w:val="Hyperlink"/>
          </w:rPr>
          <w:t>https://www.local.gov.uk/sites/default/files/documents/District%20Councils%20Social%20Value%20Toolkit%20Final_0.pdf</w:t>
        </w:r>
      </w:hyperlink>
      <w:r>
        <w:t xml:space="preserve">. </w:t>
      </w:r>
    </w:p>
    <w:p w14:paraId="0F79A13B" w14:textId="77777777" w:rsidR="00295984" w:rsidRDefault="00295984" w:rsidP="00295984">
      <w:pPr>
        <w:pStyle w:val="FootnoteText"/>
      </w:pPr>
      <w:r>
        <w:t xml:space="preserve">Social Value Portal, </w:t>
      </w:r>
      <w:hyperlink r:id="rId24" w:history="1">
        <w:r w:rsidRPr="004A0864">
          <w:rPr>
            <w:rStyle w:val="Hyperlink"/>
          </w:rPr>
          <w:t>https://www.socialvalueportal.com/measurement</w:t>
        </w:r>
      </w:hyperlink>
      <w:r>
        <w:t xml:space="preserve">. </w:t>
      </w:r>
    </w:p>
    <w:p w14:paraId="482B02F7" w14:textId="77777777" w:rsidR="00295984" w:rsidRDefault="00295984" w:rsidP="00295984">
      <w:pPr>
        <w:pStyle w:val="FootnoteText"/>
      </w:pPr>
    </w:p>
    <w:p w14:paraId="351D8FDA" w14:textId="77777777" w:rsidR="00295984" w:rsidRDefault="00295984" w:rsidP="00295984">
      <w:pPr>
        <w:pStyle w:val="FootnoteText"/>
      </w:pPr>
      <w:r w:rsidRPr="00A356B9">
        <w:t xml:space="preserve">Page 26, Useful Projects, </w:t>
      </w:r>
      <w:r w:rsidRPr="001F4A08">
        <w:rPr>
          <w:i/>
          <w:iCs/>
        </w:rPr>
        <w:t>Maximising Social Value from Infrastructure Projects</w:t>
      </w:r>
      <w:r w:rsidRPr="00A356B9">
        <w:t>, 2020,</w:t>
      </w:r>
      <w:r w:rsidRPr="008D0D74">
        <w:t xml:space="preserve"> </w:t>
      </w:r>
      <w:hyperlink r:id="rId25" w:history="1">
        <w:r w:rsidRPr="00EA0872">
          <w:rPr>
            <w:rStyle w:val="Hyperlink"/>
          </w:rPr>
          <w:t>https://www.uts.edu.au/sites/default/files/2023-12/Maximising_social_value_from_infrastructure_projects_v1.1.pdf</w:t>
        </w:r>
      </w:hyperlink>
      <w:r w:rsidRPr="008D0D74">
        <w:t>.</w:t>
      </w:r>
    </w:p>
    <w:p w14:paraId="4A247B08" w14:textId="77777777" w:rsidR="00295984" w:rsidRDefault="00295984" w:rsidP="00295984"/>
    <w:p w14:paraId="7490BDC4" w14:textId="77777777" w:rsidR="00295984" w:rsidRDefault="00295984" w:rsidP="00295984">
      <w:pPr>
        <w:pStyle w:val="Heading2"/>
      </w:pPr>
      <w:bookmarkStart w:id="20" w:name="_Toc202191884"/>
      <w:r>
        <w:lastRenderedPageBreak/>
        <w:t>Example 2 – Social Procurement Framework (Victorian Government, Australia)</w:t>
      </w:r>
      <w:bookmarkEnd w:id="20"/>
    </w:p>
    <w:p w14:paraId="6FCCFC90" w14:textId="77777777" w:rsidR="00295984" w:rsidRDefault="00295984" w:rsidP="00295984">
      <w:r>
        <w:t xml:space="preserve">The Social Procurement Framework ‘aims to ensure value for money considerations are not solely focused on </w:t>
      </w:r>
      <w:proofErr w:type="gramStart"/>
      <w:r>
        <w:t>price, but</w:t>
      </w:r>
      <w:proofErr w:type="gramEnd"/>
      <w:r>
        <w:t xml:space="preserve"> encompass opportunities to deliver social and sustainable outcomes that benefits the Victorian community’. It applies to Victorian Government departments and agencies when they procure goods, services and construction.</w:t>
      </w:r>
    </w:p>
    <w:p w14:paraId="260223F7" w14:textId="77777777" w:rsidR="00295984" w:rsidRDefault="00295984" w:rsidP="00295984">
      <w:r>
        <w:t>The Framework contains mandatory buyer requirements and recommended actions for inclusion of social and sustainable objectives into procurement. Buyers are expected to decide which social and sustainable objectives are to be pursued and prioritised in each procurement. These social and sustainable objectives relate to themes such as:</w:t>
      </w:r>
    </w:p>
    <w:p w14:paraId="3B2A73C0" w14:textId="77777777" w:rsidR="00295984" w:rsidRDefault="00295984" w:rsidP="00295984">
      <w:pPr>
        <w:pStyle w:val="ListParagraph"/>
        <w:numPr>
          <w:ilvl w:val="0"/>
          <w:numId w:val="20"/>
        </w:numPr>
        <w:spacing w:line="260" w:lineRule="exact"/>
      </w:pPr>
      <w:r>
        <w:t>Social enterprises, Australian Disability Enterprises and Aboriginal businesses</w:t>
      </w:r>
    </w:p>
    <w:p w14:paraId="66A76F5B" w14:textId="77777777" w:rsidR="00295984" w:rsidRDefault="00295984" w:rsidP="00295984">
      <w:pPr>
        <w:pStyle w:val="ListParagraph"/>
        <w:numPr>
          <w:ilvl w:val="0"/>
          <w:numId w:val="20"/>
        </w:numPr>
        <w:spacing w:line="260" w:lineRule="exact"/>
      </w:pPr>
      <w:r>
        <w:t>Disadvantaged communities</w:t>
      </w:r>
    </w:p>
    <w:p w14:paraId="4067D165" w14:textId="77777777" w:rsidR="00295984" w:rsidRDefault="00295984" w:rsidP="00295984">
      <w:pPr>
        <w:pStyle w:val="ListParagraph"/>
        <w:numPr>
          <w:ilvl w:val="0"/>
          <w:numId w:val="20"/>
        </w:numPr>
        <w:spacing w:line="260" w:lineRule="exact"/>
      </w:pPr>
      <w:r>
        <w:t>Gender</w:t>
      </w:r>
    </w:p>
    <w:p w14:paraId="69D8F9A3" w14:textId="77777777" w:rsidR="00295984" w:rsidRDefault="00295984" w:rsidP="00295984">
      <w:pPr>
        <w:pStyle w:val="ListParagraph"/>
        <w:numPr>
          <w:ilvl w:val="0"/>
          <w:numId w:val="20"/>
        </w:numPr>
        <w:spacing w:line="260" w:lineRule="exact"/>
      </w:pPr>
      <w:r>
        <w:t>Disability</w:t>
      </w:r>
    </w:p>
    <w:p w14:paraId="43EDDC46" w14:textId="77777777" w:rsidR="00295984" w:rsidRDefault="00295984" w:rsidP="00295984">
      <w:pPr>
        <w:pStyle w:val="ListParagraph"/>
        <w:numPr>
          <w:ilvl w:val="0"/>
          <w:numId w:val="20"/>
        </w:numPr>
        <w:spacing w:line="260" w:lineRule="exact"/>
      </w:pPr>
      <w:r>
        <w:t>Family violence leave</w:t>
      </w:r>
    </w:p>
    <w:p w14:paraId="17283F27" w14:textId="77777777" w:rsidR="00295984" w:rsidRDefault="00295984" w:rsidP="00295984">
      <w:pPr>
        <w:pStyle w:val="ListParagraph"/>
        <w:numPr>
          <w:ilvl w:val="0"/>
          <w:numId w:val="20"/>
        </w:numPr>
        <w:spacing w:line="260" w:lineRule="exact"/>
      </w:pPr>
      <w:r>
        <w:t>Fair and safe workplaces</w:t>
      </w:r>
    </w:p>
    <w:p w14:paraId="7E0B66D9" w14:textId="77777777" w:rsidR="00295984" w:rsidRDefault="00295984" w:rsidP="00295984">
      <w:pPr>
        <w:pStyle w:val="ListParagraph"/>
        <w:numPr>
          <w:ilvl w:val="0"/>
          <w:numId w:val="20"/>
        </w:numPr>
        <w:spacing w:line="260" w:lineRule="exact"/>
      </w:pPr>
      <w:r>
        <w:t>Environmental sustainability</w:t>
      </w:r>
    </w:p>
    <w:p w14:paraId="16758F11" w14:textId="77777777" w:rsidR="00295984" w:rsidRDefault="00295984" w:rsidP="00295984">
      <w:pPr>
        <w:pStyle w:val="ListParagraph"/>
        <w:numPr>
          <w:ilvl w:val="0"/>
          <w:numId w:val="20"/>
        </w:numPr>
        <w:spacing w:line="260" w:lineRule="exact"/>
      </w:pPr>
      <w:r>
        <w:t>Climate change.</w:t>
      </w:r>
    </w:p>
    <w:p w14:paraId="36FE38F2" w14:textId="77777777" w:rsidR="00295984" w:rsidRDefault="00295984" w:rsidP="00295984">
      <w:r>
        <w:t xml:space="preserve">These recommended actions are scaled against the location and/or value of the procurement. </w:t>
      </w:r>
      <w:r w:rsidRPr="00620A93">
        <w:t>It includes examples of programs with intergenerational benefits – like the Public Tenant Employment Program.</w:t>
      </w:r>
      <w:r>
        <w:t xml:space="preserve"> Further details of these recommended actions are presented on the Victorian Government’s ‘Social Procurement Framework requirements and expectations’ </w:t>
      </w:r>
      <w:r w:rsidRPr="00734D02">
        <w:t>webpage</w:t>
      </w:r>
      <w:r>
        <w:t>.</w:t>
      </w:r>
    </w:p>
    <w:p w14:paraId="51DB777A" w14:textId="77777777" w:rsidR="00295984" w:rsidRDefault="00295984" w:rsidP="00295984">
      <w:pPr>
        <w:pStyle w:val="Heading5"/>
      </w:pPr>
      <w:r>
        <w:t>More information about this example</w:t>
      </w:r>
    </w:p>
    <w:p w14:paraId="6B835BCF" w14:textId="77777777" w:rsidR="00295984" w:rsidRPr="00A356B9" w:rsidRDefault="00295984" w:rsidP="00295984">
      <w:pPr>
        <w:spacing w:after="60"/>
        <w:rPr>
          <w:szCs w:val="20"/>
        </w:rPr>
      </w:pPr>
      <w:r w:rsidRPr="00A356B9">
        <w:rPr>
          <w:szCs w:val="20"/>
        </w:rPr>
        <w:t xml:space="preserve">The State of Victoria, Introduction to the Social Procurement Framework, 2023, </w:t>
      </w:r>
      <w:hyperlink r:id="rId26" w:history="1">
        <w:r w:rsidRPr="00A356B9">
          <w:rPr>
            <w:rStyle w:val="Hyperlink"/>
            <w:szCs w:val="20"/>
          </w:rPr>
          <w:t>https://www.buyingfor.vic.gov.au/introduction-social-procurement-framework</w:t>
        </w:r>
      </w:hyperlink>
      <w:r w:rsidRPr="00A356B9">
        <w:rPr>
          <w:szCs w:val="20"/>
        </w:rPr>
        <w:t>.</w:t>
      </w:r>
    </w:p>
    <w:p w14:paraId="296601E5" w14:textId="77777777" w:rsidR="00295984" w:rsidRPr="00A356B9" w:rsidRDefault="00295984" w:rsidP="00295984">
      <w:pPr>
        <w:spacing w:after="60"/>
        <w:rPr>
          <w:szCs w:val="20"/>
        </w:rPr>
      </w:pPr>
      <w:r w:rsidRPr="00A356B9">
        <w:rPr>
          <w:szCs w:val="20"/>
        </w:rPr>
        <w:t xml:space="preserve">The State of Victoria, Social Procurement Framework requirements and expectations, 2023, </w:t>
      </w:r>
      <w:hyperlink r:id="rId27" w:history="1">
        <w:r w:rsidRPr="00A356B9">
          <w:rPr>
            <w:rStyle w:val="Hyperlink"/>
            <w:szCs w:val="20"/>
          </w:rPr>
          <w:t>https://www.buyingfor.vic.gov.au/social-procurement-framework-requirements-and-expectations</w:t>
        </w:r>
      </w:hyperlink>
      <w:r w:rsidRPr="00A356B9">
        <w:rPr>
          <w:szCs w:val="20"/>
        </w:rPr>
        <w:t>.</w:t>
      </w:r>
    </w:p>
    <w:p w14:paraId="49638508" w14:textId="77777777" w:rsidR="00295984" w:rsidRDefault="00295984" w:rsidP="00295984"/>
    <w:p w14:paraId="04AE13EE" w14:textId="77777777" w:rsidR="000C6569" w:rsidRDefault="000C6569">
      <w:pPr>
        <w:spacing w:line="259" w:lineRule="auto"/>
        <w:rPr>
          <w:rFonts w:eastAsiaTheme="majorEastAsia" w:cstheme="majorBidi"/>
          <w:b/>
          <w:color w:val="05325F"/>
          <w:sz w:val="32"/>
          <w:szCs w:val="26"/>
        </w:rPr>
      </w:pPr>
      <w:bookmarkStart w:id="21" w:name="_Toc202191885"/>
      <w:r>
        <w:br w:type="page"/>
      </w:r>
    </w:p>
    <w:p w14:paraId="09F371C1" w14:textId="1A4C859A" w:rsidR="00295984" w:rsidRDefault="00295984" w:rsidP="00295984">
      <w:pPr>
        <w:pStyle w:val="Heading2"/>
      </w:pPr>
      <w:r>
        <w:lastRenderedPageBreak/>
        <w:t>Example 3 – Gold Coast 2018 Commonwealth Games (Queensland, Australia)</w:t>
      </w:r>
      <w:bookmarkEnd w:id="21"/>
    </w:p>
    <w:p w14:paraId="5B5FB787" w14:textId="77777777" w:rsidR="00295984" w:rsidRDefault="00295984" w:rsidP="00295984">
      <w:r>
        <w:t>The Gold Coast 2018 Commonwealth Games legacy report (</w:t>
      </w:r>
      <w:hyperlink r:id="rId28" w:history="1">
        <w:r w:rsidRPr="00DC39C3">
          <w:rPr>
            <w:rStyle w:val="Hyperlink"/>
            <w:i/>
            <w:iCs/>
          </w:rPr>
          <w:t>GC2018 Legacy: Beyond the Games report 2024</w:t>
        </w:r>
      </w:hyperlink>
      <w:r>
        <w:rPr>
          <w:i/>
          <w:iCs/>
        </w:rPr>
        <w:t>)</w:t>
      </w:r>
      <w:r>
        <w:t xml:space="preserve"> assessed the benefits over the first five years following the Gold Coast Commonwealth Games against key objectives in the associated Games Monitoring and Evaluation Framework. This included assessment of success against key themes including:</w:t>
      </w:r>
    </w:p>
    <w:p w14:paraId="02109BA6" w14:textId="77777777" w:rsidR="00295984" w:rsidRDefault="00295984" w:rsidP="00295984">
      <w:pPr>
        <w:pStyle w:val="ListParagraph"/>
        <w:numPr>
          <w:ilvl w:val="0"/>
          <w:numId w:val="22"/>
        </w:numPr>
        <w:spacing w:line="260" w:lineRule="exact"/>
      </w:pPr>
      <w:r w:rsidRPr="009E6AF8">
        <w:t>Our economy - leveraging opportunities to strengthen Queensland’s economy and grow business and employment</w:t>
      </w:r>
      <w:r>
        <w:t>.</w:t>
      </w:r>
    </w:p>
    <w:p w14:paraId="522FEE78" w14:textId="77777777" w:rsidR="00295984" w:rsidRDefault="00295984" w:rsidP="00295984">
      <w:pPr>
        <w:pStyle w:val="ListParagraph"/>
        <w:numPr>
          <w:ilvl w:val="0"/>
          <w:numId w:val="22"/>
        </w:numPr>
        <w:spacing w:line="260" w:lineRule="exact"/>
      </w:pPr>
      <w:r w:rsidRPr="009E6AF8">
        <w:t>Our lifestyle – leading our community to a more healthy, active and sustainable lifestyle</w:t>
      </w:r>
      <w:r>
        <w:t>.</w:t>
      </w:r>
    </w:p>
    <w:p w14:paraId="13DC5029" w14:textId="77777777" w:rsidR="00295984" w:rsidRDefault="00295984" w:rsidP="00295984">
      <w:pPr>
        <w:pStyle w:val="ListParagraph"/>
        <w:numPr>
          <w:ilvl w:val="0"/>
          <w:numId w:val="22"/>
        </w:numPr>
        <w:spacing w:line="260" w:lineRule="exact"/>
      </w:pPr>
      <w:r w:rsidRPr="009E6AF8">
        <w:t>Our community - maximising opportunities GC2018 presents to celebrate our diversity and promote community cohesion and pride</w:t>
      </w:r>
      <w:r>
        <w:t>.</w:t>
      </w:r>
    </w:p>
    <w:p w14:paraId="05FBE1DB" w14:textId="77777777" w:rsidR="00295984" w:rsidRDefault="00295984" w:rsidP="00295984">
      <w:pPr>
        <w:pStyle w:val="ListParagraph"/>
        <w:numPr>
          <w:ilvl w:val="0"/>
          <w:numId w:val="22"/>
        </w:numPr>
        <w:spacing w:line="260" w:lineRule="exact"/>
      </w:pPr>
      <w:r>
        <w:t>Other benefits (such as legislative change that has had legacy benefits for Queensland businesses).</w:t>
      </w:r>
    </w:p>
    <w:p w14:paraId="2B144170" w14:textId="77777777" w:rsidR="00295984" w:rsidRDefault="00295984" w:rsidP="00295984">
      <w:r>
        <w:t>While this guide uses the general rule of a long-term view of more than 10 years for consideration of ECV, this report may assist agencies in understanding what ECV could look like and for ide</w:t>
      </w:r>
      <w:r w:rsidRPr="005B404A">
        <w:t>ntifying potential roles and responsibilities</w:t>
      </w:r>
      <w:r>
        <w:t xml:space="preserve"> for </w:t>
      </w:r>
      <w:r w:rsidRPr="005B404A">
        <w:t>how data on ECV outcomes will be collected, and performance tracked and reported</w:t>
      </w:r>
      <w:r>
        <w:t xml:space="preserve">. </w:t>
      </w:r>
    </w:p>
    <w:p w14:paraId="431F25FA" w14:textId="77777777" w:rsidR="00295984" w:rsidRDefault="00295984" w:rsidP="00295984">
      <w:pPr>
        <w:pStyle w:val="Heading5"/>
      </w:pPr>
      <w:r>
        <w:t xml:space="preserve">More information about this example </w:t>
      </w:r>
    </w:p>
    <w:p w14:paraId="1D00BBD1" w14:textId="77777777" w:rsidR="00295984" w:rsidRDefault="00295984" w:rsidP="00295984">
      <w:r>
        <w:rPr>
          <w:szCs w:val="20"/>
        </w:rPr>
        <w:t xml:space="preserve">Ernst &amp; Young Global Limited for </w:t>
      </w:r>
      <w:r w:rsidRPr="00A356B9">
        <w:rPr>
          <w:szCs w:val="20"/>
        </w:rPr>
        <w:t xml:space="preserve">The State of </w:t>
      </w:r>
      <w:r>
        <w:rPr>
          <w:szCs w:val="20"/>
        </w:rPr>
        <w:t>Queensland</w:t>
      </w:r>
      <w:r w:rsidRPr="00A356B9">
        <w:rPr>
          <w:szCs w:val="20"/>
        </w:rPr>
        <w:t xml:space="preserve">, </w:t>
      </w:r>
      <w:r w:rsidRPr="00EA0872">
        <w:rPr>
          <w:i/>
          <w:iCs/>
          <w:szCs w:val="20"/>
        </w:rPr>
        <w:t>GC 2018 Legacy: Beyond the Games report 2024</w:t>
      </w:r>
      <w:r w:rsidRPr="00A356B9">
        <w:rPr>
          <w:szCs w:val="20"/>
        </w:rPr>
        <w:t>, 202</w:t>
      </w:r>
      <w:r>
        <w:rPr>
          <w:szCs w:val="20"/>
        </w:rPr>
        <w:t xml:space="preserve">4, </w:t>
      </w:r>
      <w:hyperlink r:id="rId29" w:history="1">
        <w:r w:rsidRPr="00F27EFB">
          <w:rPr>
            <w:rStyle w:val="Hyperlink"/>
          </w:rPr>
          <w:t>https://www.dts.qld.gov.au/__data/assets/pdf_file/0007/1897963/gc2018-beyondthegames-legacy-report.pdf</w:t>
        </w:r>
      </w:hyperlink>
      <w:r>
        <w:t xml:space="preserve">.  </w:t>
      </w:r>
    </w:p>
    <w:p w14:paraId="40320C27" w14:textId="77777777" w:rsidR="00295984" w:rsidRDefault="00295984" w:rsidP="00295984"/>
    <w:p w14:paraId="5B091C18" w14:textId="77777777" w:rsidR="00295984" w:rsidRDefault="00295984" w:rsidP="00295984">
      <w:pPr>
        <w:spacing w:line="259" w:lineRule="auto"/>
      </w:pPr>
      <w:r>
        <w:br w:type="page"/>
      </w:r>
    </w:p>
    <w:p w14:paraId="07879C17" w14:textId="77777777" w:rsidR="00295984" w:rsidRPr="001B6392" w:rsidRDefault="00295984" w:rsidP="00295984">
      <w:pPr>
        <w:pStyle w:val="Heading1"/>
      </w:pPr>
      <w:bookmarkStart w:id="22" w:name="_Toc202191886"/>
      <w:r>
        <w:lastRenderedPageBreak/>
        <w:t>Appendix 2 – ECV and major projects</w:t>
      </w:r>
      <w:bookmarkEnd w:id="22"/>
    </w:p>
    <w:p w14:paraId="787BC9E3" w14:textId="77777777" w:rsidR="00295984" w:rsidRPr="00005723" w:rsidRDefault="00295984" w:rsidP="00295984">
      <w:pPr>
        <w:pStyle w:val="Heading2"/>
      </w:pPr>
      <w:bookmarkStart w:id="23" w:name="_Toc202191887"/>
      <w:r w:rsidRPr="00005723">
        <w:t>Case study 1</w:t>
      </w:r>
      <w:r>
        <w:t xml:space="preserve"> - </w:t>
      </w:r>
      <w:r w:rsidRPr="00005723">
        <w:t>Thames Tideway Tunnel</w:t>
      </w:r>
      <w:r>
        <w:t xml:space="preserve"> (Tideway Group, United Kingdom)</w:t>
      </w:r>
      <w:bookmarkEnd w:id="23"/>
    </w:p>
    <w:p w14:paraId="3FFCF7C2" w14:textId="77777777" w:rsidR="00295984" w:rsidRDefault="00295984" w:rsidP="00295984">
      <w:r>
        <w:t xml:space="preserve">The Thames Tideway Tunnel is a </w:t>
      </w:r>
      <w:r>
        <w:rPr>
          <w:rFonts w:cs="Arial"/>
        </w:rPr>
        <w:t>£</w:t>
      </w:r>
      <w:r>
        <w:t>4.5bn project delivered by Tideway, a company owned by a consortium of investors, with more than two million pensioners having an indirect investment in Tideway through UK pension funds managed by those investors.</w:t>
      </w:r>
      <w:r w:rsidRPr="007A3828">
        <w:t xml:space="preserve"> </w:t>
      </w:r>
      <w:r>
        <w:t>Preparatory work on the project began in 2015 with completion anticipated in 2025.</w:t>
      </w:r>
    </w:p>
    <w:p w14:paraId="66B9B5B3" w14:textId="77777777" w:rsidR="00295984" w:rsidRDefault="00295984" w:rsidP="00295984">
      <w:r>
        <w:t>The consortium’s backing fulfils a key component of the Her Majesty’s (HM) Treasury’s National Infrastructure Plan, designed to finance the development of UK infrastructure with the support of highly experienced private investors.</w:t>
      </w:r>
    </w:p>
    <w:p w14:paraId="7D7C8743" w14:textId="77777777" w:rsidR="00295984" w:rsidRDefault="00295984" w:rsidP="00295984">
      <w:r>
        <w:t xml:space="preserve">While the primary purpose of the project is to reduce sewage overflows into the River Thames, Tideway has gone beyond to develop a legacy program aligned with its vision for the project to reconnect London with the River Thames. </w:t>
      </w:r>
    </w:p>
    <w:p w14:paraId="2D5E237B" w14:textId="77777777" w:rsidR="00295984" w:rsidRDefault="00295984" w:rsidP="000C6569">
      <w:pPr>
        <w:spacing w:after="0"/>
      </w:pPr>
      <w:r>
        <w:t>The legacy program sets out 54 legacy commitments across five themes (environment; health, safety and wellbeing; economy; people; place) aligned with the UN Sustainable Development Goals that it intends to deliver during and after construction. Legacy commitments of note include:</w:t>
      </w:r>
    </w:p>
    <w:p w14:paraId="0F83EF31" w14:textId="77777777" w:rsidR="00295984" w:rsidRDefault="00295984" w:rsidP="000C6569">
      <w:pPr>
        <w:pStyle w:val="ListParagraph"/>
        <w:numPr>
          <w:ilvl w:val="0"/>
          <w:numId w:val="18"/>
        </w:numPr>
        <w:spacing w:after="0" w:line="260" w:lineRule="exact"/>
      </w:pPr>
      <w:r>
        <w:t>Minimise carbon footprint.</w:t>
      </w:r>
    </w:p>
    <w:p w14:paraId="537BE58B" w14:textId="77777777" w:rsidR="00295984" w:rsidRDefault="00295984" w:rsidP="000C6569">
      <w:pPr>
        <w:pStyle w:val="ListParagraph"/>
        <w:numPr>
          <w:ilvl w:val="0"/>
          <w:numId w:val="18"/>
        </w:numPr>
        <w:spacing w:after="0" w:line="260" w:lineRule="exact"/>
      </w:pPr>
      <w:r>
        <w:t>Infrastructure supports biodiversity.</w:t>
      </w:r>
    </w:p>
    <w:p w14:paraId="5321EEEB" w14:textId="77777777" w:rsidR="00295984" w:rsidRDefault="00295984" w:rsidP="000C6569">
      <w:pPr>
        <w:pStyle w:val="ListParagraph"/>
        <w:numPr>
          <w:ilvl w:val="0"/>
          <w:numId w:val="18"/>
        </w:numPr>
        <w:spacing w:after="0" w:line="260" w:lineRule="exact"/>
      </w:pPr>
      <w:r>
        <w:t>Lorry and vulnerable road users’ initiatives.</w:t>
      </w:r>
    </w:p>
    <w:p w14:paraId="57D79D03" w14:textId="77777777" w:rsidR="00295984" w:rsidRDefault="00295984" w:rsidP="000C6569">
      <w:pPr>
        <w:pStyle w:val="ListParagraph"/>
        <w:numPr>
          <w:ilvl w:val="0"/>
          <w:numId w:val="18"/>
        </w:numPr>
        <w:spacing w:after="0" w:line="260" w:lineRule="exact"/>
      </w:pPr>
      <w:r>
        <w:t>Support the London Living Wage.</w:t>
      </w:r>
    </w:p>
    <w:p w14:paraId="05AF6EA9" w14:textId="77777777" w:rsidR="00295984" w:rsidRDefault="00295984" w:rsidP="000C6569">
      <w:pPr>
        <w:pStyle w:val="ListParagraph"/>
        <w:numPr>
          <w:ilvl w:val="0"/>
          <w:numId w:val="18"/>
        </w:numPr>
        <w:spacing w:after="0" w:line="260" w:lineRule="exact"/>
      </w:pPr>
      <w:r>
        <w:t>Create employment opportunities for the workless.</w:t>
      </w:r>
    </w:p>
    <w:p w14:paraId="3634F275" w14:textId="77777777" w:rsidR="00295984" w:rsidRDefault="00295984" w:rsidP="000C6569">
      <w:pPr>
        <w:pStyle w:val="ListParagraph"/>
        <w:numPr>
          <w:ilvl w:val="0"/>
          <w:numId w:val="18"/>
        </w:numPr>
        <w:spacing w:after="0" w:line="260" w:lineRule="exact"/>
      </w:pPr>
      <w:r>
        <w:t>Work with charities to employ one ex-offender per 100 staff.</w:t>
      </w:r>
    </w:p>
    <w:p w14:paraId="28463AA9" w14:textId="77777777" w:rsidR="00295984" w:rsidRDefault="00295984" w:rsidP="000C6569">
      <w:pPr>
        <w:pStyle w:val="ListParagraph"/>
        <w:numPr>
          <w:ilvl w:val="0"/>
          <w:numId w:val="18"/>
        </w:numPr>
        <w:spacing w:after="0" w:line="260" w:lineRule="exact"/>
      </w:pPr>
      <w:r>
        <w:t>Connect people of reduced mobility with the river.</w:t>
      </w:r>
    </w:p>
    <w:p w14:paraId="29453C2A" w14:textId="77777777" w:rsidR="00295984" w:rsidRDefault="00295984" w:rsidP="000C6569">
      <w:pPr>
        <w:pStyle w:val="ListParagraph"/>
        <w:numPr>
          <w:ilvl w:val="0"/>
          <w:numId w:val="18"/>
        </w:numPr>
        <w:spacing w:after="0" w:line="260" w:lineRule="exact"/>
      </w:pPr>
      <w:r>
        <w:t>Contractors’ local community investment activities.</w:t>
      </w:r>
    </w:p>
    <w:p w14:paraId="39B820E2" w14:textId="77777777" w:rsidR="000C6569" w:rsidRDefault="000C6569" w:rsidP="000C6569">
      <w:pPr>
        <w:pStyle w:val="ListParagraph"/>
        <w:spacing w:after="0" w:line="260" w:lineRule="exact"/>
      </w:pPr>
    </w:p>
    <w:p w14:paraId="6021D7C5" w14:textId="77777777" w:rsidR="00295984" w:rsidRDefault="00295984" w:rsidP="00295984">
      <w:r>
        <w:t xml:space="preserve">Procurement features heavily as a vehicle to deliver the ECV commitments, underpinned by Tideway’s commitment to the values of safety, legacy, collaboration, respect and innovation which it expects its suppliers to adhere to. </w:t>
      </w:r>
    </w:p>
    <w:p w14:paraId="0D5F8978" w14:textId="77777777" w:rsidR="00295984" w:rsidRPr="00812DFA" w:rsidRDefault="00295984" w:rsidP="00295984">
      <w:pPr>
        <w:pStyle w:val="Heading5"/>
      </w:pPr>
      <w:r>
        <w:t xml:space="preserve">More information about this example </w:t>
      </w:r>
    </w:p>
    <w:p w14:paraId="25297F76" w14:textId="77777777" w:rsidR="00295984" w:rsidRDefault="00295984" w:rsidP="00295984">
      <w:pPr>
        <w:spacing w:after="20"/>
      </w:pPr>
      <w:r>
        <w:t xml:space="preserve">Global Infrastructure Hub, Thames Tideway Tunnel, 2021, </w:t>
      </w:r>
      <w:hyperlink r:id="rId30" w:history="1">
        <w:r w:rsidRPr="0009107B">
          <w:rPr>
            <w:rStyle w:val="Hyperlink"/>
          </w:rPr>
          <w:t>https://infrastructuredeliverymodels.gihub.org/case-studies/thames-tideway-tunnel/</w:t>
        </w:r>
      </w:hyperlink>
      <w:r w:rsidRPr="00DE1FFC">
        <w:rPr>
          <w:rStyle w:val="Hyperlink"/>
          <w:color w:val="auto"/>
          <w:u w:val="none"/>
        </w:rPr>
        <w:t>.</w:t>
      </w:r>
      <w:r>
        <w:t xml:space="preserve"> </w:t>
      </w:r>
    </w:p>
    <w:p w14:paraId="0B4ED864" w14:textId="77777777" w:rsidR="00295984" w:rsidRDefault="00295984" w:rsidP="000C6569">
      <w:pPr>
        <w:spacing w:before="240" w:after="20"/>
      </w:pPr>
      <w:r>
        <w:t xml:space="preserve">Jacobs, </w:t>
      </w:r>
      <w:r w:rsidRPr="00B014FE">
        <w:t>Delivering social value on Thames Tideway</w:t>
      </w:r>
      <w:r>
        <w:t xml:space="preserve">, </w:t>
      </w:r>
      <w:hyperlink r:id="rId31" w:history="1">
        <w:r w:rsidRPr="00054CF9">
          <w:rPr>
            <w:rStyle w:val="Hyperlink"/>
          </w:rPr>
          <w:t xml:space="preserve"> https://www.jacobs.com/depth/delivering-social-value-thames-tideway</w:t>
        </w:r>
      </w:hyperlink>
      <w:r>
        <w:t xml:space="preserve">. </w:t>
      </w:r>
    </w:p>
    <w:p w14:paraId="4F9F2F7B" w14:textId="77777777" w:rsidR="00295984" w:rsidRPr="000F5570" w:rsidRDefault="00295984" w:rsidP="000C6569">
      <w:pPr>
        <w:spacing w:before="240" w:after="20"/>
        <w:rPr>
          <w:b/>
        </w:rPr>
      </w:pPr>
      <w:r>
        <w:rPr>
          <w:rStyle w:val="title-text"/>
          <w:rFonts w:cs="Arial"/>
          <w:bCs/>
          <w:color w:val="1F1F1F"/>
          <w:szCs w:val="20"/>
        </w:rPr>
        <w:t xml:space="preserve">P Love, L Ika, J Matthews, X Li and W Fang, </w:t>
      </w:r>
      <w:r w:rsidRPr="001F4A08">
        <w:rPr>
          <w:rStyle w:val="title-text"/>
          <w:rFonts w:cs="Arial"/>
          <w:bCs/>
          <w:i/>
          <w:iCs/>
          <w:color w:val="1F1F1F"/>
          <w:szCs w:val="20"/>
        </w:rPr>
        <w:t>A procurement policy-making pathway to future-proof large-scale transport infrastructure assets</w:t>
      </w:r>
      <w:r>
        <w:rPr>
          <w:rStyle w:val="title-text"/>
          <w:rFonts w:cs="Arial"/>
          <w:bCs/>
          <w:color w:val="1F1F1F"/>
          <w:szCs w:val="20"/>
        </w:rPr>
        <w:t xml:space="preserve">, Vol 90, Elsevier, 2021, </w:t>
      </w:r>
      <w:hyperlink r:id="rId32" w:history="1">
        <w:r w:rsidRPr="00054CF9">
          <w:rPr>
            <w:rStyle w:val="Hyperlink"/>
            <w:rFonts w:cs="Arial"/>
            <w:bCs/>
            <w:szCs w:val="20"/>
          </w:rPr>
          <w:t>https://www.sciencedirect.com/science/article/pii/S073988592100041X</w:t>
        </w:r>
      </w:hyperlink>
      <w:r>
        <w:rPr>
          <w:rFonts w:cs="Arial"/>
          <w:bCs/>
          <w:szCs w:val="20"/>
        </w:rPr>
        <w:t>.</w:t>
      </w:r>
      <w:r w:rsidRPr="000F5570">
        <w:t xml:space="preserve"> </w:t>
      </w:r>
    </w:p>
    <w:p w14:paraId="34DCF55A" w14:textId="77777777" w:rsidR="00295984" w:rsidRDefault="00295984" w:rsidP="000C6569">
      <w:pPr>
        <w:spacing w:before="240" w:after="20"/>
      </w:pPr>
      <w:r>
        <w:t xml:space="preserve">The Tideway Group, </w:t>
      </w:r>
      <w:r w:rsidRPr="001F4A08">
        <w:rPr>
          <w:i/>
          <w:iCs/>
        </w:rPr>
        <w:t>A Supplier’s Guide to Tideway – Our vision, our values and how we would like to work with you</w:t>
      </w:r>
      <w:r>
        <w:t xml:space="preserve">, </w:t>
      </w:r>
      <w:hyperlink r:id="rId33" w:history="1">
        <w:r w:rsidRPr="00D34913">
          <w:rPr>
            <w:rStyle w:val="Hyperlink"/>
          </w:rPr>
          <w:t>https://www.tideway.london/media/4370/tideway-suppliers-guide.pdf</w:t>
        </w:r>
      </w:hyperlink>
      <w:r w:rsidRPr="003005F7">
        <w:rPr>
          <w:rStyle w:val="Hyperlink"/>
          <w:color w:val="auto"/>
          <w:u w:val="none"/>
        </w:rPr>
        <w:t>.</w:t>
      </w:r>
    </w:p>
    <w:p w14:paraId="49C2B538" w14:textId="77777777" w:rsidR="00295984" w:rsidRDefault="00295984" w:rsidP="000C6569">
      <w:pPr>
        <w:spacing w:before="240" w:after="20"/>
      </w:pPr>
      <w:r>
        <w:t xml:space="preserve">The Tideway Group, </w:t>
      </w:r>
      <w:r w:rsidRPr="001F4A08">
        <w:rPr>
          <w:i/>
          <w:iCs/>
        </w:rPr>
        <w:t>Social Impact and Value Assessment of Tideways’ Legacy Programme</w:t>
      </w:r>
      <w:r>
        <w:t xml:space="preserve">, </w:t>
      </w:r>
      <w:hyperlink r:id="rId34" w:history="1">
        <w:r w:rsidRPr="00D34913">
          <w:rPr>
            <w:rStyle w:val="Hyperlink"/>
          </w:rPr>
          <w:t>https://www.tideway.london/media/6069/tideway_social-impact-technical-report-1.pdf</w:t>
        </w:r>
      </w:hyperlink>
      <w:r w:rsidRPr="00BD3481">
        <w:rPr>
          <w:rStyle w:val="Hyperlink"/>
          <w:color w:val="auto"/>
          <w:u w:val="none"/>
        </w:rPr>
        <w:t>.</w:t>
      </w:r>
      <w:r>
        <w:t xml:space="preserve"> </w:t>
      </w:r>
    </w:p>
    <w:p w14:paraId="63B76FF7" w14:textId="77777777" w:rsidR="000C6569" w:rsidRDefault="00295984" w:rsidP="000C6569">
      <w:pPr>
        <w:pStyle w:val="FootnoteText"/>
        <w:spacing w:before="240" w:after="20" w:line="260" w:lineRule="exact"/>
      </w:pPr>
      <w:r w:rsidRPr="00DE1FFC">
        <w:t xml:space="preserve">The Tideway Group, </w:t>
      </w:r>
      <w:r w:rsidRPr="001F4A08">
        <w:rPr>
          <w:i/>
          <w:iCs/>
        </w:rPr>
        <w:t>Sustainability Report 2022</w:t>
      </w:r>
      <w:r w:rsidRPr="00DE1FFC">
        <w:t xml:space="preserve">, 2022, </w:t>
      </w:r>
      <w:hyperlink r:id="rId35" w:history="1">
        <w:r w:rsidRPr="00DE1FFC">
          <w:rPr>
            <w:rStyle w:val="Hyperlink"/>
          </w:rPr>
          <w:t>https://www.tideway.london/media/5689/tideway-sustainability-report-2022.pdf</w:t>
        </w:r>
      </w:hyperlink>
      <w:r w:rsidRPr="00DE1FFC">
        <w:t>.</w:t>
      </w:r>
      <w:r w:rsidRPr="00DE1FFC">
        <w:rPr>
          <w:sz w:val="16"/>
          <w:szCs w:val="16"/>
        </w:rPr>
        <w:t xml:space="preserve">   </w:t>
      </w:r>
      <w:r w:rsidRPr="00DE1FFC">
        <w:t xml:space="preserve">Useful Projects, </w:t>
      </w:r>
    </w:p>
    <w:p w14:paraId="7C2063B2" w14:textId="49A2C874" w:rsidR="00295984" w:rsidRDefault="00295984" w:rsidP="000C6569">
      <w:pPr>
        <w:pStyle w:val="FootnoteText"/>
        <w:spacing w:before="240" w:after="20" w:line="260" w:lineRule="exact"/>
        <w:rPr>
          <w:rFonts w:eastAsiaTheme="majorEastAsia" w:cstheme="majorBidi"/>
          <w:b/>
          <w:color w:val="05325F"/>
          <w:sz w:val="32"/>
          <w:szCs w:val="26"/>
        </w:rPr>
      </w:pPr>
      <w:r w:rsidRPr="001F4A08">
        <w:rPr>
          <w:i/>
          <w:iCs/>
        </w:rPr>
        <w:t>Maximising Social Value from Infrastructure Projects</w:t>
      </w:r>
      <w:r w:rsidRPr="00DE1FFC">
        <w:t>, 2020,</w:t>
      </w:r>
      <w:r w:rsidRPr="00DE1FFC">
        <w:rPr>
          <w:sz w:val="16"/>
          <w:szCs w:val="16"/>
        </w:rPr>
        <w:t xml:space="preserve"> </w:t>
      </w:r>
      <w:hyperlink r:id="rId36" w:history="1">
        <w:r w:rsidRPr="00F22077">
          <w:rPr>
            <w:rStyle w:val="Hyperlink"/>
          </w:rPr>
          <w:t>https://www.uts.edu.au/sites/default/files/2023-12/Maximising_social_value_from_infrastructure_projects_v1.1.pdf</w:t>
        </w:r>
      </w:hyperlink>
      <w:r w:rsidRPr="00DE1FFC">
        <w:t>.</w:t>
      </w:r>
      <w:r w:rsidRPr="00423117">
        <w:rPr>
          <w:sz w:val="16"/>
          <w:szCs w:val="16"/>
        </w:rPr>
        <w:t xml:space="preserve">  </w:t>
      </w:r>
      <w:bookmarkStart w:id="24" w:name="_Toc202191888"/>
      <w:r>
        <w:br w:type="page"/>
      </w:r>
    </w:p>
    <w:p w14:paraId="019D951C" w14:textId="77777777" w:rsidR="00295984" w:rsidRDefault="00295984" w:rsidP="00295984">
      <w:pPr>
        <w:pStyle w:val="Heading2"/>
      </w:pPr>
      <w:r>
        <w:lastRenderedPageBreak/>
        <w:t>Case study 2 – Queensland Train Manufacturing Program (Queensland Government, Australia)</w:t>
      </w:r>
      <w:bookmarkEnd w:id="24"/>
    </w:p>
    <w:p w14:paraId="156E06F3" w14:textId="77777777" w:rsidR="00295984" w:rsidRDefault="00295984" w:rsidP="00295984">
      <w:r>
        <w:t xml:space="preserve">The Queensland Government’s Queensland Train Manufacturing Program (QTMP) was established to meet the increasing demand for rail transport in </w:t>
      </w:r>
      <w:proofErr w:type="gramStart"/>
      <w:r>
        <w:t>South East</w:t>
      </w:r>
      <w:proofErr w:type="gramEnd"/>
      <w:r>
        <w:t xml:space="preserve"> Queensland over the next 10 years.</w:t>
      </w:r>
    </w:p>
    <w:p w14:paraId="390D5F76" w14:textId="77777777" w:rsidR="00295984" w:rsidRPr="00504E10" w:rsidRDefault="00295984" w:rsidP="00295984">
      <w:r w:rsidRPr="00504E10">
        <w:t xml:space="preserve">The </w:t>
      </w:r>
      <w:r>
        <w:t>QTMP</w:t>
      </w:r>
      <w:r w:rsidRPr="00504E10">
        <w:t xml:space="preserve"> will build 65 new six-car passenger trains at a purpose-built manufacturing facility at Torbanlea, in the </w:t>
      </w:r>
      <w:r>
        <w:t>Fraser Coast</w:t>
      </w:r>
      <w:r w:rsidRPr="00504E10">
        <w:t xml:space="preserve"> region.</w:t>
      </w:r>
    </w:p>
    <w:p w14:paraId="51140646" w14:textId="77777777" w:rsidR="00295984" w:rsidRPr="00504E10" w:rsidRDefault="00295984" w:rsidP="00295984">
      <w:r w:rsidRPr="00504E10">
        <w:t>As part of the program a new rail facility will also be constructed at Ormeau, in the Gold Coast region.</w:t>
      </w:r>
    </w:p>
    <w:p w14:paraId="084189D8" w14:textId="77777777" w:rsidR="00295984" w:rsidRPr="00504E10" w:rsidRDefault="00295984" w:rsidP="00295984">
      <w:r w:rsidRPr="00504E10">
        <w:t xml:space="preserve">The </w:t>
      </w:r>
      <w:r>
        <w:t>QTMP</w:t>
      </w:r>
      <w:r w:rsidRPr="00504E10">
        <w:t xml:space="preserve"> will support </w:t>
      </w:r>
      <w:proofErr w:type="gramStart"/>
      <w:r w:rsidRPr="00504E10">
        <w:t>South East</w:t>
      </w:r>
      <w:proofErr w:type="gramEnd"/>
      <w:r w:rsidRPr="00504E10">
        <w:t xml:space="preserve"> Queensland's population and economic growth, as well as Cross River Rail and the Brisbane 2032</w:t>
      </w:r>
      <w:r w:rsidRPr="005124F5">
        <w:t xml:space="preserve"> </w:t>
      </w:r>
      <w:r w:rsidRPr="00504E10">
        <w:t>Olympic and Paralympic Games.</w:t>
      </w:r>
    </w:p>
    <w:p w14:paraId="5551D1D9" w14:textId="77777777" w:rsidR="00295984" w:rsidRDefault="00295984" w:rsidP="00295984">
      <w:r w:rsidRPr="00D706AE">
        <w:t>An ongoing co-design process with the disability sector is shaping the new QTMP trains to ensure compliance, functionality, and accessibility for all passengers</w:t>
      </w:r>
      <w:r>
        <w:t>.</w:t>
      </w:r>
    </w:p>
    <w:p w14:paraId="3EEC5C61" w14:textId="77777777" w:rsidR="00295984" w:rsidRDefault="00295984" w:rsidP="00295984">
      <w:r w:rsidRPr="00504E10">
        <w:t xml:space="preserve">Construction of the facilities, trains, and maintenance of the fleet will support Queensland jobs now and into the future. The program also brings with it a pipeline of training and development </w:t>
      </w:r>
      <w:r w:rsidRPr="0026771B">
        <w:t>opportunities.</w:t>
      </w:r>
    </w:p>
    <w:p w14:paraId="0CA0DA52" w14:textId="77777777" w:rsidR="00295984" w:rsidRDefault="00295984" w:rsidP="00295984">
      <w:r>
        <w:t>The benefits of the QTMP include increased capacity, improved network efficiency, contribution to the economy and regional growth.</w:t>
      </w:r>
    </w:p>
    <w:p w14:paraId="11E4308B" w14:textId="77777777" w:rsidR="00295984" w:rsidRDefault="00295984" w:rsidP="00295984">
      <w:pPr>
        <w:pStyle w:val="Heading5"/>
      </w:pPr>
      <w:r>
        <w:t xml:space="preserve">More information about this example </w:t>
      </w:r>
    </w:p>
    <w:p w14:paraId="7A26F32C" w14:textId="77777777" w:rsidR="00295984" w:rsidRDefault="00295984" w:rsidP="00295984">
      <w:pPr>
        <w:rPr>
          <w:szCs w:val="20"/>
        </w:rPr>
      </w:pPr>
      <w:r w:rsidRPr="0069198B">
        <w:rPr>
          <w:szCs w:val="20"/>
        </w:rPr>
        <w:t>The State of Queensland (Department of Transport and Main Roads), Queensland Train Manufacturing Program, 202</w:t>
      </w:r>
      <w:r>
        <w:rPr>
          <w:szCs w:val="20"/>
        </w:rPr>
        <w:t>5</w:t>
      </w:r>
      <w:r w:rsidRPr="0069198B">
        <w:rPr>
          <w:szCs w:val="20"/>
        </w:rPr>
        <w:t xml:space="preserve">, </w:t>
      </w:r>
      <w:hyperlink r:id="rId37" w:history="1">
        <w:r w:rsidRPr="0069198B">
          <w:rPr>
            <w:rStyle w:val="Hyperlink"/>
            <w:szCs w:val="20"/>
          </w:rPr>
          <w:t>https://www.tmr.qld.gov.au/projects/programs/queensland-train-manufacturing-program</w:t>
        </w:r>
      </w:hyperlink>
      <w:r w:rsidRPr="0069198B">
        <w:rPr>
          <w:szCs w:val="20"/>
        </w:rPr>
        <w:t xml:space="preserve">.  </w:t>
      </w:r>
    </w:p>
    <w:p w14:paraId="51AC9B86" w14:textId="77777777" w:rsidR="00295984" w:rsidRDefault="00295984" w:rsidP="00295984">
      <w:pPr>
        <w:spacing w:after="20"/>
        <w:rPr>
          <w:rFonts w:ascii="Calibri" w:hAnsi="Calibri"/>
        </w:rPr>
      </w:pPr>
      <w:r w:rsidRPr="00AF755D">
        <w:t>High-tec</w:t>
      </w:r>
      <w:r>
        <w:t xml:space="preserve">h mock-up gives Queenslanders first look at new trains, 2025, </w:t>
      </w:r>
      <w:r w:rsidRPr="00064A87">
        <w:t>https://statements.qld.gov.au/statements/102557</w:t>
      </w:r>
      <w:r>
        <w:t>.</w:t>
      </w:r>
    </w:p>
    <w:p w14:paraId="0FE0EC27" w14:textId="77777777" w:rsidR="00295984" w:rsidRPr="007E6504" w:rsidRDefault="00295984" w:rsidP="000C6569">
      <w:pPr>
        <w:spacing w:before="240"/>
      </w:pPr>
      <w:hyperlink r:id="rId38" w:history="1">
        <w:r w:rsidRPr="1E7766E8">
          <w:rPr>
            <w:rStyle w:val="Hyperlink"/>
          </w:rPr>
          <w:t>Tradie</w:t>
        </w:r>
      </w:hyperlink>
      <w:r>
        <w:t xml:space="preserve"> jobs bonanza to put Queensland Train Manufacturing Program back on track, 2025, https://statements.qld.gov.au/statements/103011.</w:t>
      </w:r>
    </w:p>
    <w:p w14:paraId="1BAC09F9" w14:textId="16A2B37D" w:rsidR="007E6504" w:rsidRPr="007E6504" w:rsidRDefault="007E6504" w:rsidP="00295984">
      <w:pPr>
        <w:pStyle w:val="Heading1"/>
      </w:pPr>
    </w:p>
    <w:sectPr w:rsidR="007E6504" w:rsidRPr="007E6504" w:rsidSect="003959A5">
      <w:headerReference w:type="default" r:id="rId39"/>
      <w:footerReference w:type="default" r:id="rId40"/>
      <w:headerReference w:type="first" r:id="rId41"/>
      <w:pgSz w:w="11906" w:h="16838"/>
      <w:pgMar w:top="159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2A72" w14:textId="77777777" w:rsidR="00DD727D" w:rsidRDefault="00DD727D" w:rsidP="00F752DB">
      <w:pPr>
        <w:spacing w:after="0"/>
      </w:pPr>
      <w:r>
        <w:separator/>
      </w:r>
    </w:p>
  </w:endnote>
  <w:endnote w:type="continuationSeparator" w:id="0">
    <w:p w14:paraId="4A4ECC40" w14:textId="77777777" w:rsidR="00DD727D" w:rsidRDefault="00DD727D"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60903C29"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FF10" w14:textId="77777777" w:rsidR="00DD727D" w:rsidRDefault="00DD727D" w:rsidP="00F752DB">
      <w:pPr>
        <w:spacing w:after="0"/>
      </w:pPr>
      <w:r>
        <w:separator/>
      </w:r>
    </w:p>
  </w:footnote>
  <w:footnote w:type="continuationSeparator" w:id="0">
    <w:p w14:paraId="2BDA3DDE" w14:textId="77777777" w:rsidR="00DD727D" w:rsidRDefault="00DD727D" w:rsidP="00F752DB">
      <w:pPr>
        <w:spacing w:after="0"/>
      </w:pPr>
      <w:r>
        <w:continuationSeparator/>
      </w:r>
    </w:p>
  </w:footnote>
  <w:footnote w:id="1">
    <w:p w14:paraId="1009A692" w14:textId="77777777" w:rsidR="00295984" w:rsidRPr="00AF3EB5" w:rsidRDefault="00295984" w:rsidP="00295984">
      <w:pPr>
        <w:pStyle w:val="FootnoteText"/>
        <w:rPr>
          <w:sz w:val="16"/>
          <w:szCs w:val="16"/>
        </w:rPr>
      </w:pPr>
      <w:r>
        <w:rPr>
          <w:rStyle w:val="FootnoteReference"/>
        </w:rPr>
        <w:t>1</w:t>
      </w:r>
      <w:r w:rsidRPr="00AF3EB5">
        <w:rPr>
          <w:sz w:val="16"/>
          <w:szCs w:val="16"/>
        </w:rPr>
        <w:t xml:space="preserve"> There are other frameworks used in the Queensland Government. This includes, for example, the Digital and ICT investment review which is an independent review at set points within the initiative lifecycle, complementing the timing of initiative gated assurance reviews. Further information available here: </w:t>
      </w:r>
      <w:hyperlink r:id="rId1" w:history="1">
        <w:r w:rsidRPr="00AF3EB5">
          <w:rPr>
            <w:rStyle w:val="Hyperlink"/>
            <w:sz w:val="16"/>
            <w:szCs w:val="16"/>
          </w:rPr>
          <w:t>https://www.forgov.qld.gov.au/information-and-communication-technology/queensland-government-enterprise-architecture-qgea/ict-investment-review</w:t>
        </w:r>
      </w:hyperlink>
      <w:r w:rsidRPr="00AF3EB5">
        <w:rPr>
          <w:sz w:val="16"/>
          <w:szCs w:val="16"/>
        </w:rPr>
        <w:t xml:space="preserve">.   </w:t>
      </w:r>
    </w:p>
  </w:footnote>
  <w:footnote w:id="2">
    <w:p w14:paraId="5D47DD45" w14:textId="77777777" w:rsidR="00295984" w:rsidRPr="00F73C80" w:rsidRDefault="00295984" w:rsidP="00295984">
      <w:pPr>
        <w:pStyle w:val="FootnoteText"/>
        <w:rPr>
          <w:sz w:val="16"/>
          <w:szCs w:val="16"/>
        </w:rPr>
      </w:pPr>
      <w:r>
        <w:rPr>
          <w:rStyle w:val="FootnoteReference"/>
        </w:rPr>
        <w:t>2</w:t>
      </w:r>
      <w:r w:rsidRPr="00F73C80">
        <w:rPr>
          <w:sz w:val="16"/>
          <w:szCs w:val="16"/>
        </w:rPr>
        <w:t xml:space="preserve"> See Oliver Wyman, Strategic Collaboration in Procurement – Moving from a transactional relationship towards a business partner relationship, 2017, </w:t>
      </w:r>
      <w:hyperlink r:id="rId2" w:history="1">
        <w:r w:rsidRPr="00F73C80">
          <w:rPr>
            <w:rStyle w:val="Hyperlink"/>
            <w:sz w:val="16"/>
            <w:szCs w:val="16"/>
          </w:rPr>
          <w:t>https://www.oliverwyman.com/content/dam/oliver-wyman/v2/publications/2017/mar/strategic-collaboration-in-procurement-final2.pdf</w:t>
        </w:r>
      </w:hyperlink>
      <w:r w:rsidRPr="00EA0872">
        <w:rPr>
          <w:sz w:val="16"/>
          <w:szCs w:val="16"/>
        </w:rPr>
        <w:t>.</w:t>
      </w:r>
    </w:p>
  </w:footnote>
  <w:footnote w:id="3">
    <w:p w14:paraId="29007CAE" w14:textId="77777777" w:rsidR="00295984" w:rsidRDefault="00295984" w:rsidP="00295984">
      <w:pPr>
        <w:pStyle w:val="FootnoteText"/>
      </w:pPr>
      <w:r w:rsidRPr="00F73C80">
        <w:rPr>
          <w:rStyle w:val="FootnoteReference"/>
          <w:sz w:val="16"/>
          <w:szCs w:val="16"/>
        </w:rPr>
        <w:footnoteRef/>
      </w:r>
      <w:r w:rsidRPr="00F73C80">
        <w:rPr>
          <w:sz w:val="16"/>
          <w:szCs w:val="16"/>
        </w:rPr>
        <w:t xml:space="preserve"> See </w:t>
      </w:r>
      <w:r w:rsidRPr="00F73C80">
        <w:rPr>
          <w:i/>
          <w:iCs/>
          <w:sz w:val="16"/>
          <w:szCs w:val="16"/>
        </w:rPr>
        <w:t>Elevate 2042: Brisbane 2032 Olympic and Paralympic Games Legacy Strategy</w:t>
      </w:r>
      <w:r w:rsidRPr="00F73C80">
        <w:rPr>
          <w:sz w:val="16"/>
          <w:szCs w:val="16"/>
        </w:rPr>
        <w:t xml:space="preserve">, </w:t>
      </w:r>
      <w:hyperlink r:id="rId3" w:history="1">
        <w:r w:rsidRPr="00F73C80">
          <w:rPr>
            <w:rStyle w:val="Hyperlink"/>
            <w:sz w:val="16"/>
            <w:szCs w:val="16"/>
          </w:rPr>
          <w:t>https://q2032.au/plans/games-legacy</w:t>
        </w:r>
      </w:hyperlink>
      <w:r w:rsidRPr="00F73C80">
        <w:rPr>
          <w:sz w:val="16"/>
          <w:szCs w:val="16"/>
        </w:rPr>
        <w:t xml:space="preserve">. </w:t>
      </w:r>
    </w:p>
  </w:footnote>
  <w:footnote w:id="4">
    <w:p w14:paraId="12BBE62C" w14:textId="77777777" w:rsidR="00295984" w:rsidRPr="007B3C2F" w:rsidRDefault="00295984" w:rsidP="00295984">
      <w:pPr>
        <w:pStyle w:val="FootnoteText"/>
        <w:rPr>
          <w:sz w:val="16"/>
          <w:szCs w:val="16"/>
        </w:rPr>
      </w:pPr>
      <w:r w:rsidRPr="007B3C2F">
        <w:rPr>
          <w:rStyle w:val="FootnoteReference"/>
          <w:sz w:val="16"/>
          <w:szCs w:val="16"/>
        </w:rPr>
        <w:footnoteRef/>
      </w:r>
      <w:r w:rsidRPr="007B3C2F">
        <w:rPr>
          <w:sz w:val="16"/>
          <w:szCs w:val="16"/>
        </w:rPr>
        <w:t xml:space="preserve"> </w:t>
      </w:r>
      <w:r>
        <w:rPr>
          <w:sz w:val="16"/>
          <w:szCs w:val="16"/>
        </w:rPr>
        <w:t>For example, refer to the</w:t>
      </w:r>
      <w:r w:rsidRPr="007B3C2F">
        <w:rPr>
          <w:sz w:val="16"/>
          <w:szCs w:val="16"/>
        </w:rPr>
        <w:t xml:space="preserve"> Thames Tideway project</w:t>
      </w:r>
      <w:r>
        <w:rPr>
          <w:sz w:val="16"/>
          <w:szCs w:val="16"/>
        </w:rPr>
        <w:t xml:space="preserve"> managed by the Tideway Group in the United Kingdom</w:t>
      </w:r>
      <w:r w:rsidRPr="007B3C2F">
        <w:rPr>
          <w:sz w:val="16"/>
          <w:szCs w:val="16"/>
        </w:rPr>
        <w:t xml:space="preserve"> where 54 of the project’s legacy commitments were mapped against the United Nations Sustainable Development Goals. See Page 7-8 of The Tideway Group, </w:t>
      </w:r>
      <w:r w:rsidRPr="001F4A08">
        <w:rPr>
          <w:i/>
          <w:iCs/>
          <w:sz w:val="16"/>
          <w:szCs w:val="16"/>
        </w:rPr>
        <w:t>Sustainability Report 2022</w:t>
      </w:r>
      <w:r w:rsidRPr="007B3C2F">
        <w:rPr>
          <w:sz w:val="16"/>
          <w:szCs w:val="16"/>
        </w:rPr>
        <w:t xml:space="preserve">, 2022, </w:t>
      </w:r>
      <w:hyperlink r:id="rId4" w:history="1">
        <w:r w:rsidRPr="007B3C2F">
          <w:rPr>
            <w:rStyle w:val="Hyperlink"/>
            <w:sz w:val="16"/>
            <w:szCs w:val="16"/>
          </w:rPr>
          <w:t>https://www.tideway.london/media/5689/tideway-sustainability-report-2022.pdf</w:t>
        </w:r>
      </w:hyperlink>
      <w:r w:rsidRPr="007B3C2F">
        <w:rPr>
          <w:sz w:val="16"/>
          <w:szCs w:val="16"/>
        </w:rPr>
        <w:t xml:space="preserve">.   </w:t>
      </w:r>
    </w:p>
  </w:footnote>
  <w:footnote w:id="5">
    <w:p w14:paraId="4D79D9FC" w14:textId="77777777" w:rsidR="00295984" w:rsidRPr="00423117" w:rsidRDefault="00295984" w:rsidP="00295984">
      <w:pPr>
        <w:pStyle w:val="FootnoteText"/>
        <w:rPr>
          <w:sz w:val="16"/>
          <w:szCs w:val="16"/>
        </w:rPr>
      </w:pPr>
      <w:r w:rsidRPr="00984DA2">
        <w:rPr>
          <w:rStyle w:val="FootnoteReference"/>
          <w:sz w:val="16"/>
          <w:szCs w:val="16"/>
        </w:rPr>
        <w:footnoteRef/>
      </w:r>
      <w:r w:rsidRPr="00984DA2">
        <w:rPr>
          <w:sz w:val="16"/>
          <w:szCs w:val="16"/>
        </w:rPr>
        <w:t xml:space="preserve"> See Page 10, Useful Projects, </w:t>
      </w:r>
      <w:r w:rsidRPr="008D0D74">
        <w:rPr>
          <w:i/>
          <w:iCs/>
          <w:sz w:val="16"/>
          <w:szCs w:val="16"/>
        </w:rPr>
        <w:t>Maximising Social Value from Infrastructure Projects</w:t>
      </w:r>
      <w:r w:rsidRPr="008D0D74">
        <w:rPr>
          <w:sz w:val="16"/>
          <w:szCs w:val="16"/>
        </w:rPr>
        <w:t>, 2020</w:t>
      </w:r>
      <w:r>
        <w:rPr>
          <w:sz w:val="16"/>
          <w:szCs w:val="16"/>
        </w:rPr>
        <w:t>,</w:t>
      </w:r>
      <w:r w:rsidRPr="008D0D74">
        <w:rPr>
          <w:sz w:val="16"/>
          <w:szCs w:val="16"/>
        </w:rPr>
        <w:t xml:space="preserve"> </w:t>
      </w:r>
      <w:hyperlink r:id="rId5" w:history="1">
        <w:r w:rsidRPr="00EA0872">
          <w:rPr>
            <w:rStyle w:val="Hyperlink"/>
            <w:sz w:val="16"/>
            <w:szCs w:val="16"/>
          </w:rPr>
          <w:t>https://www.uts.edu.au/sites/default/files/2023-12/Maximising_social_value_from_infrastructure_projects_v1.1.pdf</w:t>
        </w:r>
      </w:hyperlink>
      <w:r w:rsidRPr="008D0D74">
        <w:rPr>
          <w:sz w:val="16"/>
          <w:szCs w:val="16"/>
        </w:rPr>
        <w:t>.</w:t>
      </w:r>
      <w:r w:rsidRPr="00423117">
        <w:rPr>
          <w:sz w:val="16"/>
          <w:szCs w:val="16"/>
        </w:rPr>
        <w:t xml:space="preserve">  </w:t>
      </w:r>
    </w:p>
  </w:footnote>
  <w:footnote w:id="6">
    <w:p w14:paraId="56AC74A2" w14:textId="77777777" w:rsidR="00295984" w:rsidRDefault="00295984" w:rsidP="00295984">
      <w:pPr>
        <w:pStyle w:val="FootnoteText"/>
      </w:pPr>
      <w:r w:rsidRPr="00423117">
        <w:rPr>
          <w:rStyle w:val="FootnoteReference"/>
          <w:sz w:val="16"/>
          <w:szCs w:val="16"/>
        </w:rPr>
        <w:footnoteRef/>
      </w:r>
      <w:r w:rsidRPr="00423117">
        <w:rPr>
          <w:sz w:val="16"/>
          <w:szCs w:val="16"/>
        </w:rPr>
        <w:t xml:space="preserve"> See </w:t>
      </w:r>
      <w:r>
        <w:rPr>
          <w:sz w:val="16"/>
          <w:szCs w:val="16"/>
        </w:rPr>
        <w:t xml:space="preserve">also Page 10, </w:t>
      </w:r>
      <w:r w:rsidRPr="00423117">
        <w:rPr>
          <w:sz w:val="16"/>
          <w:szCs w:val="16"/>
        </w:rPr>
        <w:t xml:space="preserve">Useful Projects, </w:t>
      </w:r>
      <w:r w:rsidRPr="001F4A08">
        <w:rPr>
          <w:i/>
          <w:iCs/>
          <w:sz w:val="16"/>
          <w:szCs w:val="16"/>
        </w:rPr>
        <w:t>Maximising Social Value from Infrastructure Projects</w:t>
      </w:r>
      <w:r w:rsidRPr="00423117">
        <w:rPr>
          <w:sz w:val="16"/>
          <w:szCs w:val="16"/>
        </w:rPr>
        <w:t xml:space="preserve">, 2020, </w:t>
      </w:r>
      <w:hyperlink r:id="rId6" w:history="1">
        <w:r w:rsidRPr="00F22077">
          <w:rPr>
            <w:rStyle w:val="Hyperlink"/>
            <w:sz w:val="16"/>
            <w:szCs w:val="16"/>
          </w:rPr>
          <w:t>https://www.uts.edu.au/sites/default/files/2023-12/Maximising_social_value_from_infrastructure_projects_v1.1.pdf</w:t>
        </w:r>
      </w:hyperlink>
      <w:r w:rsidRPr="00423117">
        <w:rPr>
          <w:sz w:val="16"/>
          <w:szCs w:val="16"/>
        </w:rPr>
        <w:t>.</w:t>
      </w:r>
    </w:p>
  </w:footnote>
  <w:footnote w:id="7">
    <w:p w14:paraId="31034DC2" w14:textId="77777777" w:rsidR="00295984" w:rsidRPr="00F73C80"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Undertaking social procurement can contribute to ECV outcomes. Resources are available to assist buyers to undertake social procurement at </w:t>
      </w:r>
      <w:hyperlink r:id="rId7" w:history="1">
        <w:r w:rsidRPr="00F73C80">
          <w:rPr>
            <w:rStyle w:val="Hyperlink"/>
            <w:sz w:val="16"/>
            <w:szCs w:val="16"/>
          </w:rPr>
          <w:t>https://www.forgov.qld.gov.au/finance-and-procurement/procurement/procurement-resources/consider-social-procurement</w:t>
        </w:r>
      </w:hyperlink>
      <w:r w:rsidRPr="00F73C80">
        <w:rPr>
          <w:sz w:val="16"/>
          <w:szCs w:val="16"/>
        </w:rPr>
        <w:t xml:space="preserve">.  </w:t>
      </w:r>
    </w:p>
  </w:footnote>
  <w:footnote w:id="8">
    <w:p w14:paraId="66CADC52" w14:textId="77777777" w:rsidR="00295984" w:rsidRPr="00A356B9"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w:t>
      </w:r>
      <w:r w:rsidRPr="00F73C80">
        <w:rPr>
          <w:i/>
          <w:iCs/>
          <w:sz w:val="16"/>
          <w:szCs w:val="16"/>
        </w:rPr>
        <w:t>Good people. Good jobs: Queensland Workforce Strategy 2022-2032</w:t>
      </w:r>
      <w:r w:rsidRPr="00F73C80">
        <w:rPr>
          <w:sz w:val="16"/>
          <w:szCs w:val="16"/>
        </w:rPr>
        <w:t xml:space="preserve">, </w:t>
      </w:r>
      <w:hyperlink r:id="rId8" w:history="1">
        <w:r w:rsidRPr="00F73C80">
          <w:rPr>
            <w:rStyle w:val="Hyperlink"/>
            <w:sz w:val="16"/>
            <w:szCs w:val="16"/>
          </w:rPr>
          <w:t>https://desbt.qld.gov.au/employment/support-employers/workforce-strategy</w:t>
        </w:r>
      </w:hyperlink>
      <w:r w:rsidRPr="00F73C80">
        <w:rPr>
          <w:sz w:val="16"/>
          <w:szCs w:val="16"/>
        </w:rPr>
        <w:t>.</w:t>
      </w:r>
      <w:r w:rsidRPr="00A356B9">
        <w:rPr>
          <w:sz w:val="16"/>
          <w:szCs w:val="16"/>
        </w:rPr>
        <w:t xml:space="preserve">  </w:t>
      </w:r>
    </w:p>
  </w:footnote>
  <w:footnote w:id="9">
    <w:p w14:paraId="0F73359F" w14:textId="77777777" w:rsidR="00295984" w:rsidRPr="004F3C24" w:rsidRDefault="00295984" w:rsidP="00295984">
      <w:pPr>
        <w:pStyle w:val="FootnoteText"/>
        <w:rPr>
          <w:sz w:val="16"/>
          <w:szCs w:val="16"/>
        </w:rPr>
      </w:pPr>
      <w:r w:rsidRPr="004F3C24">
        <w:rPr>
          <w:rStyle w:val="FootnoteReference"/>
          <w:sz w:val="16"/>
          <w:szCs w:val="16"/>
        </w:rPr>
        <w:footnoteRef/>
      </w:r>
      <w:r w:rsidRPr="004F3C24">
        <w:rPr>
          <w:sz w:val="16"/>
          <w:szCs w:val="16"/>
        </w:rPr>
        <w:t xml:space="preserve"> </w:t>
      </w:r>
      <w:r w:rsidRPr="00EA0872">
        <w:rPr>
          <w:sz w:val="16"/>
          <w:szCs w:val="16"/>
        </w:rPr>
        <w:t xml:space="preserve">See </w:t>
      </w:r>
      <w:r w:rsidRPr="00EA0872">
        <w:rPr>
          <w:i/>
          <w:iCs/>
          <w:sz w:val="16"/>
          <w:szCs w:val="16"/>
        </w:rPr>
        <w:t>Project Assessment Framework Benefits realisation August 2024</w:t>
      </w:r>
      <w:r w:rsidRPr="00EA0872">
        <w:rPr>
          <w:sz w:val="16"/>
          <w:szCs w:val="16"/>
        </w:rPr>
        <w:t xml:space="preserve">, </w:t>
      </w:r>
      <w:hyperlink r:id="rId9" w:history="1">
        <w:r w:rsidRPr="004F3C24">
          <w:rPr>
            <w:rStyle w:val="Hyperlink"/>
            <w:sz w:val="16"/>
            <w:szCs w:val="16"/>
          </w:rPr>
          <w:t>https://s3.treasury.qld.gov.au/files/paf-benefits-realisation.pdf?v=3</w:t>
        </w:r>
      </w:hyperlink>
      <w:r w:rsidRPr="004F3C24">
        <w:rPr>
          <w:sz w:val="16"/>
          <w:szCs w:val="16"/>
        </w:rPr>
        <w:t>.</w:t>
      </w:r>
    </w:p>
  </w:footnote>
  <w:footnote w:id="10">
    <w:p w14:paraId="51DCC397" w14:textId="77777777" w:rsidR="00295984" w:rsidRPr="008813CF"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See the </w:t>
      </w:r>
      <w:r w:rsidRPr="00F73C80">
        <w:rPr>
          <w:i/>
          <w:iCs/>
          <w:sz w:val="16"/>
          <w:szCs w:val="16"/>
        </w:rPr>
        <w:t>Evaluating Offers</w:t>
      </w:r>
      <w:r w:rsidRPr="00F73C80">
        <w:rPr>
          <w:sz w:val="16"/>
          <w:szCs w:val="16"/>
        </w:rPr>
        <w:t xml:space="preserve"> guide, </w:t>
      </w:r>
      <w:hyperlink r:id="rId10" w:history="1">
        <w:r w:rsidRPr="00F73C80">
          <w:rPr>
            <w:rStyle w:val="Hyperlink"/>
            <w:sz w:val="16"/>
            <w:szCs w:val="16"/>
          </w:rPr>
          <w:t>https://www.forgov.qld.gov.au/finance-and-procurement/procurement/procurement-resources/search-for-procurement-policies-resources-tools-and-templates/evaluating-offers</w:t>
        </w:r>
      </w:hyperlink>
      <w:r w:rsidRPr="00F73C80">
        <w:rPr>
          <w:sz w:val="16"/>
          <w:szCs w:val="16"/>
        </w:rPr>
        <w:t>.</w:t>
      </w:r>
      <w:r w:rsidRPr="008813CF">
        <w:rPr>
          <w:sz w:val="16"/>
          <w:szCs w:val="16"/>
        </w:rPr>
        <w:t xml:space="preserve"> </w:t>
      </w:r>
    </w:p>
  </w:footnote>
  <w:footnote w:id="11">
    <w:p w14:paraId="1D4865DA" w14:textId="77777777" w:rsidR="00295984" w:rsidRPr="00F73C80"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Queensland Government Forward Procurement Pipeline, </w:t>
      </w:r>
      <w:hyperlink r:id="rId11" w:history="1">
        <w:r w:rsidRPr="00F73C80">
          <w:rPr>
            <w:rStyle w:val="Hyperlink"/>
            <w:sz w:val="16"/>
            <w:szCs w:val="16"/>
          </w:rPr>
          <w:t>https://qtenders.epw.qld.gov.au/fpp/</w:t>
        </w:r>
      </w:hyperlink>
      <w:r w:rsidRPr="00F73C80">
        <w:rPr>
          <w:sz w:val="16"/>
          <w:szCs w:val="16"/>
        </w:rPr>
        <w:t xml:space="preserve">. </w:t>
      </w:r>
    </w:p>
  </w:footnote>
  <w:footnote w:id="12">
    <w:p w14:paraId="7D78288B" w14:textId="77777777" w:rsidR="00295984" w:rsidRPr="00F73C80"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QTenders, </w:t>
      </w:r>
      <w:hyperlink r:id="rId12" w:history="1">
        <w:r w:rsidRPr="00F73C80">
          <w:rPr>
            <w:rStyle w:val="Hyperlink"/>
            <w:sz w:val="16"/>
            <w:szCs w:val="16"/>
          </w:rPr>
          <w:t>https://qtenders.epw.qld.gov.au/qtenders/</w:t>
        </w:r>
      </w:hyperlink>
      <w:r w:rsidRPr="00F73C80">
        <w:rPr>
          <w:sz w:val="16"/>
          <w:szCs w:val="16"/>
        </w:rPr>
        <w:t xml:space="preserve">. </w:t>
      </w:r>
    </w:p>
  </w:footnote>
  <w:footnote w:id="13">
    <w:p w14:paraId="05B86039" w14:textId="77777777" w:rsidR="00295984" w:rsidRPr="00F73C80"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eTender, </w:t>
      </w:r>
      <w:hyperlink r:id="rId13" w:history="1">
        <w:r w:rsidRPr="00F73C80">
          <w:rPr>
            <w:rStyle w:val="Hyperlink"/>
            <w:sz w:val="16"/>
            <w:szCs w:val="16"/>
          </w:rPr>
          <w:t>https://etender.hpw.qld.gov.au/</w:t>
        </w:r>
      </w:hyperlink>
      <w:r w:rsidRPr="00F73C80">
        <w:rPr>
          <w:sz w:val="16"/>
          <w:szCs w:val="16"/>
        </w:rPr>
        <w:t xml:space="preserve">. </w:t>
      </w:r>
    </w:p>
  </w:footnote>
  <w:footnote w:id="14">
    <w:p w14:paraId="0D502AC6" w14:textId="77777777" w:rsidR="00295984" w:rsidRPr="00F73C80"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See the </w:t>
      </w:r>
      <w:r w:rsidRPr="00F73C80">
        <w:rPr>
          <w:i/>
          <w:iCs/>
          <w:sz w:val="16"/>
          <w:szCs w:val="16"/>
        </w:rPr>
        <w:t>Contract Management Framework</w:t>
      </w:r>
      <w:r w:rsidRPr="00F73C80">
        <w:rPr>
          <w:sz w:val="16"/>
          <w:szCs w:val="16"/>
        </w:rPr>
        <w:t xml:space="preserve">, </w:t>
      </w:r>
      <w:hyperlink r:id="rId14" w:history="1">
        <w:r w:rsidRPr="00F73C80">
          <w:rPr>
            <w:rStyle w:val="Hyperlink"/>
            <w:sz w:val="16"/>
            <w:szCs w:val="16"/>
          </w:rPr>
          <w:t>https://www.forgov.qld.gov.au/finance-and-procurement/procurement/procurement-resources/manage-a-contract</w:t>
        </w:r>
      </w:hyperlink>
      <w:r w:rsidRPr="00F73C80">
        <w:rPr>
          <w:sz w:val="16"/>
          <w:szCs w:val="16"/>
        </w:rPr>
        <w:t xml:space="preserve">. </w:t>
      </w:r>
    </w:p>
  </w:footnote>
  <w:footnote w:id="15">
    <w:p w14:paraId="5785AD05" w14:textId="77777777" w:rsidR="00295984" w:rsidRPr="0036215C" w:rsidRDefault="00295984" w:rsidP="00295984">
      <w:pPr>
        <w:pStyle w:val="FootnoteText"/>
        <w:rPr>
          <w:sz w:val="16"/>
          <w:szCs w:val="16"/>
        </w:rPr>
      </w:pPr>
      <w:r w:rsidRPr="00F73C80">
        <w:rPr>
          <w:rStyle w:val="FootnoteReference"/>
          <w:sz w:val="16"/>
          <w:szCs w:val="16"/>
        </w:rPr>
        <w:footnoteRef/>
      </w:r>
      <w:r w:rsidRPr="00F73C80">
        <w:rPr>
          <w:sz w:val="16"/>
          <w:szCs w:val="16"/>
        </w:rPr>
        <w:t xml:space="preserve"> See the </w:t>
      </w:r>
      <w:r w:rsidRPr="00F73C80">
        <w:rPr>
          <w:i/>
          <w:iCs/>
          <w:sz w:val="16"/>
          <w:szCs w:val="16"/>
        </w:rPr>
        <w:t>Managing and monitoring supplier performance</w:t>
      </w:r>
      <w:r w:rsidRPr="00F73C80">
        <w:rPr>
          <w:sz w:val="16"/>
          <w:szCs w:val="16"/>
        </w:rPr>
        <w:t xml:space="preserve"> guide, </w:t>
      </w:r>
      <w:hyperlink r:id="rId15" w:history="1">
        <w:r w:rsidRPr="00F73C80">
          <w:rPr>
            <w:rStyle w:val="Hyperlink"/>
            <w:sz w:val="16"/>
            <w:szCs w:val="16"/>
          </w:rPr>
          <w:t>https://www.forgov.qld.gov.au/finance-and-procurement/procurement/procurement-resources/search-for-procurement-policies-resources-tools-and-templates/managing-and-monitoring-supplier-performance</w:t>
        </w:r>
      </w:hyperlink>
      <w:r w:rsidRPr="00F73C80">
        <w:rPr>
          <w:sz w:val="16"/>
          <w:szCs w:val="16"/>
        </w:rPr>
        <w: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9EAE" w14:textId="77777777" w:rsidR="00295984" w:rsidRPr="00AB0F2F" w:rsidRDefault="00295984" w:rsidP="00295984">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Enduring community value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8241"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E74"/>
    <w:multiLevelType w:val="hybridMultilevel"/>
    <w:tmpl w:val="7444C34A"/>
    <w:lvl w:ilvl="0" w:tplc="00DC311E">
      <w:start w:val="1"/>
      <w:numFmt w:val="bullet"/>
      <w:lvlText w:val=""/>
      <w:lvlJc w:val="left"/>
      <w:pPr>
        <w:ind w:left="720" w:hanging="360"/>
      </w:pPr>
      <w:rPr>
        <w:rFonts w:ascii="Symbol" w:hAnsi="Symbol" w:hint="default"/>
      </w:rPr>
    </w:lvl>
    <w:lvl w:ilvl="1" w:tplc="AA98FF06" w:tentative="1">
      <w:start w:val="1"/>
      <w:numFmt w:val="bullet"/>
      <w:lvlText w:val="o"/>
      <w:lvlJc w:val="left"/>
      <w:pPr>
        <w:ind w:left="1440" w:hanging="360"/>
      </w:pPr>
      <w:rPr>
        <w:rFonts w:ascii="Courier New" w:hAnsi="Courier New" w:cs="Courier New" w:hint="default"/>
      </w:rPr>
    </w:lvl>
    <w:lvl w:ilvl="2" w:tplc="41EEAB3C" w:tentative="1">
      <w:start w:val="1"/>
      <w:numFmt w:val="bullet"/>
      <w:lvlText w:val=""/>
      <w:lvlJc w:val="left"/>
      <w:pPr>
        <w:ind w:left="2160" w:hanging="360"/>
      </w:pPr>
      <w:rPr>
        <w:rFonts w:ascii="Wingdings" w:hAnsi="Wingdings" w:hint="default"/>
      </w:rPr>
    </w:lvl>
    <w:lvl w:ilvl="3" w:tplc="9746D408" w:tentative="1">
      <w:start w:val="1"/>
      <w:numFmt w:val="bullet"/>
      <w:lvlText w:val=""/>
      <w:lvlJc w:val="left"/>
      <w:pPr>
        <w:ind w:left="2880" w:hanging="360"/>
      </w:pPr>
      <w:rPr>
        <w:rFonts w:ascii="Symbol" w:hAnsi="Symbol" w:hint="default"/>
      </w:rPr>
    </w:lvl>
    <w:lvl w:ilvl="4" w:tplc="F446E6A4" w:tentative="1">
      <w:start w:val="1"/>
      <w:numFmt w:val="bullet"/>
      <w:lvlText w:val="o"/>
      <w:lvlJc w:val="left"/>
      <w:pPr>
        <w:ind w:left="3600" w:hanging="360"/>
      </w:pPr>
      <w:rPr>
        <w:rFonts w:ascii="Courier New" w:hAnsi="Courier New" w:cs="Courier New" w:hint="default"/>
      </w:rPr>
    </w:lvl>
    <w:lvl w:ilvl="5" w:tplc="E854673C" w:tentative="1">
      <w:start w:val="1"/>
      <w:numFmt w:val="bullet"/>
      <w:lvlText w:val=""/>
      <w:lvlJc w:val="left"/>
      <w:pPr>
        <w:ind w:left="4320" w:hanging="360"/>
      </w:pPr>
      <w:rPr>
        <w:rFonts w:ascii="Wingdings" w:hAnsi="Wingdings" w:hint="default"/>
      </w:rPr>
    </w:lvl>
    <w:lvl w:ilvl="6" w:tplc="E7E004A4" w:tentative="1">
      <w:start w:val="1"/>
      <w:numFmt w:val="bullet"/>
      <w:lvlText w:val=""/>
      <w:lvlJc w:val="left"/>
      <w:pPr>
        <w:ind w:left="5040" w:hanging="360"/>
      </w:pPr>
      <w:rPr>
        <w:rFonts w:ascii="Symbol" w:hAnsi="Symbol" w:hint="default"/>
      </w:rPr>
    </w:lvl>
    <w:lvl w:ilvl="7" w:tplc="50449F46" w:tentative="1">
      <w:start w:val="1"/>
      <w:numFmt w:val="bullet"/>
      <w:lvlText w:val="o"/>
      <w:lvlJc w:val="left"/>
      <w:pPr>
        <w:ind w:left="5760" w:hanging="360"/>
      </w:pPr>
      <w:rPr>
        <w:rFonts w:ascii="Courier New" w:hAnsi="Courier New" w:cs="Courier New" w:hint="default"/>
      </w:rPr>
    </w:lvl>
    <w:lvl w:ilvl="8" w:tplc="C7D013BA" w:tentative="1">
      <w:start w:val="1"/>
      <w:numFmt w:val="bullet"/>
      <w:lvlText w:val=""/>
      <w:lvlJc w:val="left"/>
      <w:pPr>
        <w:ind w:left="6480" w:hanging="360"/>
      </w:pPr>
      <w:rPr>
        <w:rFonts w:ascii="Wingdings" w:hAnsi="Wingdings" w:hint="default"/>
      </w:rPr>
    </w:lvl>
  </w:abstractNum>
  <w:abstractNum w:abstractNumId="1" w15:restartNumberingAfterBreak="0">
    <w:nsid w:val="14F76A20"/>
    <w:multiLevelType w:val="hybridMultilevel"/>
    <w:tmpl w:val="41A81A3C"/>
    <w:lvl w:ilvl="0" w:tplc="7C8EB8E2">
      <w:start w:val="1"/>
      <w:numFmt w:val="bullet"/>
      <w:lvlText w:val=""/>
      <w:lvlJc w:val="left"/>
      <w:pPr>
        <w:ind w:left="720" w:hanging="360"/>
      </w:pPr>
      <w:rPr>
        <w:rFonts w:ascii="Symbol" w:hAnsi="Symbol" w:hint="default"/>
      </w:rPr>
    </w:lvl>
    <w:lvl w:ilvl="1" w:tplc="45428122" w:tentative="1">
      <w:start w:val="1"/>
      <w:numFmt w:val="bullet"/>
      <w:lvlText w:val="o"/>
      <w:lvlJc w:val="left"/>
      <w:pPr>
        <w:ind w:left="1440" w:hanging="360"/>
      </w:pPr>
      <w:rPr>
        <w:rFonts w:ascii="Courier New" w:hAnsi="Courier New" w:cs="Courier New" w:hint="default"/>
      </w:rPr>
    </w:lvl>
    <w:lvl w:ilvl="2" w:tplc="72E67132" w:tentative="1">
      <w:start w:val="1"/>
      <w:numFmt w:val="bullet"/>
      <w:lvlText w:val=""/>
      <w:lvlJc w:val="left"/>
      <w:pPr>
        <w:ind w:left="2160" w:hanging="360"/>
      </w:pPr>
      <w:rPr>
        <w:rFonts w:ascii="Wingdings" w:hAnsi="Wingdings" w:hint="default"/>
      </w:rPr>
    </w:lvl>
    <w:lvl w:ilvl="3" w:tplc="0DB4360C" w:tentative="1">
      <w:start w:val="1"/>
      <w:numFmt w:val="bullet"/>
      <w:lvlText w:val=""/>
      <w:lvlJc w:val="left"/>
      <w:pPr>
        <w:ind w:left="2880" w:hanging="360"/>
      </w:pPr>
      <w:rPr>
        <w:rFonts w:ascii="Symbol" w:hAnsi="Symbol" w:hint="default"/>
      </w:rPr>
    </w:lvl>
    <w:lvl w:ilvl="4" w:tplc="F53A481A" w:tentative="1">
      <w:start w:val="1"/>
      <w:numFmt w:val="bullet"/>
      <w:lvlText w:val="o"/>
      <w:lvlJc w:val="left"/>
      <w:pPr>
        <w:ind w:left="3600" w:hanging="360"/>
      </w:pPr>
      <w:rPr>
        <w:rFonts w:ascii="Courier New" w:hAnsi="Courier New" w:cs="Courier New" w:hint="default"/>
      </w:rPr>
    </w:lvl>
    <w:lvl w:ilvl="5" w:tplc="6C4278A8" w:tentative="1">
      <w:start w:val="1"/>
      <w:numFmt w:val="bullet"/>
      <w:lvlText w:val=""/>
      <w:lvlJc w:val="left"/>
      <w:pPr>
        <w:ind w:left="4320" w:hanging="360"/>
      </w:pPr>
      <w:rPr>
        <w:rFonts w:ascii="Wingdings" w:hAnsi="Wingdings" w:hint="default"/>
      </w:rPr>
    </w:lvl>
    <w:lvl w:ilvl="6" w:tplc="6852A9CC" w:tentative="1">
      <w:start w:val="1"/>
      <w:numFmt w:val="bullet"/>
      <w:lvlText w:val=""/>
      <w:lvlJc w:val="left"/>
      <w:pPr>
        <w:ind w:left="5040" w:hanging="360"/>
      </w:pPr>
      <w:rPr>
        <w:rFonts w:ascii="Symbol" w:hAnsi="Symbol" w:hint="default"/>
      </w:rPr>
    </w:lvl>
    <w:lvl w:ilvl="7" w:tplc="98988D74" w:tentative="1">
      <w:start w:val="1"/>
      <w:numFmt w:val="bullet"/>
      <w:lvlText w:val="o"/>
      <w:lvlJc w:val="left"/>
      <w:pPr>
        <w:ind w:left="5760" w:hanging="360"/>
      </w:pPr>
      <w:rPr>
        <w:rFonts w:ascii="Courier New" w:hAnsi="Courier New" w:cs="Courier New" w:hint="default"/>
      </w:rPr>
    </w:lvl>
    <w:lvl w:ilvl="8" w:tplc="23AE347E" w:tentative="1">
      <w:start w:val="1"/>
      <w:numFmt w:val="bullet"/>
      <w:lvlText w:val=""/>
      <w:lvlJc w:val="left"/>
      <w:pPr>
        <w:ind w:left="6480" w:hanging="360"/>
      </w:pPr>
      <w:rPr>
        <w:rFonts w:ascii="Wingdings" w:hAnsi="Wingdings" w:hint="default"/>
      </w:rPr>
    </w:lvl>
  </w:abstractNum>
  <w:abstractNum w:abstractNumId="2" w15:restartNumberingAfterBreak="0">
    <w:nsid w:val="18AC2E2A"/>
    <w:multiLevelType w:val="hybridMultilevel"/>
    <w:tmpl w:val="6574743C"/>
    <w:lvl w:ilvl="0" w:tplc="491ACD70">
      <w:start w:val="1"/>
      <w:numFmt w:val="bullet"/>
      <w:lvlText w:val=""/>
      <w:lvlJc w:val="left"/>
      <w:pPr>
        <w:ind w:left="720" w:hanging="360"/>
      </w:pPr>
      <w:rPr>
        <w:rFonts w:ascii="Symbol" w:hAnsi="Symbol" w:hint="default"/>
      </w:rPr>
    </w:lvl>
    <w:lvl w:ilvl="1" w:tplc="D03871C0">
      <w:start w:val="1"/>
      <w:numFmt w:val="bullet"/>
      <w:lvlText w:val="o"/>
      <w:lvlJc w:val="left"/>
      <w:pPr>
        <w:ind w:left="1440" w:hanging="360"/>
      </w:pPr>
      <w:rPr>
        <w:rFonts w:ascii="Courier New" w:hAnsi="Courier New" w:cs="Courier New" w:hint="default"/>
      </w:rPr>
    </w:lvl>
    <w:lvl w:ilvl="2" w:tplc="2CBEBFEC">
      <w:start w:val="1"/>
      <w:numFmt w:val="bullet"/>
      <w:lvlText w:val=""/>
      <w:lvlJc w:val="left"/>
      <w:pPr>
        <w:ind w:left="2160" w:hanging="360"/>
      </w:pPr>
      <w:rPr>
        <w:rFonts w:ascii="Wingdings" w:hAnsi="Wingdings" w:hint="default"/>
      </w:rPr>
    </w:lvl>
    <w:lvl w:ilvl="3" w:tplc="7724FCB0">
      <w:start w:val="1"/>
      <w:numFmt w:val="bullet"/>
      <w:lvlText w:val=""/>
      <w:lvlJc w:val="left"/>
      <w:pPr>
        <w:ind w:left="2880" w:hanging="360"/>
      </w:pPr>
      <w:rPr>
        <w:rFonts w:ascii="Symbol" w:hAnsi="Symbol" w:hint="default"/>
      </w:rPr>
    </w:lvl>
    <w:lvl w:ilvl="4" w:tplc="800CDDEA">
      <w:start w:val="1"/>
      <w:numFmt w:val="bullet"/>
      <w:lvlText w:val="o"/>
      <w:lvlJc w:val="left"/>
      <w:pPr>
        <w:ind w:left="3600" w:hanging="360"/>
      </w:pPr>
      <w:rPr>
        <w:rFonts w:ascii="Courier New" w:hAnsi="Courier New" w:cs="Courier New" w:hint="default"/>
      </w:rPr>
    </w:lvl>
    <w:lvl w:ilvl="5" w:tplc="D578F686">
      <w:start w:val="1"/>
      <w:numFmt w:val="bullet"/>
      <w:lvlText w:val=""/>
      <w:lvlJc w:val="left"/>
      <w:pPr>
        <w:ind w:left="4320" w:hanging="360"/>
      </w:pPr>
      <w:rPr>
        <w:rFonts w:ascii="Wingdings" w:hAnsi="Wingdings" w:hint="default"/>
      </w:rPr>
    </w:lvl>
    <w:lvl w:ilvl="6" w:tplc="10C84BDE">
      <w:start w:val="1"/>
      <w:numFmt w:val="bullet"/>
      <w:lvlText w:val=""/>
      <w:lvlJc w:val="left"/>
      <w:pPr>
        <w:ind w:left="5040" w:hanging="360"/>
      </w:pPr>
      <w:rPr>
        <w:rFonts w:ascii="Symbol" w:hAnsi="Symbol" w:hint="default"/>
      </w:rPr>
    </w:lvl>
    <w:lvl w:ilvl="7" w:tplc="E4424124" w:tentative="1">
      <w:start w:val="1"/>
      <w:numFmt w:val="bullet"/>
      <w:lvlText w:val="o"/>
      <w:lvlJc w:val="left"/>
      <w:pPr>
        <w:ind w:left="5760" w:hanging="360"/>
      </w:pPr>
      <w:rPr>
        <w:rFonts w:ascii="Courier New" w:hAnsi="Courier New" w:cs="Courier New" w:hint="default"/>
      </w:rPr>
    </w:lvl>
    <w:lvl w:ilvl="8" w:tplc="9670ECD4" w:tentative="1">
      <w:start w:val="1"/>
      <w:numFmt w:val="bullet"/>
      <w:lvlText w:val=""/>
      <w:lvlJc w:val="left"/>
      <w:pPr>
        <w:ind w:left="6480" w:hanging="360"/>
      </w:pPr>
      <w:rPr>
        <w:rFonts w:ascii="Wingdings" w:hAnsi="Wingdings" w:hint="default"/>
      </w:rPr>
    </w:lvl>
  </w:abstractNum>
  <w:abstractNum w:abstractNumId="3" w15:restartNumberingAfterBreak="0">
    <w:nsid w:val="23B76265"/>
    <w:multiLevelType w:val="hybridMultilevel"/>
    <w:tmpl w:val="F3DE51C0"/>
    <w:lvl w:ilvl="0" w:tplc="0448B994">
      <w:start w:val="1"/>
      <w:numFmt w:val="bullet"/>
      <w:lvlText w:val=""/>
      <w:lvlJc w:val="left"/>
      <w:pPr>
        <w:ind w:left="720" w:hanging="360"/>
      </w:pPr>
      <w:rPr>
        <w:rFonts w:ascii="Symbol" w:hAnsi="Symbol" w:hint="default"/>
      </w:rPr>
    </w:lvl>
    <w:lvl w:ilvl="1" w:tplc="DE783AB4" w:tentative="1">
      <w:start w:val="1"/>
      <w:numFmt w:val="bullet"/>
      <w:lvlText w:val="o"/>
      <w:lvlJc w:val="left"/>
      <w:pPr>
        <w:ind w:left="1440" w:hanging="360"/>
      </w:pPr>
      <w:rPr>
        <w:rFonts w:ascii="Courier New" w:hAnsi="Courier New" w:cs="Courier New" w:hint="default"/>
      </w:rPr>
    </w:lvl>
    <w:lvl w:ilvl="2" w:tplc="9E2C9CBE" w:tentative="1">
      <w:start w:val="1"/>
      <w:numFmt w:val="bullet"/>
      <w:lvlText w:val=""/>
      <w:lvlJc w:val="left"/>
      <w:pPr>
        <w:ind w:left="2160" w:hanging="360"/>
      </w:pPr>
      <w:rPr>
        <w:rFonts w:ascii="Wingdings" w:hAnsi="Wingdings" w:hint="default"/>
      </w:rPr>
    </w:lvl>
    <w:lvl w:ilvl="3" w:tplc="BD04CD20" w:tentative="1">
      <w:start w:val="1"/>
      <w:numFmt w:val="bullet"/>
      <w:lvlText w:val=""/>
      <w:lvlJc w:val="left"/>
      <w:pPr>
        <w:ind w:left="2880" w:hanging="360"/>
      </w:pPr>
      <w:rPr>
        <w:rFonts w:ascii="Symbol" w:hAnsi="Symbol" w:hint="default"/>
      </w:rPr>
    </w:lvl>
    <w:lvl w:ilvl="4" w:tplc="D9C6264C" w:tentative="1">
      <w:start w:val="1"/>
      <w:numFmt w:val="bullet"/>
      <w:lvlText w:val="o"/>
      <w:lvlJc w:val="left"/>
      <w:pPr>
        <w:ind w:left="3600" w:hanging="360"/>
      </w:pPr>
      <w:rPr>
        <w:rFonts w:ascii="Courier New" w:hAnsi="Courier New" w:cs="Courier New" w:hint="default"/>
      </w:rPr>
    </w:lvl>
    <w:lvl w:ilvl="5" w:tplc="99A28442" w:tentative="1">
      <w:start w:val="1"/>
      <w:numFmt w:val="bullet"/>
      <w:lvlText w:val=""/>
      <w:lvlJc w:val="left"/>
      <w:pPr>
        <w:ind w:left="4320" w:hanging="360"/>
      </w:pPr>
      <w:rPr>
        <w:rFonts w:ascii="Wingdings" w:hAnsi="Wingdings" w:hint="default"/>
      </w:rPr>
    </w:lvl>
    <w:lvl w:ilvl="6" w:tplc="7BE22194" w:tentative="1">
      <w:start w:val="1"/>
      <w:numFmt w:val="bullet"/>
      <w:lvlText w:val=""/>
      <w:lvlJc w:val="left"/>
      <w:pPr>
        <w:ind w:left="5040" w:hanging="360"/>
      </w:pPr>
      <w:rPr>
        <w:rFonts w:ascii="Symbol" w:hAnsi="Symbol" w:hint="default"/>
      </w:rPr>
    </w:lvl>
    <w:lvl w:ilvl="7" w:tplc="A40A92DE" w:tentative="1">
      <w:start w:val="1"/>
      <w:numFmt w:val="bullet"/>
      <w:lvlText w:val="o"/>
      <w:lvlJc w:val="left"/>
      <w:pPr>
        <w:ind w:left="5760" w:hanging="360"/>
      </w:pPr>
      <w:rPr>
        <w:rFonts w:ascii="Courier New" w:hAnsi="Courier New" w:cs="Courier New" w:hint="default"/>
      </w:rPr>
    </w:lvl>
    <w:lvl w:ilvl="8" w:tplc="C6B6ED88" w:tentative="1">
      <w:start w:val="1"/>
      <w:numFmt w:val="bullet"/>
      <w:lvlText w:val=""/>
      <w:lvlJc w:val="left"/>
      <w:pPr>
        <w:ind w:left="6480" w:hanging="360"/>
      </w:pPr>
      <w:rPr>
        <w:rFonts w:ascii="Wingdings" w:hAnsi="Wingdings" w:hint="default"/>
      </w:rPr>
    </w:lvl>
  </w:abstractNum>
  <w:abstractNum w:abstractNumId="4"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FD1776"/>
    <w:multiLevelType w:val="hybridMultilevel"/>
    <w:tmpl w:val="9894DDB8"/>
    <w:lvl w:ilvl="0" w:tplc="2960A33A">
      <w:start w:val="1"/>
      <w:numFmt w:val="bullet"/>
      <w:lvlText w:val=""/>
      <w:lvlJc w:val="left"/>
      <w:pPr>
        <w:ind w:left="720" w:hanging="360"/>
      </w:pPr>
      <w:rPr>
        <w:rFonts w:ascii="Symbol" w:hAnsi="Symbol" w:hint="default"/>
      </w:rPr>
    </w:lvl>
    <w:lvl w:ilvl="1" w:tplc="538CB732" w:tentative="1">
      <w:start w:val="1"/>
      <w:numFmt w:val="bullet"/>
      <w:lvlText w:val="o"/>
      <w:lvlJc w:val="left"/>
      <w:pPr>
        <w:ind w:left="1440" w:hanging="360"/>
      </w:pPr>
      <w:rPr>
        <w:rFonts w:ascii="Courier New" w:hAnsi="Courier New" w:cs="Courier New" w:hint="default"/>
      </w:rPr>
    </w:lvl>
    <w:lvl w:ilvl="2" w:tplc="79B6CBC2" w:tentative="1">
      <w:start w:val="1"/>
      <w:numFmt w:val="bullet"/>
      <w:lvlText w:val=""/>
      <w:lvlJc w:val="left"/>
      <w:pPr>
        <w:ind w:left="2160" w:hanging="360"/>
      </w:pPr>
      <w:rPr>
        <w:rFonts w:ascii="Wingdings" w:hAnsi="Wingdings" w:hint="default"/>
      </w:rPr>
    </w:lvl>
    <w:lvl w:ilvl="3" w:tplc="463CC9AE" w:tentative="1">
      <w:start w:val="1"/>
      <w:numFmt w:val="bullet"/>
      <w:lvlText w:val=""/>
      <w:lvlJc w:val="left"/>
      <w:pPr>
        <w:ind w:left="2880" w:hanging="360"/>
      </w:pPr>
      <w:rPr>
        <w:rFonts w:ascii="Symbol" w:hAnsi="Symbol" w:hint="default"/>
      </w:rPr>
    </w:lvl>
    <w:lvl w:ilvl="4" w:tplc="AD16C1B6" w:tentative="1">
      <w:start w:val="1"/>
      <w:numFmt w:val="bullet"/>
      <w:lvlText w:val="o"/>
      <w:lvlJc w:val="left"/>
      <w:pPr>
        <w:ind w:left="3600" w:hanging="360"/>
      </w:pPr>
      <w:rPr>
        <w:rFonts w:ascii="Courier New" w:hAnsi="Courier New" w:cs="Courier New" w:hint="default"/>
      </w:rPr>
    </w:lvl>
    <w:lvl w:ilvl="5" w:tplc="E654BEB4" w:tentative="1">
      <w:start w:val="1"/>
      <w:numFmt w:val="bullet"/>
      <w:lvlText w:val=""/>
      <w:lvlJc w:val="left"/>
      <w:pPr>
        <w:ind w:left="4320" w:hanging="360"/>
      </w:pPr>
      <w:rPr>
        <w:rFonts w:ascii="Wingdings" w:hAnsi="Wingdings" w:hint="default"/>
      </w:rPr>
    </w:lvl>
    <w:lvl w:ilvl="6" w:tplc="9844DB70" w:tentative="1">
      <w:start w:val="1"/>
      <w:numFmt w:val="bullet"/>
      <w:lvlText w:val=""/>
      <w:lvlJc w:val="left"/>
      <w:pPr>
        <w:ind w:left="5040" w:hanging="360"/>
      </w:pPr>
      <w:rPr>
        <w:rFonts w:ascii="Symbol" w:hAnsi="Symbol" w:hint="default"/>
      </w:rPr>
    </w:lvl>
    <w:lvl w:ilvl="7" w:tplc="001A2C2C" w:tentative="1">
      <w:start w:val="1"/>
      <w:numFmt w:val="bullet"/>
      <w:lvlText w:val="o"/>
      <w:lvlJc w:val="left"/>
      <w:pPr>
        <w:ind w:left="5760" w:hanging="360"/>
      </w:pPr>
      <w:rPr>
        <w:rFonts w:ascii="Courier New" w:hAnsi="Courier New" w:cs="Courier New" w:hint="default"/>
      </w:rPr>
    </w:lvl>
    <w:lvl w:ilvl="8" w:tplc="DB6438C2" w:tentative="1">
      <w:start w:val="1"/>
      <w:numFmt w:val="bullet"/>
      <w:lvlText w:val=""/>
      <w:lvlJc w:val="left"/>
      <w:pPr>
        <w:ind w:left="6480" w:hanging="360"/>
      </w:pPr>
      <w:rPr>
        <w:rFonts w:ascii="Wingdings" w:hAnsi="Wingdings" w:hint="default"/>
      </w:rPr>
    </w:lvl>
  </w:abstractNum>
  <w:abstractNum w:abstractNumId="8" w15:restartNumberingAfterBreak="0">
    <w:nsid w:val="2DC77997"/>
    <w:multiLevelType w:val="hybridMultilevel"/>
    <w:tmpl w:val="BC8CC8D6"/>
    <w:lvl w:ilvl="0" w:tplc="74149B4A">
      <w:start w:val="1"/>
      <w:numFmt w:val="bullet"/>
      <w:lvlText w:val=""/>
      <w:lvlJc w:val="left"/>
      <w:pPr>
        <w:ind w:left="720" w:hanging="360"/>
      </w:pPr>
      <w:rPr>
        <w:rFonts w:ascii="Symbol" w:hAnsi="Symbol" w:hint="default"/>
      </w:rPr>
    </w:lvl>
    <w:lvl w:ilvl="1" w:tplc="040C85AE" w:tentative="1">
      <w:start w:val="1"/>
      <w:numFmt w:val="bullet"/>
      <w:lvlText w:val="o"/>
      <w:lvlJc w:val="left"/>
      <w:pPr>
        <w:ind w:left="1440" w:hanging="360"/>
      </w:pPr>
      <w:rPr>
        <w:rFonts w:ascii="Courier New" w:hAnsi="Courier New" w:cs="Courier New" w:hint="default"/>
      </w:rPr>
    </w:lvl>
    <w:lvl w:ilvl="2" w:tplc="E8022AD0" w:tentative="1">
      <w:start w:val="1"/>
      <w:numFmt w:val="bullet"/>
      <w:lvlText w:val=""/>
      <w:lvlJc w:val="left"/>
      <w:pPr>
        <w:ind w:left="2160" w:hanging="360"/>
      </w:pPr>
      <w:rPr>
        <w:rFonts w:ascii="Wingdings" w:hAnsi="Wingdings" w:hint="default"/>
      </w:rPr>
    </w:lvl>
    <w:lvl w:ilvl="3" w:tplc="B860E950" w:tentative="1">
      <w:start w:val="1"/>
      <w:numFmt w:val="bullet"/>
      <w:lvlText w:val=""/>
      <w:lvlJc w:val="left"/>
      <w:pPr>
        <w:ind w:left="2880" w:hanging="360"/>
      </w:pPr>
      <w:rPr>
        <w:rFonts w:ascii="Symbol" w:hAnsi="Symbol" w:hint="default"/>
      </w:rPr>
    </w:lvl>
    <w:lvl w:ilvl="4" w:tplc="61A6AACC" w:tentative="1">
      <w:start w:val="1"/>
      <w:numFmt w:val="bullet"/>
      <w:lvlText w:val="o"/>
      <w:lvlJc w:val="left"/>
      <w:pPr>
        <w:ind w:left="3600" w:hanging="360"/>
      </w:pPr>
      <w:rPr>
        <w:rFonts w:ascii="Courier New" w:hAnsi="Courier New" w:cs="Courier New" w:hint="default"/>
      </w:rPr>
    </w:lvl>
    <w:lvl w:ilvl="5" w:tplc="CA022D40" w:tentative="1">
      <w:start w:val="1"/>
      <w:numFmt w:val="bullet"/>
      <w:lvlText w:val=""/>
      <w:lvlJc w:val="left"/>
      <w:pPr>
        <w:ind w:left="4320" w:hanging="360"/>
      </w:pPr>
      <w:rPr>
        <w:rFonts w:ascii="Wingdings" w:hAnsi="Wingdings" w:hint="default"/>
      </w:rPr>
    </w:lvl>
    <w:lvl w:ilvl="6" w:tplc="69EE34D2" w:tentative="1">
      <w:start w:val="1"/>
      <w:numFmt w:val="bullet"/>
      <w:lvlText w:val=""/>
      <w:lvlJc w:val="left"/>
      <w:pPr>
        <w:ind w:left="5040" w:hanging="360"/>
      </w:pPr>
      <w:rPr>
        <w:rFonts w:ascii="Symbol" w:hAnsi="Symbol" w:hint="default"/>
      </w:rPr>
    </w:lvl>
    <w:lvl w:ilvl="7" w:tplc="D0EEB664" w:tentative="1">
      <w:start w:val="1"/>
      <w:numFmt w:val="bullet"/>
      <w:lvlText w:val="o"/>
      <w:lvlJc w:val="left"/>
      <w:pPr>
        <w:ind w:left="5760" w:hanging="360"/>
      </w:pPr>
      <w:rPr>
        <w:rFonts w:ascii="Courier New" w:hAnsi="Courier New" w:cs="Courier New" w:hint="default"/>
      </w:rPr>
    </w:lvl>
    <w:lvl w:ilvl="8" w:tplc="B608F0F4" w:tentative="1">
      <w:start w:val="1"/>
      <w:numFmt w:val="bullet"/>
      <w:lvlText w:val=""/>
      <w:lvlJc w:val="left"/>
      <w:pPr>
        <w:ind w:left="6480" w:hanging="360"/>
      </w:pPr>
      <w:rPr>
        <w:rFonts w:ascii="Wingdings" w:hAnsi="Wingdings" w:hint="default"/>
      </w:rPr>
    </w:lvl>
  </w:abstractNum>
  <w:abstractNum w:abstractNumId="9" w15:restartNumberingAfterBreak="0">
    <w:nsid w:val="30185746"/>
    <w:multiLevelType w:val="hybridMultilevel"/>
    <w:tmpl w:val="B0CAE498"/>
    <w:lvl w:ilvl="0" w:tplc="407C490C">
      <w:start w:val="1"/>
      <w:numFmt w:val="bullet"/>
      <w:lvlText w:val=""/>
      <w:lvlJc w:val="left"/>
      <w:pPr>
        <w:ind w:left="720" w:hanging="360"/>
      </w:pPr>
      <w:rPr>
        <w:rFonts w:ascii="Symbol" w:hAnsi="Symbol" w:hint="default"/>
      </w:rPr>
    </w:lvl>
    <w:lvl w:ilvl="1" w:tplc="A1585D68" w:tentative="1">
      <w:start w:val="1"/>
      <w:numFmt w:val="bullet"/>
      <w:lvlText w:val="o"/>
      <w:lvlJc w:val="left"/>
      <w:pPr>
        <w:ind w:left="1440" w:hanging="360"/>
      </w:pPr>
      <w:rPr>
        <w:rFonts w:ascii="Courier New" w:hAnsi="Courier New" w:cs="Courier New" w:hint="default"/>
      </w:rPr>
    </w:lvl>
    <w:lvl w:ilvl="2" w:tplc="B2ACF000" w:tentative="1">
      <w:start w:val="1"/>
      <w:numFmt w:val="bullet"/>
      <w:lvlText w:val=""/>
      <w:lvlJc w:val="left"/>
      <w:pPr>
        <w:ind w:left="2160" w:hanging="360"/>
      </w:pPr>
      <w:rPr>
        <w:rFonts w:ascii="Wingdings" w:hAnsi="Wingdings" w:hint="default"/>
      </w:rPr>
    </w:lvl>
    <w:lvl w:ilvl="3" w:tplc="C55030F2" w:tentative="1">
      <w:start w:val="1"/>
      <w:numFmt w:val="bullet"/>
      <w:lvlText w:val=""/>
      <w:lvlJc w:val="left"/>
      <w:pPr>
        <w:ind w:left="2880" w:hanging="360"/>
      </w:pPr>
      <w:rPr>
        <w:rFonts w:ascii="Symbol" w:hAnsi="Symbol" w:hint="default"/>
      </w:rPr>
    </w:lvl>
    <w:lvl w:ilvl="4" w:tplc="2092D40A" w:tentative="1">
      <w:start w:val="1"/>
      <w:numFmt w:val="bullet"/>
      <w:lvlText w:val="o"/>
      <w:lvlJc w:val="left"/>
      <w:pPr>
        <w:ind w:left="3600" w:hanging="360"/>
      </w:pPr>
      <w:rPr>
        <w:rFonts w:ascii="Courier New" w:hAnsi="Courier New" w:cs="Courier New" w:hint="default"/>
      </w:rPr>
    </w:lvl>
    <w:lvl w:ilvl="5" w:tplc="3D1A7A52" w:tentative="1">
      <w:start w:val="1"/>
      <w:numFmt w:val="bullet"/>
      <w:lvlText w:val=""/>
      <w:lvlJc w:val="left"/>
      <w:pPr>
        <w:ind w:left="4320" w:hanging="360"/>
      </w:pPr>
      <w:rPr>
        <w:rFonts w:ascii="Wingdings" w:hAnsi="Wingdings" w:hint="default"/>
      </w:rPr>
    </w:lvl>
    <w:lvl w:ilvl="6" w:tplc="183CFF6E" w:tentative="1">
      <w:start w:val="1"/>
      <w:numFmt w:val="bullet"/>
      <w:lvlText w:val=""/>
      <w:lvlJc w:val="left"/>
      <w:pPr>
        <w:ind w:left="5040" w:hanging="360"/>
      </w:pPr>
      <w:rPr>
        <w:rFonts w:ascii="Symbol" w:hAnsi="Symbol" w:hint="default"/>
      </w:rPr>
    </w:lvl>
    <w:lvl w:ilvl="7" w:tplc="B016EB10" w:tentative="1">
      <w:start w:val="1"/>
      <w:numFmt w:val="bullet"/>
      <w:lvlText w:val="o"/>
      <w:lvlJc w:val="left"/>
      <w:pPr>
        <w:ind w:left="5760" w:hanging="360"/>
      </w:pPr>
      <w:rPr>
        <w:rFonts w:ascii="Courier New" w:hAnsi="Courier New" w:cs="Courier New" w:hint="default"/>
      </w:rPr>
    </w:lvl>
    <w:lvl w:ilvl="8" w:tplc="437695AC" w:tentative="1">
      <w:start w:val="1"/>
      <w:numFmt w:val="bullet"/>
      <w:lvlText w:val=""/>
      <w:lvlJc w:val="left"/>
      <w:pPr>
        <w:ind w:left="6480" w:hanging="360"/>
      </w:pPr>
      <w:rPr>
        <w:rFonts w:ascii="Wingdings" w:hAnsi="Wingdings" w:hint="default"/>
      </w:rPr>
    </w:lvl>
  </w:abstractNum>
  <w:abstractNum w:abstractNumId="10" w15:restartNumberingAfterBreak="0">
    <w:nsid w:val="30F86A0C"/>
    <w:multiLevelType w:val="hybridMultilevel"/>
    <w:tmpl w:val="6802AF06"/>
    <w:lvl w:ilvl="0" w:tplc="3D36B6D8">
      <w:start w:val="1"/>
      <w:numFmt w:val="bullet"/>
      <w:lvlText w:val=""/>
      <w:lvlJc w:val="left"/>
      <w:pPr>
        <w:ind w:left="720" w:hanging="360"/>
      </w:pPr>
      <w:rPr>
        <w:rFonts w:ascii="Symbol" w:hAnsi="Symbol" w:hint="default"/>
      </w:rPr>
    </w:lvl>
    <w:lvl w:ilvl="1" w:tplc="2724EE24">
      <w:start w:val="1"/>
      <w:numFmt w:val="bullet"/>
      <w:lvlText w:val="o"/>
      <w:lvlJc w:val="left"/>
      <w:pPr>
        <w:ind w:left="1440" w:hanging="360"/>
      </w:pPr>
      <w:rPr>
        <w:rFonts w:ascii="Courier New" w:hAnsi="Courier New" w:cs="Courier New" w:hint="default"/>
      </w:rPr>
    </w:lvl>
    <w:lvl w:ilvl="2" w:tplc="720CC9DE">
      <w:start w:val="1"/>
      <w:numFmt w:val="bullet"/>
      <w:lvlText w:val=""/>
      <w:lvlJc w:val="left"/>
      <w:pPr>
        <w:ind w:left="2160" w:hanging="360"/>
      </w:pPr>
      <w:rPr>
        <w:rFonts w:ascii="Wingdings" w:hAnsi="Wingdings" w:hint="default"/>
      </w:rPr>
    </w:lvl>
    <w:lvl w:ilvl="3" w:tplc="07966654">
      <w:start w:val="1"/>
      <w:numFmt w:val="bullet"/>
      <w:lvlText w:val=""/>
      <w:lvlJc w:val="left"/>
      <w:pPr>
        <w:ind w:left="2880" w:hanging="360"/>
      </w:pPr>
      <w:rPr>
        <w:rFonts w:ascii="Symbol" w:hAnsi="Symbol" w:hint="default"/>
      </w:rPr>
    </w:lvl>
    <w:lvl w:ilvl="4" w:tplc="45B47AC0">
      <w:start w:val="1"/>
      <w:numFmt w:val="bullet"/>
      <w:lvlText w:val="o"/>
      <w:lvlJc w:val="left"/>
      <w:pPr>
        <w:ind w:left="3600" w:hanging="360"/>
      </w:pPr>
      <w:rPr>
        <w:rFonts w:ascii="Courier New" w:hAnsi="Courier New" w:cs="Courier New" w:hint="default"/>
      </w:rPr>
    </w:lvl>
    <w:lvl w:ilvl="5" w:tplc="BDD04BA6" w:tentative="1">
      <w:start w:val="1"/>
      <w:numFmt w:val="bullet"/>
      <w:lvlText w:val=""/>
      <w:lvlJc w:val="left"/>
      <w:pPr>
        <w:ind w:left="4320" w:hanging="360"/>
      </w:pPr>
      <w:rPr>
        <w:rFonts w:ascii="Wingdings" w:hAnsi="Wingdings" w:hint="default"/>
      </w:rPr>
    </w:lvl>
    <w:lvl w:ilvl="6" w:tplc="A4F606EA" w:tentative="1">
      <w:start w:val="1"/>
      <w:numFmt w:val="bullet"/>
      <w:lvlText w:val=""/>
      <w:lvlJc w:val="left"/>
      <w:pPr>
        <w:ind w:left="5040" w:hanging="360"/>
      </w:pPr>
      <w:rPr>
        <w:rFonts w:ascii="Symbol" w:hAnsi="Symbol" w:hint="default"/>
      </w:rPr>
    </w:lvl>
    <w:lvl w:ilvl="7" w:tplc="9DCC2E3E" w:tentative="1">
      <w:start w:val="1"/>
      <w:numFmt w:val="bullet"/>
      <w:lvlText w:val="o"/>
      <w:lvlJc w:val="left"/>
      <w:pPr>
        <w:ind w:left="5760" w:hanging="360"/>
      </w:pPr>
      <w:rPr>
        <w:rFonts w:ascii="Courier New" w:hAnsi="Courier New" w:cs="Courier New" w:hint="default"/>
      </w:rPr>
    </w:lvl>
    <w:lvl w:ilvl="8" w:tplc="8FB8187E" w:tentative="1">
      <w:start w:val="1"/>
      <w:numFmt w:val="bullet"/>
      <w:lvlText w:val=""/>
      <w:lvlJc w:val="left"/>
      <w:pPr>
        <w:ind w:left="6480" w:hanging="360"/>
      </w:pPr>
      <w:rPr>
        <w:rFonts w:ascii="Wingdings" w:hAnsi="Wingdings" w:hint="default"/>
      </w:rPr>
    </w:lvl>
  </w:abstractNum>
  <w:abstractNum w:abstractNumId="11" w15:restartNumberingAfterBreak="0">
    <w:nsid w:val="33C4164C"/>
    <w:multiLevelType w:val="hybridMultilevel"/>
    <w:tmpl w:val="2FC4CAEC"/>
    <w:lvl w:ilvl="0" w:tplc="C7C0BD8C">
      <w:start w:val="1"/>
      <w:numFmt w:val="bullet"/>
      <w:lvlText w:val=""/>
      <w:lvlJc w:val="left"/>
      <w:pPr>
        <w:ind w:left="720" w:hanging="360"/>
      </w:pPr>
      <w:rPr>
        <w:rFonts w:ascii="Symbol" w:hAnsi="Symbol" w:hint="default"/>
      </w:rPr>
    </w:lvl>
    <w:lvl w:ilvl="1" w:tplc="1BA85F40" w:tentative="1">
      <w:start w:val="1"/>
      <w:numFmt w:val="bullet"/>
      <w:lvlText w:val="o"/>
      <w:lvlJc w:val="left"/>
      <w:pPr>
        <w:ind w:left="1440" w:hanging="360"/>
      </w:pPr>
      <w:rPr>
        <w:rFonts w:ascii="Courier New" w:hAnsi="Courier New" w:cs="Courier New" w:hint="default"/>
      </w:rPr>
    </w:lvl>
    <w:lvl w:ilvl="2" w:tplc="8FE4921A" w:tentative="1">
      <w:start w:val="1"/>
      <w:numFmt w:val="bullet"/>
      <w:lvlText w:val=""/>
      <w:lvlJc w:val="left"/>
      <w:pPr>
        <w:ind w:left="2160" w:hanging="360"/>
      </w:pPr>
      <w:rPr>
        <w:rFonts w:ascii="Wingdings" w:hAnsi="Wingdings" w:hint="default"/>
      </w:rPr>
    </w:lvl>
    <w:lvl w:ilvl="3" w:tplc="9DEE5792" w:tentative="1">
      <w:start w:val="1"/>
      <w:numFmt w:val="bullet"/>
      <w:lvlText w:val=""/>
      <w:lvlJc w:val="left"/>
      <w:pPr>
        <w:ind w:left="2880" w:hanging="360"/>
      </w:pPr>
      <w:rPr>
        <w:rFonts w:ascii="Symbol" w:hAnsi="Symbol" w:hint="default"/>
      </w:rPr>
    </w:lvl>
    <w:lvl w:ilvl="4" w:tplc="F7480D26" w:tentative="1">
      <w:start w:val="1"/>
      <w:numFmt w:val="bullet"/>
      <w:lvlText w:val="o"/>
      <w:lvlJc w:val="left"/>
      <w:pPr>
        <w:ind w:left="3600" w:hanging="360"/>
      </w:pPr>
      <w:rPr>
        <w:rFonts w:ascii="Courier New" w:hAnsi="Courier New" w:cs="Courier New" w:hint="default"/>
      </w:rPr>
    </w:lvl>
    <w:lvl w:ilvl="5" w:tplc="A796AE70" w:tentative="1">
      <w:start w:val="1"/>
      <w:numFmt w:val="bullet"/>
      <w:lvlText w:val=""/>
      <w:lvlJc w:val="left"/>
      <w:pPr>
        <w:ind w:left="4320" w:hanging="360"/>
      </w:pPr>
      <w:rPr>
        <w:rFonts w:ascii="Wingdings" w:hAnsi="Wingdings" w:hint="default"/>
      </w:rPr>
    </w:lvl>
    <w:lvl w:ilvl="6" w:tplc="8348E554" w:tentative="1">
      <w:start w:val="1"/>
      <w:numFmt w:val="bullet"/>
      <w:lvlText w:val=""/>
      <w:lvlJc w:val="left"/>
      <w:pPr>
        <w:ind w:left="5040" w:hanging="360"/>
      </w:pPr>
      <w:rPr>
        <w:rFonts w:ascii="Symbol" w:hAnsi="Symbol" w:hint="default"/>
      </w:rPr>
    </w:lvl>
    <w:lvl w:ilvl="7" w:tplc="731EA050" w:tentative="1">
      <w:start w:val="1"/>
      <w:numFmt w:val="bullet"/>
      <w:lvlText w:val="o"/>
      <w:lvlJc w:val="left"/>
      <w:pPr>
        <w:ind w:left="5760" w:hanging="360"/>
      </w:pPr>
      <w:rPr>
        <w:rFonts w:ascii="Courier New" w:hAnsi="Courier New" w:cs="Courier New" w:hint="default"/>
      </w:rPr>
    </w:lvl>
    <w:lvl w:ilvl="8" w:tplc="B8F04A1C" w:tentative="1">
      <w:start w:val="1"/>
      <w:numFmt w:val="bullet"/>
      <w:lvlText w:val=""/>
      <w:lvlJc w:val="left"/>
      <w:pPr>
        <w:ind w:left="6480" w:hanging="360"/>
      </w:pPr>
      <w:rPr>
        <w:rFonts w:ascii="Wingdings" w:hAnsi="Wingdings" w:hint="default"/>
      </w:rPr>
    </w:lvl>
  </w:abstractNum>
  <w:abstractNum w:abstractNumId="12" w15:restartNumberingAfterBreak="0">
    <w:nsid w:val="37E80329"/>
    <w:multiLevelType w:val="hybridMultilevel"/>
    <w:tmpl w:val="E77AB84A"/>
    <w:lvl w:ilvl="0" w:tplc="45F2EA88">
      <w:start w:val="1"/>
      <w:numFmt w:val="decimal"/>
      <w:lvlText w:val="%1."/>
      <w:lvlJc w:val="left"/>
      <w:pPr>
        <w:ind w:left="720" w:hanging="360"/>
      </w:pPr>
      <w:rPr>
        <w:rFonts w:hint="default"/>
      </w:rPr>
    </w:lvl>
    <w:lvl w:ilvl="1" w:tplc="E8B2B5D2" w:tentative="1">
      <w:start w:val="1"/>
      <w:numFmt w:val="lowerLetter"/>
      <w:lvlText w:val="%2."/>
      <w:lvlJc w:val="left"/>
      <w:pPr>
        <w:ind w:left="1440" w:hanging="360"/>
      </w:pPr>
    </w:lvl>
    <w:lvl w:ilvl="2" w:tplc="DC740448" w:tentative="1">
      <w:start w:val="1"/>
      <w:numFmt w:val="lowerRoman"/>
      <w:lvlText w:val="%3."/>
      <w:lvlJc w:val="right"/>
      <w:pPr>
        <w:ind w:left="2160" w:hanging="180"/>
      </w:pPr>
    </w:lvl>
    <w:lvl w:ilvl="3" w:tplc="B4886B26" w:tentative="1">
      <w:start w:val="1"/>
      <w:numFmt w:val="decimal"/>
      <w:lvlText w:val="%4."/>
      <w:lvlJc w:val="left"/>
      <w:pPr>
        <w:ind w:left="2880" w:hanging="360"/>
      </w:pPr>
    </w:lvl>
    <w:lvl w:ilvl="4" w:tplc="0730383E" w:tentative="1">
      <w:start w:val="1"/>
      <w:numFmt w:val="lowerLetter"/>
      <w:lvlText w:val="%5."/>
      <w:lvlJc w:val="left"/>
      <w:pPr>
        <w:ind w:left="3600" w:hanging="360"/>
      </w:pPr>
    </w:lvl>
    <w:lvl w:ilvl="5" w:tplc="F9A26818" w:tentative="1">
      <w:start w:val="1"/>
      <w:numFmt w:val="lowerRoman"/>
      <w:lvlText w:val="%6."/>
      <w:lvlJc w:val="right"/>
      <w:pPr>
        <w:ind w:left="4320" w:hanging="180"/>
      </w:pPr>
    </w:lvl>
    <w:lvl w:ilvl="6" w:tplc="F6B4104A" w:tentative="1">
      <w:start w:val="1"/>
      <w:numFmt w:val="decimal"/>
      <w:lvlText w:val="%7."/>
      <w:lvlJc w:val="left"/>
      <w:pPr>
        <w:ind w:left="5040" w:hanging="360"/>
      </w:pPr>
    </w:lvl>
    <w:lvl w:ilvl="7" w:tplc="58D2CEE8" w:tentative="1">
      <w:start w:val="1"/>
      <w:numFmt w:val="lowerLetter"/>
      <w:lvlText w:val="%8."/>
      <w:lvlJc w:val="left"/>
      <w:pPr>
        <w:ind w:left="5760" w:hanging="360"/>
      </w:pPr>
    </w:lvl>
    <w:lvl w:ilvl="8" w:tplc="345C2E7A" w:tentative="1">
      <w:start w:val="1"/>
      <w:numFmt w:val="lowerRoman"/>
      <w:lvlText w:val="%9."/>
      <w:lvlJc w:val="right"/>
      <w:pPr>
        <w:ind w:left="6480" w:hanging="180"/>
      </w:pPr>
    </w:lvl>
  </w:abstractNum>
  <w:abstractNum w:abstractNumId="13"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2F4518"/>
    <w:multiLevelType w:val="hybridMultilevel"/>
    <w:tmpl w:val="ECE8279C"/>
    <w:lvl w:ilvl="0" w:tplc="E6864526">
      <w:start w:val="1"/>
      <w:numFmt w:val="bullet"/>
      <w:lvlText w:val=""/>
      <w:lvlJc w:val="left"/>
      <w:pPr>
        <w:ind w:left="360" w:hanging="360"/>
      </w:pPr>
      <w:rPr>
        <w:rFonts w:ascii="Symbol" w:hAnsi="Symbol" w:hint="default"/>
      </w:rPr>
    </w:lvl>
    <w:lvl w:ilvl="1" w:tplc="3820792C">
      <w:start w:val="1"/>
      <w:numFmt w:val="bullet"/>
      <w:lvlText w:val="o"/>
      <w:lvlJc w:val="left"/>
      <w:pPr>
        <w:ind w:left="1080" w:hanging="360"/>
      </w:pPr>
      <w:rPr>
        <w:rFonts w:ascii="Courier New" w:hAnsi="Courier New" w:cs="Courier New" w:hint="default"/>
      </w:rPr>
    </w:lvl>
    <w:lvl w:ilvl="2" w:tplc="1B6AF0CA">
      <w:start w:val="1"/>
      <w:numFmt w:val="bullet"/>
      <w:lvlText w:val="-"/>
      <w:lvlJc w:val="left"/>
      <w:pPr>
        <w:ind w:left="1800" w:hanging="360"/>
      </w:pPr>
      <w:rPr>
        <w:rFonts w:ascii="Arial" w:eastAsiaTheme="minorHAnsi" w:hAnsi="Arial" w:cs="Arial" w:hint="default"/>
      </w:rPr>
    </w:lvl>
    <w:lvl w:ilvl="3" w:tplc="FC48E29E" w:tentative="1">
      <w:start w:val="1"/>
      <w:numFmt w:val="bullet"/>
      <w:lvlText w:val=""/>
      <w:lvlJc w:val="left"/>
      <w:pPr>
        <w:ind w:left="2520" w:hanging="360"/>
      </w:pPr>
      <w:rPr>
        <w:rFonts w:ascii="Symbol" w:hAnsi="Symbol" w:hint="default"/>
      </w:rPr>
    </w:lvl>
    <w:lvl w:ilvl="4" w:tplc="449A4022" w:tentative="1">
      <w:start w:val="1"/>
      <w:numFmt w:val="bullet"/>
      <w:lvlText w:val="o"/>
      <w:lvlJc w:val="left"/>
      <w:pPr>
        <w:ind w:left="3240" w:hanging="360"/>
      </w:pPr>
      <w:rPr>
        <w:rFonts w:ascii="Courier New" w:hAnsi="Courier New" w:cs="Courier New" w:hint="default"/>
      </w:rPr>
    </w:lvl>
    <w:lvl w:ilvl="5" w:tplc="A8C6296C" w:tentative="1">
      <w:start w:val="1"/>
      <w:numFmt w:val="bullet"/>
      <w:lvlText w:val=""/>
      <w:lvlJc w:val="left"/>
      <w:pPr>
        <w:ind w:left="3960" w:hanging="360"/>
      </w:pPr>
      <w:rPr>
        <w:rFonts w:ascii="Wingdings" w:hAnsi="Wingdings" w:hint="default"/>
      </w:rPr>
    </w:lvl>
    <w:lvl w:ilvl="6" w:tplc="91F4C26E" w:tentative="1">
      <w:start w:val="1"/>
      <w:numFmt w:val="bullet"/>
      <w:lvlText w:val=""/>
      <w:lvlJc w:val="left"/>
      <w:pPr>
        <w:ind w:left="4680" w:hanging="360"/>
      </w:pPr>
      <w:rPr>
        <w:rFonts w:ascii="Symbol" w:hAnsi="Symbol" w:hint="default"/>
      </w:rPr>
    </w:lvl>
    <w:lvl w:ilvl="7" w:tplc="7A34A9B0" w:tentative="1">
      <w:start w:val="1"/>
      <w:numFmt w:val="bullet"/>
      <w:lvlText w:val="o"/>
      <w:lvlJc w:val="left"/>
      <w:pPr>
        <w:ind w:left="5400" w:hanging="360"/>
      </w:pPr>
      <w:rPr>
        <w:rFonts w:ascii="Courier New" w:hAnsi="Courier New" w:cs="Courier New" w:hint="default"/>
      </w:rPr>
    </w:lvl>
    <w:lvl w:ilvl="8" w:tplc="65168808" w:tentative="1">
      <w:start w:val="1"/>
      <w:numFmt w:val="bullet"/>
      <w:lvlText w:val=""/>
      <w:lvlJc w:val="left"/>
      <w:pPr>
        <w:ind w:left="6120" w:hanging="360"/>
      </w:pPr>
      <w:rPr>
        <w:rFonts w:ascii="Wingdings" w:hAnsi="Wingdings" w:hint="default"/>
      </w:rPr>
    </w:lvl>
  </w:abstractNum>
  <w:abstractNum w:abstractNumId="15"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B6447B"/>
    <w:multiLevelType w:val="hybridMultilevel"/>
    <w:tmpl w:val="6BFC398E"/>
    <w:lvl w:ilvl="0" w:tplc="75DA9AFC">
      <w:start w:val="1"/>
      <w:numFmt w:val="bullet"/>
      <w:lvlText w:val=""/>
      <w:lvlJc w:val="left"/>
      <w:pPr>
        <w:ind w:left="720" w:hanging="360"/>
      </w:pPr>
      <w:rPr>
        <w:rFonts w:ascii="Symbol" w:hAnsi="Symbol" w:hint="default"/>
      </w:rPr>
    </w:lvl>
    <w:lvl w:ilvl="1" w:tplc="5E6E2B34">
      <w:start w:val="1"/>
      <w:numFmt w:val="bullet"/>
      <w:lvlText w:val="o"/>
      <w:lvlJc w:val="left"/>
      <w:pPr>
        <w:ind w:left="1440" w:hanging="360"/>
      </w:pPr>
      <w:rPr>
        <w:rFonts w:ascii="Courier New" w:hAnsi="Courier New" w:cs="Courier New" w:hint="default"/>
      </w:rPr>
    </w:lvl>
    <w:lvl w:ilvl="2" w:tplc="C0286590" w:tentative="1">
      <w:start w:val="1"/>
      <w:numFmt w:val="bullet"/>
      <w:lvlText w:val=""/>
      <w:lvlJc w:val="left"/>
      <w:pPr>
        <w:ind w:left="2160" w:hanging="360"/>
      </w:pPr>
      <w:rPr>
        <w:rFonts w:ascii="Wingdings" w:hAnsi="Wingdings" w:hint="default"/>
      </w:rPr>
    </w:lvl>
    <w:lvl w:ilvl="3" w:tplc="C06ECC0A" w:tentative="1">
      <w:start w:val="1"/>
      <w:numFmt w:val="bullet"/>
      <w:lvlText w:val=""/>
      <w:lvlJc w:val="left"/>
      <w:pPr>
        <w:ind w:left="2880" w:hanging="360"/>
      </w:pPr>
      <w:rPr>
        <w:rFonts w:ascii="Symbol" w:hAnsi="Symbol" w:hint="default"/>
      </w:rPr>
    </w:lvl>
    <w:lvl w:ilvl="4" w:tplc="50040E46">
      <w:start w:val="1"/>
      <w:numFmt w:val="bullet"/>
      <w:lvlText w:val="o"/>
      <w:lvlJc w:val="left"/>
      <w:pPr>
        <w:ind w:left="3600" w:hanging="360"/>
      </w:pPr>
      <w:rPr>
        <w:rFonts w:ascii="Courier New" w:hAnsi="Courier New" w:cs="Courier New" w:hint="default"/>
      </w:rPr>
    </w:lvl>
    <w:lvl w:ilvl="5" w:tplc="08B6935C">
      <w:start w:val="1"/>
      <w:numFmt w:val="bullet"/>
      <w:lvlText w:val=""/>
      <w:lvlJc w:val="left"/>
      <w:pPr>
        <w:ind w:left="4320" w:hanging="360"/>
      </w:pPr>
      <w:rPr>
        <w:rFonts w:ascii="Wingdings" w:hAnsi="Wingdings" w:hint="default"/>
      </w:rPr>
    </w:lvl>
    <w:lvl w:ilvl="6" w:tplc="D416DBD0" w:tentative="1">
      <w:start w:val="1"/>
      <w:numFmt w:val="bullet"/>
      <w:lvlText w:val=""/>
      <w:lvlJc w:val="left"/>
      <w:pPr>
        <w:ind w:left="5040" w:hanging="360"/>
      </w:pPr>
      <w:rPr>
        <w:rFonts w:ascii="Symbol" w:hAnsi="Symbol" w:hint="default"/>
      </w:rPr>
    </w:lvl>
    <w:lvl w:ilvl="7" w:tplc="433A654A" w:tentative="1">
      <w:start w:val="1"/>
      <w:numFmt w:val="bullet"/>
      <w:lvlText w:val="o"/>
      <w:lvlJc w:val="left"/>
      <w:pPr>
        <w:ind w:left="5760" w:hanging="360"/>
      </w:pPr>
      <w:rPr>
        <w:rFonts w:ascii="Courier New" w:hAnsi="Courier New" w:cs="Courier New" w:hint="default"/>
      </w:rPr>
    </w:lvl>
    <w:lvl w:ilvl="8" w:tplc="4426E6C4" w:tentative="1">
      <w:start w:val="1"/>
      <w:numFmt w:val="bullet"/>
      <w:lvlText w:val=""/>
      <w:lvlJc w:val="left"/>
      <w:pPr>
        <w:ind w:left="6480" w:hanging="360"/>
      </w:pPr>
      <w:rPr>
        <w:rFonts w:ascii="Wingdings" w:hAnsi="Wingdings" w:hint="default"/>
      </w:rPr>
    </w:lvl>
  </w:abstractNum>
  <w:abstractNum w:abstractNumId="18"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8083893"/>
    <w:multiLevelType w:val="hybridMultilevel"/>
    <w:tmpl w:val="2D545486"/>
    <w:lvl w:ilvl="0" w:tplc="E016294A">
      <w:start w:val="1"/>
      <w:numFmt w:val="bullet"/>
      <w:lvlText w:val=""/>
      <w:lvlJc w:val="left"/>
      <w:pPr>
        <w:ind w:left="720" w:hanging="360"/>
      </w:pPr>
      <w:rPr>
        <w:rFonts w:ascii="Symbol" w:hAnsi="Symbol" w:hint="default"/>
        <w:color w:val="auto"/>
      </w:rPr>
    </w:lvl>
    <w:lvl w:ilvl="1" w:tplc="70F61600">
      <w:start w:val="1"/>
      <w:numFmt w:val="bullet"/>
      <w:lvlText w:val="o"/>
      <w:lvlJc w:val="left"/>
      <w:pPr>
        <w:ind w:left="1440" w:hanging="360"/>
      </w:pPr>
      <w:rPr>
        <w:rFonts w:ascii="Courier New" w:hAnsi="Courier New" w:cs="Courier New" w:hint="default"/>
      </w:rPr>
    </w:lvl>
    <w:lvl w:ilvl="2" w:tplc="5B124044" w:tentative="1">
      <w:start w:val="1"/>
      <w:numFmt w:val="bullet"/>
      <w:lvlText w:val=""/>
      <w:lvlJc w:val="left"/>
      <w:pPr>
        <w:ind w:left="2160" w:hanging="360"/>
      </w:pPr>
      <w:rPr>
        <w:rFonts w:ascii="Wingdings" w:hAnsi="Wingdings" w:hint="default"/>
      </w:rPr>
    </w:lvl>
    <w:lvl w:ilvl="3" w:tplc="CA6E7A64" w:tentative="1">
      <w:start w:val="1"/>
      <w:numFmt w:val="bullet"/>
      <w:lvlText w:val=""/>
      <w:lvlJc w:val="left"/>
      <w:pPr>
        <w:ind w:left="2880" w:hanging="360"/>
      </w:pPr>
      <w:rPr>
        <w:rFonts w:ascii="Symbol" w:hAnsi="Symbol" w:hint="default"/>
      </w:rPr>
    </w:lvl>
    <w:lvl w:ilvl="4" w:tplc="E60619F6" w:tentative="1">
      <w:start w:val="1"/>
      <w:numFmt w:val="bullet"/>
      <w:lvlText w:val="o"/>
      <w:lvlJc w:val="left"/>
      <w:pPr>
        <w:ind w:left="3600" w:hanging="360"/>
      </w:pPr>
      <w:rPr>
        <w:rFonts w:ascii="Courier New" w:hAnsi="Courier New" w:cs="Courier New" w:hint="default"/>
      </w:rPr>
    </w:lvl>
    <w:lvl w:ilvl="5" w:tplc="391EB780" w:tentative="1">
      <w:start w:val="1"/>
      <w:numFmt w:val="bullet"/>
      <w:lvlText w:val=""/>
      <w:lvlJc w:val="left"/>
      <w:pPr>
        <w:ind w:left="4320" w:hanging="360"/>
      </w:pPr>
      <w:rPr>
        <w:rFonts w:ascii="Wingdings" w:hAnsi="Wingdings" w:hint="default"/>
      </w:rPr>
    </w:lvl>
    <w:lvl w:ilvl="6" w:tplc="1AEEA18C" w:tentative="1">
      <w:start w:val="1"/>
      <w:numFmt w:val="bullet"/>
      <w:lvlText w:val=""/>
      <w:lvlJc w:val="left"/>
      <w:pPr>
        <w:ind w:left="5040" w:hanging="360"/>
      </w:pPr>
      <w:rPr>
        <w:rFonts w:ascii="Symbol" w:hAnsi="Symbol" w:hint="default"/>
      </w:rPr>
    </w:lvl>
    <w:lvl w:ilvl="7" w:tplc="17A461E2" w:tentative="1">
      <w:start w:val="1"/>
      <w:numFmt w:val="bullet"/>
      <w:lvlText w:val="o"/>
      <w:lvlJc w:val="left"/>
      <w:pPr>
        <w:ind w:left="5760" w:hanging="360"/>
      </w:pPr>
      <w:rPr>
        <w:rFonts w:ascii="Courier New" w:hAnsi="Courier New" w:cs="Courier New" w:hint="default"/>
      </w:rPr>
    </w:lvl>
    <w:lvl w:ilvl="8" w:tplc="AD0E861A" w:tentative="1">
      <w:start w:val="1"/>
      <w:numFmt w:val="bullet"/>
      <w:lvlText w:val=""/>
      <w:lvlJc w:val="left"/>
      <w:pPr>
        <w:ind w:left="6480" w:hanging="360"/>
      </w:pPr>
      <w:rPr>
        <w:rFonts w:ascii="Wingdings" w:hAnsi="Wingdings" w:hint="default"/>
      </w:rPr>
    </w:lvl>
  </w:abstractNum>
  <w:abstractNum w:abstractNumId="21" w15:restartNumberingAfterBreak="0">
    <w:nsid w:val="6CC22776"/>
    <w:multiLevelType w:val="hybridMultilevel"/>
    <w:tmpl w:val="B62C244C"/>
    <w:lvl w:ilvl="0" w:tplc="B1F0D0A4">
      <w:start w:val="1"/>
      <w:numFmt w:val="bullet"/>
      <w:lvlText w:val=""/>
      <w:lvlJc w:val="left"/>
      <w:pPr>
        <w:ind w:left="720" w:hanging="360"/>
      </w:pPr>
      <w:rPr>
        <w:rFonts w:ascii="Symbol" w:hAnsi="Symbol" w:hint="default"/>
      </w:rPr>
    </w:lvl>
    <w:lvl w:ilvl="1" w:tplc="DF5090B8">
      <w:start w:val="1"/>
      <w:numFmt w:val="bullet"/>
      <w:lvlText w:val="o"/>
      <w:lvlJc w:val="left"/>
      <w:pPr>
        <w:ind w:left="1440" w:hanging="360"/>
      </w:pPr>
      <w:rPr>
        <w:rFonts w:ascii="Courier New" w:hAnsi="Courier New" w:cs="Courier New" w:hint="default"/>
      </w:rPr>
    </w:lvl>
    <w:lvl w:ilvl="2" w:tplc="699018AE">
      <w:start w:val="1"/>
      <w:numFmt w:val="bullet"/>
      <w:lvlText w:val=""/>
      <w:lvlJc w:val="left"/>
      <w:pPr>
        <w:ind w:left="2160" w:hanging="360"/>
      </w:pPr>
      <w:rPr>
        <w:rFonts w:ascii="Wingdings" w:hAnsi="Wingdings" w:hint="default"/>
      </w:rPr>
    </w:lvl>
    <w:lvl w:ilvl="3" w:tplc="1F24334C" w:tentative="1">
      <w:start w:val="1"/>
      <w:numFmt w:val="bullet"/>
      <w:lvlText w:val=""/>
      <w:lvlJc w:val="left"/>
      <w:pPr>
        <w:ind w:left="2880" w:hanging="360"/>
      </w:pPr>
      <w:rPr>
        <w:rFonts w:ascii="Symbol" w:hAnsi="Symbol" w:hint="default"/>
      </w:rPr>
    </w:lvl>
    <w:lvl w:ilvl="4" w:tplc="61C2D68E" w:tentative="1">
      <w:start w:val="1"/>
      <w:numFmt w:val="bullet"/>
      <w:lvlText w:val="o"/>
      <w:lvlJc w:val="left"/>
      <w:pPr>
        <w:ind w:left="3600" w:hanging="360"/>
      </w:pPr>
      <w:rPr>
        <w:rFonts w:ascii="Courier New" w:hAnsi="Courier New" w:cs="Courier New" w:hint="default"/>
      </w:rPr>
    </w:lvl>
    <w:lvl w:ilvl="5" w:tplc="810C5176" w:tentative="1">
      <w:start w:val="1"/>
      <w:numFmt w:val="bullet"/>
      <w:lvlText w:val=""/>
      <w:lvlJc w:val="left"/>
      <w:pPr>
        <w:ind w:left="4320" w:hanging="360"/>
      </w:pPr>
      <w:rPr>
        <w:rFonts w:ascii="Wingdings" w:hAnsi="Wingdings" w:hint="default"/>
      </w:rPr>
    </w:lvl>
    <w:lvl w:ilvl="6" w:tplc="AB206482">
      <w:start w:val="1"/>
      <w:numFmt w:val="bullet"/>
      <w:lvlText w:val=""/>
      <w:lvlJc w:val="left"/>
      <w:pPr>
        <w:ind w:left="5040" w:hanging="360"/>
      </w:pPr>
      <w:rPr>
        <w:rFonts w:ascii="Symbol" w:hAnsi="Symbol" w:hint="default"/>
      </w:rPr>
    </w:lvl>
    <w:lvl w:ilvl="7" w:tplc="378A0570" w:tentative="1">
      <w:start w:val="1"/>
      <w:numFmt w:val="bullet"/>
      <w:lvlText w:val="o"/>
      <w:lvlJc w:val="left"/>
      <w:pPr>
        <w:ind w:left="5760" w:hanging="360"/>
      </w:pPr>
      <w:rPr>
        <w:rFonts w:ascii="Courier New" w:hAnsi="Courier New" w:cs="Courier New" w:hint="default"/>
      </w:rPr>
    </w:lvl>
    <w:lvl w:ilvl="8" w:tplc="DBCA8EE0" w:tentative="1">
      <w:start w:val="1"/>
      <w:numFmt w:val="bullet"/>
      <w:lvlText w:val=""/>
      <w:lvlJc w:val="left"/>
      <w:pPr>
        <w:ind w:left="6480" w:hanging="360"/>
      </w:pPr>
      <w:rPr>
        <w:rFonts w:ascii="Wingdings" w:hAnsi="Wingdings" w:hint="default"/>
      </w:rPr>
    </w:lvl>
  </w:abstractNum>
  <w:abstractNum w:abstractNumId="22" w15:restartNumberingAfterBreak="0">
    <w:nsid w:val="76BD00A0"/>
    <w:multiLevelType w:val="hybridMultilevel"/>
    <w:tmpl w:val="61FA427E"/>
    <w:lvl w:ilvl="0" w:tplc="8A0A0CBE">
      <w:start w:val="1"/>
      <w:numFmt w:val="bullet"/>
      <w:lvlText w:val=""/>
      <w:lvlJc w:val="left"/>
      <w:pPr>
        <w:ind w:left="720" w:hanging="360"/>
      </w:pPr>
      <w:rPr>
        <w:rFonts w:ascii="Symbol" w:hAnsi="Symbol" w:hint="default"/>
      </w:rPr>
    </w:lvl>
    <w:lvl w:ilvl="1" w:tplc="48D6BA5C" w:tentative="1">
      <w:start w:val="1"/>
      <w:numFmt w:val="bullet"/>
      <w:lvlText w:val="o"/>
      <w:lvlJc w:val="left"/>
      <w:pPr>
        <w:ind w:left="1440" w:hanging="360"/>
      </w:pPr>
      <w:rPr>
        <w:rFonts w:ascii="Courier New" w:hAnsi="Courier New" w:cs="Courier New" w:hint="default"/>
      </w:rPr>
    </w:lvl>
    <w:lvl w:ilvl="2" w:tplc="E2080050" w:tentative="1">
      <w:start w:val="1"/>
      <w:numFmt w:val="bullet"/>
      <w:lvlText w:val=""/>
      <w:lvlJc w:val="left"/>
      <w:pPr>
        <w:ind w:left="2160" w:hanging="360"/>
      </w:pPr>
      <w:rPr>
        <w:rFonts w:ascii="Wingdings" w:hAnsi="Wingdings" w:hint="default"/>
      </w:rPr>
    </w:lvl>
    <w:lvl w:ilvl="3" w:tplc="792623E2" w:tentative="1">
      <w:start w:val="1"/>
      <w:numFmt w:val="bullet"/>
      <w:lvlText w:val=""/>
      <w:lvlJc w:val="left"/>
      <w:pPr>
        <w:ind w:left="2880" w:hanging="360"/>
      </w:pPr>
      <w:rPr>
        <w:rFonts w:ascii="Symbol" w:hAnsi="Symbol" w:hint="default"/>
      </w:rPr>
    </w:lvl>
    <w:lvl w:ilvl="4" w:tplc="F56600D6" w:tentative="1">
      <w:start w:val="1"/>
      <w:numFmt w:val="bullet"/>
      <w:lvlText w:val="o"/>
      <w:lvlJc w:val="left"/>
      <w:pPr>
        <w:ind w:left="3600" w:hanging="360"/>
      </w:pPr>
      <w:rPr>
        <w:rFonts w:ascii="Courier New" w:hAnsi="Courier New" w:cs="Courier New" w:hint="default"/>
      </w:rPr>
    </w:lvl>
    <w:lvl w:ilvl="5" w:tplc="6408E234" w:tentative="1">
      <w:start w:val="1"/>
      <w:numFmt w:val="bullet"/>
      <w:lvlText w:val=""/>
      <w:lvlJc w:val="left"/>
      <w:pPr>
        <w:ind w:left="4320" w:hanging="360"/>
      </w:pPr>
      <w:rPr>
        <w:rFonts w:ascii="Wingdings" w:hAnsi="Wingdings" w:hint="default"/>
      </w:rPr>
    </w:lvl>
    <w:lvl w:ilvl="6" w:tplc="5EE276F2" w:tentative="1">
      <w:start w:val="1"/>
      <w:numFmt w:val="bullet"/>
      <w:lvlText w:val=""/>
      <w:lvlJc w:val="left"/>
      <w:pPr>
        <w:ind w:left="5040" w:hanging="360"/>
      </w:pPr>
      <w:rPr>
        <w:rFonts w:ascii="Symbol" w:hAnsi="Symbol" w:hint="default"/>
      </w:rPr>
    </w:lvl>
    <w:lvl w:ilvl="7" w:tplc="9DD43830" w:tentative="1">
      <w:start w:val="1"/>
      <w:numFmt w:val="bullet"/>
      <w:lvlText w:val="o"/>
      <w:lvlJc w:val="left"/>
      <w:pPr>
        <w:ind w:left="5760" w:hanging="360"/>
      </w:pPr>
      <w:rPr>
        <w:rFonts w:ascii="Courier New" w:hAnsi="Courier New" w:cs="Courier New" w:hint="default"/>
      </w:rPr>
    </w:lvl>
    <w:lvl w:ilvl="8" w:tplc="FE9E9796" w:tentative="1">
      <w:start w:val="1"/>
      <w:numFmt w:val="bullet"/>
      <w:lvlText w:val=""/>
      <w:lvlJc w:val="left"/>
      <w:pPr>
        <w:ind w:left="6480" w:hanging="360"/>
      </w:pPr>
      <w:rPr>
        <w:rFonts w:ascii="Wingdings" w:hAnsi="Wingdings" w:hint="default"/>
      </w:r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4"/>
  </w:num>
  <w:num w:numId="2" w16cid:durableId="2098823096">
    <w:abstractNumId w:val="15"/>
  </w:num>
  <w:num w:numId="3" w16cid:durableId="213465528">
    <w:abstractNumId w:val="19"/>
  </w:num>
  <w:num w:numId="4" w16cid:durableId="1380545305">
    <w:abstractNumId w:val="23"/>
  </w:num>
  <w:num w:numId="5" w16cid:durableId="1241986595">
    <w:abstractNumId w:val="5"/>
  </w:num>
  <w:num w:numId="6" w16cid:durableId="1657955551">
    <w:abstractNumId w:val="6"/>
  </w:num>
  <w:num w:numId="7" w16cid:durableId="1390375665">
    <w:abstractNumId w:val="16"/>
  </w:num>
  <w:num w:numId="8" w16cid:durableId="512770342">
    <w:abstractNumId w:val="18"/>
  </w:num>
  <w:num w:numId="9" w16cid:durableId="558129337">
    <w:abstractNumId w:val="20"/>
  </w:num>
  <w:num w:numId="10" w16cid:durableId="1365518524">
    <w:abstractNumId w:val="10"/>
  </w:num>
  <w:num w:numId="11" w16cid:durableId="1053584121">
    <w:abstractNumId w:val="17"/>
  </w:num>
  <w:num w:numId="12" w16cid:durableId="1111897710">
    <w:abstractNumId w:val="22"/>
  </w:num>
  <w:num w:numId="13" w16cid:durableId="1434477550">
    <w:abstractNumId w:val="0"/>
  </w:num>
  <w:num w:numId="14" w16cid:durableId="643857780">
    <w:abstractNumId w:val="14"/>
  </w:num>
  <w:num w:numId="15" w16cid:durableId="812482242">
    <w:abstractNumId w:val="2"/>
  </w:num>
  <w:num w:numId="16" w16cid:durableId="371883107">
    <w:abstractNumId w:val="8"/>
  </w:num>
  <w:num w:numId="17" w16cid:durableId="1990595026">
    <w:abstractNumId w:val="21"/>
  </w:num>
  <w:num w:numId="18" w16cid:durableId="1277517925">
    <w:abstractNumId w:val="7"/>
  </w:num>
  <w:num w:numId="19" w16cid:durableId="1417823946">
    <w:abstractNumId w:val="3"/>
  </w:num>
  <w:num w:numId="20" w16cid:durableId="1640574455">
    <w:abstractNumId w:val="9"/>
  </w:num>
  <w:num w:numId="21" w16cid:durableId="309333913">
    <w:abstractNumId w:val="11"/>
  </w:num>
  <w:num w:numId="22" w16cid:durableId="369497231">
    <w:abstractNumId w:val="12"/>
  </w:num>
  <w:num w:numId="23" w16cid:durableId="1053575647">
    <w:abstractNumId w:val="1"/>
  </w:num>
  <w:num w:numId="24" w16cid:durableId="155540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B49DC"/>
    <w:rsid w:val="000B524F"/>
    <w:rsid w:val="000C1550"/>
    <w:rsid w:val="000C37E5"/>
    <w:rsid w:val="000C6569"/>
    <w:rsid w:val="000F4BE1"/>
    <w:rsid w:val="000F6454"/>
    <w:rsid w:val="00105D9D"/>
    <w:rsid w:val="00142FC9"/>
    <w:rsid w:val="00145A8A"/>
    <w:rsid w:val="0015551A"/>
    <w:rsid w:val="00156C89"/>
    <w:rsid w:val="00171743"/>
    <w:rsid w:val="00172C66"/>
    <w:rsid w:val="00173AD5"/>
    <w:rsid w:val="0017738C"/>
    <w:rsid w:val="00177F14"/>
    <w:rsid w:val="00180B1C"/>
    <w:rsid w:val="001872A7"/>
    <w:rsid w:val="001B5456"/>
    <w:rsid w:val="001B5C5C"/>
    <w:rsid w:val="001C3BC5"/>
    <w:rsid w:val="00207866"/>
    <w:rsid w:val="00211A7F"/>
    <w:rsid w:val="00214564"/>
    <w:rsid w:val="00236EED"/>
    <w:rsid w:val="00244938"/>
    <w:rsid w:val="002454DF"/>
    <w:rsid w:val="00277D7A"/>
    <w:rsid w:val="00295984"/>
    <w:rsid w:val="002D7A1A"/>
    <w:rsid w:val="003171C6"/>
    <w:rsid w:val="00381F07"/>
    <w:rsid w:val="003959A5"/>
    <w:rsid w:val="003A1CD0"/>
    <w:rsid w:val="003C2B86"/>
    <w:rsid w:val="003D6913"/>
    <w:rsid w:val="00430856"/>
    <w:rsid w:val="00434E14"/>
    <w:rsid w:val="00447E5E"/>
    <w:rsid w:val="004A0CF6"/>
    <w:rsid w:val="004A1B11"/>
    <w:rsid w:val="004B2130"/>
    <w:rsid w:val="00514250"/>
    <w:rsid w:val="00563939"/>
    <w:rsid w:val="00577783"/>
    <w:rsid w:val="005A6BF7"/>
    <w:rsid w:val="005A7EB2"/>
    <w:rsid w:val="005C5E21"/>
    <w:rsid w:val="005F2C5C"/>
    <w:rsid w:val="005F3566"/>
    <w:rsid w:val="00625AEE"/>
    <w:rsid w:val="0065795D"/>
    <w:rsid w:val="00673C5E"/>
    <w:rsid w:val="006B08BA"/>
    <w:rsid w:val="006B32D5"/>
    <w:rsid w:val="006C2E6D"/>
    <w:rsid w:val="006D2EE6"/>
    <w:rsid w:val="006D3169"/>
    <w:rsid w:val="006D3B53"/>
    <w:rsid w:val="006F77F5"/>
    <w:rsid w:val="006F7E24"/>
    <w:rsid w:val="00701011"/>
    <w:rsid w:val="00704279"/>
    <w:rsid w:val="0078333F"/>
    <w:rsid w:val="00793422"/>
    <w:rsid w:val="007A6A8E"/>
    <w:rsid w:val="007A7AD0"/>
    <w:rsid w:val="007B0BF6"/>
    <w:rsid w:val="007E6504"/>
    <w:rsid w:val="00847102"/>
    <w:rsid w:val="008548E4"/>
    <w:rsid w:val="0086470B"/>
    <w:rsid w:val="00880CAD"/>
    <w:rsid w:val="00914E38"/>
    <w:rsid w:val="00937196"/>
    <w:rsid w:val="00955471"/>
    <w:rsid w:val="009908A1"/>
    <w:rsid w:val="009964A4"/>
    <w:rsid w:val="009B0A3F"/>
    <w:rsid w:val="009C4A6F"/>
    <w:rsid w:val="009E6F00"/>
    <w:rsid w:val="00A03BA7"/>
    <w:rsid w:val="00A24C7D"/>
    <w:rsid w:val="00A40C60"/>
    <w:rsid w:val="00A43475"/>
    <w:rsid w:val="00AA7D28"/>
    <w:rsid w:val="00AB0F2F"/>
    <w:rsid w:val="00AB1166"/>
    <w:rsid w:val="00AB27C1"/>
    <w:rsid w:val="00AF090D"/>
    <w:rsid w:val="00AF33CA"/>
    <w:rsid w:val="00AF4B5F"/>
    <w:rsid w:val="00B204FF"/>
    <w:rsid w:val="00B20DA0"/>
    <w:rsid w:val="00B321BF"/>
    <w:rsid w:val="00B33273"/>
    <w:rsid w:val="00B57215"/>
    <w:rsid w:val="00BB69C2"/>
    <w:rsid w:val="00BF53F9"/>
    <w:rsid w:val="00C06E42"/>
    <w:rsid w:val="00C13FE7"/>
    <w:rsid w:val="00C2433D"/>
    <w:rsid w:val="00C54CF3"/>
    <w:rsid w:val="00CB06D5"/>
    <w:rsid w:val="00CF143F"/>
    <w:rsid w:val="00D45157"/>
    <w:rsid w:val="00D51FFC"/>
    <w:rsid w:val="00D56E2A"/>
    <w:rsid w:val="00D57D2B"/>
    <w:rsid w:val="00D659E0"/>
    <w:rsid w:val="00D73AB8"/>
    <w:rsid w:val="00DB5E09"/>
    <w:rsid w:val="00DD727D"/>
    <w:rsid w:val="00E225B3"/>
    <w:rsid w:val="00E52ACC"/>
    <w:rsid w:val="00E70C6F"/>
    <w:rsid w:val="00EA168D"/>
    <w:rsid w:val="00EA48EB"/>
    <w:rsid w:val="00EB491E"/>
    <w:rsid w:val="00EC0897"/>
    <w:rsid w:val="00EC540A"/>
    <w:rsid w:val="00EF4BC9"/>
    <w:rsid w:val="00F25AA8"/>
    <w:rsid w:val="00F30A2C"/>
    <w:rsid w:val="00F33272"/>
    <w:rsid w:val="00F43F0B"/>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295984"/>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295984"/>
    <w:pPr>
      <w:tabs>
        <w:tab w:val="right" w:leader="dot" w:pos="9346"/>
      </w:tabs>
      <w:spacing w:after="100" w:line="260" w:lineRule="exact"/>
    </w:pPr>
  </w:style>
  <w:style w:type="paragraph" w:styleId="TOC2">
    <w:name w:val="toc 2"/>
    <w:basedOn w:val="Normal"/>
    <w:next w:val="Normal"/>
    <w:autoRedefine/>
    <w:uiPriority w:val="39"/>
    <w:unhideWhenUsed/>
    <w:qFormat/>
    <w:rsid w:val="00295984"/>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295984"/>
    <w:pPr>
      <w:tabs>
        <w:tab w:val="left" w:pos="1100"/>
        <w:tab w:val="right" w:leader="dot" w:pos="9346"/>
      </w:tabs>
      <w:spacing w:after="100" w:line="260" w:lineRule="exact"/>
      <w:ind w:left="400"/>
    </w:pPr>
  </w:style>
  <w:style w:type="character" w:styleId="CommentReference">
    <w:name w:val="annotation reference"/>
    <w:basedOn w:val="DefaultParagraphFont"/>
    <w:uiPriority w:val="99"/>
    <w:unhideWhenUsed/>
    <w:rsid w:val="00295984"/>
    <w:rPr>
      <w:sz w:val="16"/>
      <w:szCs w:val="16"/>
    </w:rPr>
  </w:style>
  <w:style w:type="character" w:customStyle="1" w:styleId="title-text">
    <w:name w:val="title-text"/>
    <w:basedOn w:val="DefaultParagraphFont"/>
    <w:rsid w:val="00295984"/>
  </w:style>
  <w:style w:type="paragraph" w:styleId="FootnoteText">
    <w:name w:val="footnote text"/>
    <w:basedOn w:val="Normal"/>
    <w:link w:val="FootnoteTextChar"/>
    <w:uiPriority w:val="99"/>
    <w:unhideWhenUsed/>
    <w:rsid w:val="00295984"/>
    <w:pPr>
      <w:spacing w:after="0"/>
    </w:pPr>
    <w:rPr>
      <w:szCs w:val="20"/>
    </w:rPr>
  </w:style>
  <w:style w:type="character" w:customStyle="1" w:styleId="FootnoteTextChar">
    <w:name w:val="Footnote Text Char"/>
    <w:basedOn w:val="DefaultParagraphFont"/>
    <w:link w:val="FootnoteText"/>
    <w:uiPriority w:val="99"/>
    <w:rsid w:val="00295984"/>
    <w:rPr>
      <w:rFonts w:ascii="Arial" w:hAnsi="Arial"/>
      <w:sz w:val="20"/>
      <w:szCs w:val="20"/>
    </w:rPr>
  </w:style>
  <w:style w:type="character" w:styleId="FootnoteReference">
    <w:name w:val="footnote reference"/>
    <w:basedOn w:val="DefaultParagraphFont"/>
    <w:uiPriority w:val="99"/>
    <w:semiHidden/>
    <w:unhideWhenUsed/>
    <w:rsid w:val="00295984"/>
    <w:rPr>
      <w:vertAlign w:val="superscript"/>
    </w:rPr>
  </w:style>
  <w:style w:type="character" w:customStyle="1" w:styleId="normaltextrun">
    <w:name w:val="normaltextrun"/>
    <w:basedOn w:val="DefaultParagraphFont"/>
    <w:rsid w:val="0029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reasury.qld.gov.au/programs-and-policies/project-assessment-framework/" TargetMode="External"/><Relationship Id="rId18" Type="http://schemas.openxmlformats.org/officeDocument/2006/relationships/hyperlink" Target="https://www.forgov.qld.gov.au/__data/assets/pdf_file/0021/367023/queensland-procurement-policy-2023.pdf" TargetMode="External"/><Relationship Id="rId26" Type="http://schemas.openxmlformats.org/officeDocument/2006/relationships/hyperlink" Target="https://www.buyingfor.vic.gov.au/introduction-social-procurement-framework" TargetMode="External"/><Relationship Id="rId39" Type="http://schemas.openxmlformats.org/officeDocument/2006/relationships/header" Target="header1.xml"/><Relationship Id="rId21" Type="http://schemas.openxmlformats.org/officeDocument/2006/relationships/hyperlink" Target="https://www.forgov.qld.gov.au/finance-and-procurement/procurement/procurement-resources/procurement-guidance" TargetMode="External"/><Relationship Id="rId34" Type="http://schemas.openxmlformats.org/officeDocument/2006/relationships/hyperlink" Target="https://www.tideway.london/media/6069/tideway_social-impact-technical-report-1.pdf"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orgov.qld.gov.au/__data/assets/pdf_file/0021/367023/queensland-procurement-policy-2023.pdf" TargetMode="External"/><Relationship Id="rId20" Type="http://schemas.openxmlformats.org/officeDocument/2006/relationships/hyperlink" Target="mailto:betterprocurement@epw.qld.gov.au" TargetMode="External"/><Relationship Id="rId29" Type="http://schemas.openxmlformats.org/officeDocument/2006/relationships/hyperlink" Target="https://www.dts.qld.gov.au/__data/assets/pdf_file/0007/1897963/gc2018-beyondthegames-legacy-report.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24" Type="http://schemas.openxmlformats.org/officeDocument/2006/relationships/hyperlink" Target="https://www.socialvalueportal.com/measurement" TargetMode="External"/><Relationship Id="rId32" Type="http://schemas.openxmlformats.org/officeDocument/2006/relationships/hyperlink" Target="https://www.sciencedirect.com/science/article/pii/S073988592100041X" TargetMode="External"/><Relationship Id="rId37" Type="http://schemas.openxmlformats.org/officeDocument/2006/relationships/hyperlink" Target="https://www.tmr.qld.gov.au/projects/programs/queensland-train-manufacturing-program"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tmr.qld.gov.au/business-industry/onq-project-management-framework" TargetMode="External"/><Relationship Id="rId23" Type="http://schemas.openxmlformats.org/officeDocument/2006/relationships/hyperlink" Target="https://www.local.gov.uk/sites/default/files/documents/District%20Councils%20Social%20Value%20Toolkit%20Final_0.pdf" TargetMode="External"/><Relationship Id="rId28" Type="http://schemas.openxmlformats.org/officeDocument/2006/relationships/hyperlink" Target="https://www.dts.qld.gov.au/__data/assets/pdf_file/0007/1897963/gc2018-beyondthegames-legacy-report.pdf" TargetMode="External"/><Relationship Id="rId36" Type="http://schemas.openxmlformats.org/officeDocument/2006/relationships/hyperlink" Target="https://www.uts.edu.au/sites/default/files/2023-12/Maximising_social_value_from_infrastructure_projects_v1.1.pdf" TargetMode="External"/><Relationship Id="rId10" Type="http://schemas.openxmlformats.org/officeDocument/2006/relationships/image" Target="media/image1.emf"/><Relationship Id="rId19" Type="http://schemas.openxmlformats.org/officeDocument/2006/relationships/hyperlink" Target="https://www.forgov.qld.gov.au/finance-and-procurement/procurement/procurement-resources/procurement-policies-and-frameworks/queensland-procurement-policy-2023/procurement-process/sourcing-evaluation-and-contract-formation" TargetMode="External"/><Relationship Id="rId31" Type="http://schemas.openxmlformats.org/officeDocument/2006/relationships/hyperlink" Target="https://www.jacobs.com/depth/delivering-social-value-thames-tidew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rgov.qld.gov.au/property-land-and-infrastructure/manage-government-buildings-and-assets/building-frameworks/building-policy-framework" TargetMode="External"/><Relationship Id="rId22" Type="http://schemas.openxmlformats.org/officeDocument/2006/relationships/hyperlink" Target="https://www.forgov.qld.gov.au/finance-and-procurement/procurement/procurement-resources/consider-social-procurement" TargetMode="External"/><Relationship Id="rId27" Type="http://schemas.openxmlformats.org/officeDocument/2006/relationships/hyperlink" Target="https://www.buyingfor.vic.gov.au/social-procurement-framework-requirements-and-expectations" TargetMode="External"/><Relationship Id="rId30" Type="http://schemas.openxmlformats.org/officeDocument/2006/relationships/hyperlink" Target="https://infrastructuredeliverymodels.gihub.org/case-studies/thames-tideway-tunnel/" TargetMode="External"/><Relationship Id="rId35" Type="http://schemas.openxmlformats.org/officeDocument/2006/relationships/hyperlink" Target="https://www.tideway.london/media/5689/tideway-sustainability-report-2022.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forgov.qld.gov.au/finance-and-procurement/procurement/procurement-resources/procurement-policies-and-frameworks/queensland-procurement-policy-2023/procurement-process/sourcing-evaluation-and-contract-formation" TargetMode="External"/><Relationship Id="rId17" Type="http://schemas.openxmlformats.org/officeDocument/2006/relationships/hyperlink" Target="https://www.forgov.qld.gov.au/finance-and-procurement/procurement/procurement-resources/procurement-policies-and-frameworks/queensland-procurement-policy-2023/procurement-principles" TargetMode="External"/><Relationship Id="rId25" Type="http://schemas.openxmlformats.org/officeDocument/2006/relationships/hyperlink" Target="https://www.uts.edu.au/sites/default/files/2023-12/Maximising_social_value_from_infrastructure_projects_v1.1.pdf" TargetMode="External"/><Relationship Id="rId33" Type="http://schemas.openxmlformats.org/officeDocument/2006/relationships/hyperlink" Target="https://www.tideway.london/media/4370/tideway-suppliers-guide.pdf" TargetMode="External"/><Relationship Id="rId38" Type="http://schemas.openxmlformats.org/officeDocument/2006/relationships/hyperlink" Target="Tradi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esbt.qld.gov.au/employment/support-employers/workforce-strategy" TargetMode="External"/><Relationship Id="rId13" Type="http://schemas.openxmlformats.org/officeDocument/2006/relationships/hyperlink" Target="https://etender.hpw.qld.gov.au/" TargetMode="External"/><Relationship Id="rId3" Type="http://schemas.openxmlformats.org/officeDocument/2006/relationships/hyperlink" Target="https://q2032.au/plans/games-legacy" TargetMode="External"/><Relationship Id="rId7" Type="http://schemas.openxmlformats.org/officeDocument/2006/relationships/hyperlink" Target="https://www.forgov.qld.gov.au/finance-and-procurement/procurement/procurement-resources/consider-social-procurement" TargetMode="External"/><Relationship Id="rId12" Type="http://schemas.openxmlformats.org/officeDocument/2006/relationships/hyperlink" Target="https://qtenders.epw.qld.gov.au/qtenders/" TargetMode="External"/><Relationship Id="rId2" Type="http://schemas.openxmlformats.org/officeDocument/2006/relationships/hyperlink" Target="https://www.oliverwyman.com/content/dam/oliver-wyman/v2/publications/2017/mar/strategic-collaboration-in-procurement-final2.pdf" TargetMode="External"/><Relationship Id="rId1" Type="http://schemas.openxmlformats.org/officeDocument/2006/relationships/hyperlink" Target="https://www.forgov.qld.gov.au/information-and-communication-technology/queensland-government-enterprise-architecture-qgea/ict-investment-review" TargetMode="External"/><Relationship Id="rId6" Type="http://schemas.openxmlformats.org/officeDocument/2006/relationships/hyperlink" Target="https://www.uts.edu.au/sites/default/files/2023-12/Maximising_social_value_from_infrastructure_projects_v1.1.pdf" TargetMode="External"/><Relationship Id="rId11" Type="http://schemas.openxmlformats.org/officeDocument/2006/relationships/hyperlink" Target="https://qtenders.epw.qld.gov.au/fpp/" TargetMode="External"/><Relationship Id="rId5" Type="http://schemas.openxmlformats.org/officeDocument/2006/relationships/hyperlink" Target="https://www.uts.edu.au/sites/default/files/2023-12/Maximising_social_value_from_infrastructure_projects_v1.1.pdf" TargetMode="External"/><Relationship Id="rId15" Type="http://schemas.openxmlformats.org/officeDocument/2006/relationships/hyperlink" Target="https://www.forgov.qld.gov.au/finance-and-procurement/procurement/procurement-resources/search-for-procurement-policies-resources-tools-and-templates/managing-and-monitoring-supplier-performance" TargetMode="External"/><Relationship Id="rId10" Type="http://schemas.openxmlformats.org/officeDocument/2006/relationships/hyperlink" Target="https://www.forgov.qld.gov.au/finance-and-procurement/procurement/procurement-resources/search-for-procurement-policies-resources-tools-and-templates/evaluating-offers" TargetMode="External"/><Relationship Id="rId4" Type="http://schemas.openxmlformats.org/officeDocument/2006/relationships/hyperlink" Target="https://www.tideway.london/media/5689/tideway-sustainability-report-2022.pdf" TargetMode="External"/><Relationship Id="rId9" Type="http://schemas.openxmlformats.org/officeDocument/2006/relationships/hyperlink" Target="https://s3.treasury.qld.gov.au/files/paf-benefits-realisation.pdf?v=3" TargetMode="External"/><Relationship Id="rId14" Type="http://schemas.openxmlformats.org/officeDocument/2006/relationships/hyperlink" Target="https://www.forgov.qld.gov.au/finance-and-procurement/procurement/procurement-resources/manage-a-contr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35E35-A229-49C6-B75E-B27C2ED723D1}">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5ec4e1a3-9465-43a5-9858-85b06e73710c"/>
    <ds:schemaRef ds:uri="2f64b93e-5338-4201-ad42-2a14a08fead3"/>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A3AF60E-B7BB-460D-A69C-68D448FC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4B937-E042-4D4C-A7B7-03A930FE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5385</Words>
  <Characters>30696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Enduring community value guide</dc:title>
  <dc:subject/>
  <dc:creator>Queensland Government</dc:creator>
  <cp:keywords>A4, portrait, template, cover, document</cp:keywords>
  <dc:description/>
  <cp:lastModifiedBy>Berta Fernandez</cp:lastModifiedBy>
  <cp:revision>10</cp:revision>
  <cp:lastPrinted>2025-08-28T00:44:00Z</cp:lastPrinted>
  <dcterms:created xsi:type="dcterms:W3CDTF">2025-06-05T04:50:00Z</dcterms:created>
  <dcterms:modified xsi:type="dcterms:W3CDTF">2025-08-28T00:45:00Z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