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43A0D26" w:rsidP="00384FEB">
      <w:pPr>
        <w:pStyle w:val="QGEA"/>
      </w:pPr>
      <w:r>
        <w:t>Queensland Government Enterprise Architecture</w:t>
      </w:r>
    </w:p>
    <w:p w:rsidR="00384FEB" w:rsidRDefault="043A0D26" w:rsidP="00384FEB">
      <w:pPr>
        <w:pStyle w:val="Titlepageheading"/>
        <w:pBdr>
          <w:bottom w:val="none" w:sz="0" w:space="0" w:color="auto"/>
        </w:pBdr>
        <w:spacing w:before="240"/>
      </w:pPr>
      <w:r>
        <w:t>ICT as-a-</w:t>
      </w:r>
      <w:r w:rsidR="002E48AB">
        <w:t>s</w:t>
      </w:r>
      <w:r>
        <w:t>ervice security assurance guideline</w:t>
      </w:r>
    </w:p>
    <w:p w:rsidR="00A049F6" w:rsidRPr="00384FEB" w:rsidRDefault="00A049F6" w:rsidP="00766CCB">
      <w:pPr>
        <w:rPr>
          <w:sz w:val="30"/>
          <w:szCs w:val="30"/>
        </w:rPr>
      </w:pP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212916" w:rsidRPr="00515C49" w:rsidRDefault="006C3F39" w:rsidP="00212916">
      <w:pPr>
        <w:pStyle w:val="TitlePageOptionalTextLine"/>
        <w:spacing w:before="180" w:after="60" w:line="264" w:lineRule="auto"/>
        <w:rPr>
          <w:rFonts w:cs="Arial"/>
          <w:color w:val="595959"/>
        </w:rPr>
      </w:pPr>
      <w:r>
        <w:rPr>
          <w:rFonts w:eastAsia="Arial" w:cs="Arial"/>
          <w:color w:val="336699"/>
        </w:rPr>
        <w:t>Final</w:t>
      </w:r>
    </w:p>
    <w:p w:rsidR="00212916" w:rsidRPr="00515C49" w:rsidRDefault="043A0D26" w:rsidP="00212916">
      <w:pPr>
        <w:spacing w:before="180" w:after="60" w:line="264" w:lineRule="auto"/>
        <w:rPr>
          <w:rFonts w:cs="Arial"/>
          <w:color w:val="336699"/>
          <w:sz w:val="30"/>
          <w:szCs w:val="24"/>
        </w:rPr>
      </w:pPr>
      <w:r w:rsidRPr="043A0D26">
        <w:rPr>
          <w:rFonts w:eastAsia="Arial" w:cs="Arial"/>
          <w:color w:val="336699"/>
          <w:sz w:val="30"/>
          <w:szCs w:val="30"/>
        </w:rPr>
        <w:t>June 2016</w:t>
      </w:r>
    </w:p>
    <w:p w:rsidR="00212916" w:rsidRPr="00515C49" w:rsidRDefault="006C3F39" w:rsidP="00212916">
      <w:pPr>
        <w:spacing w:before="180" w:after="60" w:line="264" w:lineRule="auto"/>
        <w:rPr>
          <w:rFonts w:cs="Arial"/>
          <w:color w:val="336699"/>
          <w:sz w:val="30"/>
          <w:szCs w:val="24"/>
        </w:rPr>
      </w:pPr>
      <w:r>
        <w:rPr>
          <w:rFonts w:eastAsia="Arial" w:cs="Arial"/>
          <w:color w:val="336699"/>
          <w:sz w:val="30"/>
          <w:szCs w:val="30"/>
        </w:rPr>
        <w:t>V1.0.0</w:t>
      </w:r>
    </w:p>
    <w:p w:rsidR="00212916" w:rsidRPr="00515C49" w:rsidRDefault="00212916" w:rsidP="00212916">
      <w:pPr>
        <w:spacing w:before="360" w:after="240" w:line="264" w:lineRule="auto"/>
        <w:rPr>
          <w:rFonts w:cs="Arial"/>
        </w:rPr>
      </w:pPr>
    </w:p>
    <w:p w:rsidR="00EF2086" w:rsidRPr="00384FEB" w:rsidRDefault="006C3F39" w:rsidP="00212916">
      <w:pPr>
        <w:spacing w:before="180" w:after="60" w:line="264" w:lineRule="auto"/>
        <w:rPr>
          <w:color w:val="336699"/>
          <w:sz w:val="30"/>
          <w:szCs w:val="24"/>
        </w:rPr>
      </w:pPr>
      <w:r>
        <w:rPr>
          <w:rFonts w:eastAsia="Arial" w:cs="Arial"/>
          <w:color w:val="336699"/>
          <w:sz w:val="30"/>
          <w:szCs w:val="30"/>
        </w:rPr>
        <w:t>PUBLIC</w:t>
      </w:r>
    </w:p>
    <w:p w:rsidR="00506597" w:rsidRDefault="00506597" w:rsidP="00766CCB">
      <w:r>
        <w:br w:type="page"/>
      </w:r>
    </w:p>
    <w:p w:rsidR="00C40C29" w:rsidRPr="00831408" w:rsidRDefault="043A0D26" w:rsidP="043A0D26">
      <w:pPr>
        <w:pStyle w:val="Heading2nonumber"/>
      </w:pPr>
      <w:r>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4"/>
        <w:gridCol w:w="446"/>
        <w:gridCol w:w="1700"/>
        <w:gridCol w:w="343"/>
        <w:gridCol w:w="2380"/>
        <w:gridCol w:w="452"/>
        <w:gridCol w:w="1667"/>
      </w:tblGrid>
      <w:tr w:rsidR="00212916" w:rsidRPr="00EE390B" w:rsidTr="043A0D26">
        <w:tc>
          <w:tcPr>
            <w:cnfStyle w:val="001000000000" w:firstRow="0" w:lastRow="0" w:firstColumn="1" w:lastColumn="0" w:oddVBand="0" w:evenVBand="0" w:oddHBand="0" w:evenHBand="0" w:firstRowFirstColumn="0" w:firstRowLastColumn="0" w:lastRowFirstColumn="0" w:lastRowLastColumn="0"/>
            <w:tcW w:w="2660" w:type="dxa"/>
          </w:tcPr>
          <w:p w:rsidR="00212916" w:rsidRPr="00BE083C" w:rsidRDefault="043A0D26" w:rsidP="00212916">
            <w:pPr>
              <w:pStyle w:val="TableText"/>
              <w:rPr>
                <w:b/>
                <w:bCs/>
              </w:rPr>
            </w:pPr>
            <w:r w:rsidRPr="043A0D26">
              <w:rPr>
                <w:b/>
                <w:bCs/>
              </w:rPr>
              <w:t>Security classification</w:t>
            </w:r>
          </w:p>
        </w:tc>
        <w:tc>
          <w:tcPr>
            <w:tcW w:w="6962" w:type="dxa"/>
            <w:gridSpan w:val="6"/>
          </w:tcPr>
          <w:p w:rsidR="00212916" w:rsidRPr="00515C49" w:rsidRDefault="00136375" w:rsidP="00212916">
            <w:pPr>
              <w:pStyle w:val="TableTex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PUBLIC</w:t>
            </w:r>
          </w:p>
        </w:tc>
      </w:tr>
      <w:tr w:rsidR="00212916" w:rsidTr="043A0D26">
        <w:tc>
          <w:tcPr>
            <w:cnfStyle w:val="001000000000" w:firstRow="0" w:lastRow="0" w:firstColumn="1" w:lastColumn="0" w:oddVBand="0" w:evenVBand="0" w:oddHBand="0" w:evenHBand="0" w:firstRowFirstColumn="0" w:firstRowLastColumn="0" w:lastRowFirstColumn="0" w:lastRowLastColumn="0"/>
            <w:tcW w:w="2660" w:type="dxa"/>
          </w:tcPr>
          <w:p w:rsidR="00212916" w:rsidRPr="00BE083C" w:rsidRDefault="043A0D26" w:rsidP="00212916">
            <w:pPr>
              <w:pStyle w:val="TableText"/>
              <w:rPr>
                <w:b/>
                <w:bCs/>
              </w:rPr>
            </w:pPr>
            <w:r w:rsidRPr="043A0D26">
              <w:rPr>
                <w:b/>
                <w:bCs/>
              </w:rPr>
              <w:t>Date of review of security classification</w:t>
            </w:r>
          </w:p>
        </w:tc>
        <w:tc>
          <w:tcPr>
            <w:tcW w:w="6962" w:type="dxa"/>
            <w:gridSpan w:val="6"/>
          </w:tcPr>
          <w:p w:rsidR="00212916" w:rsidRPr="00515C49" w:rsidRDefault="002E48AB" w:rsidP="00136375">
            <w:pPr>
              <w:pStyle w:val="TableTex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June 2016</w:t>
            </w:r>
          </w:p>
        </w:tc>
      </w:tr>
      <w:tr w:rsidR="00212916" w:rsidTr="043A0D26">
        <w:tc>
          <w:tcPr>
            <w:cnfStyle w:val="001000000000" w:firstRow="0" w:lastRow="0" w:firstColumn="1" w:lastColumn="0" w:oddVBand="0" w:evenVBand="0" w:oddHBand="0" w:evenHBand="0" w:firstRowFirstColumn="0" w:firstRowLastColumn="0" w:lastRowFirstColumn="0" w:lastRowLastColumn="0"/>
            <w:tcW w:w="2660" w:type="dxa"/>
          </w:tcPr>
          <w:p w:rsidR="00212916" w:rsidRPr="00BE083C" w:rsidRDefault="043A0D26" w:rsidP="00212916">
            <w:pPr>
              <w:pStyle w:val="TableText"/>
              <w:rPr>
                <w:b/>
                <w:bCs/>
              </w:rPr>
            </w:pPr>
            <w:r w:rsidRPr="043A0D26">
              <w:rPr>
                <w:b/>
                <w:bCs/>
              </w:rPr>
              <w:t>Authority</w:t>
            </w:r>
          </w:p>
        </w:tc>
        <w:tc>
          <w:tcPr>
            <w:tcW w:w="6962" w:type="dxa"/>
            <w:gridSpan w:val="6"/>
          </w:tcPr>
          <w:p w:rsidR="00212916" w:rsidRPr="00515C49" w:rsidRDefault="043A0D26" w:rsidP="00212916">
            <w:pPr>
              <w:pStyle w:val="TableText"/>
              <w:cnfStyle w:val="000000000000" w:firstRow="0" w:lastRow="0" w:firstColumn="0" w:lastColumn="0" w:oddVBand="0" w:evenVBand="0" w:oddHBand="0" w:evenHBand="0" w:firstRowFirstColumn="0" w:firstRowLastColumn="0" w:lastRowFirstColumn="0" w:lastRowLastColumn="0"/>
              <w:rPr>
                <w:rFonts w:eastAsia="Arial" w:cs="Arial"/>
              </w:rPr>
            </w:pPr>
            <w:r w:rsidRPr="043A0D26">
              <w:rPr>
                <w:rFonts w:eastAsia="Arial" w:cs="Arial"/>
              </w:rPr>
              <w:t>Queensland Government Chief Information Officer</w:t>
            </w:r>
          </w:p>
        </w:tc>
      </w:tr>
      <w:tr w:rsidR="00212916" w:rsidTr="043A0D26">
        <w:tc>
          <w:tcPr>
            <w:cnfStyle w:val="001000000000" w:firstRow="0" w:lastRow="0" w:firstColumn="1" w:lastColumn="0" w:oddVBand="0" w:evenVBand="0" w:oddHBand="0" w:evenHBand="0" w:firstRowFirstColumn="0" w:firstRowLastColumn="0" w:lastRowFirstColumn="0" w:lastRowLastColumn="0"/>
            <w:tcW w:w="2660" w:type="dxa"/>
          </w:tcPr>
          <w:p w:rsidR="00212916" w:rsidRPr="00BE083C" w:rsidRDefault="043A0D26" w:rsidP="00212916">
            <w:pPr>
              <w:pStyle w:val="TableText"/>
              <w:rPr>
                <w:b/>
                <w:bCs/>
              </w:rPr>
            </w:pPr>
            <w:r w:rsidRPr="043A0D26">
              <w:rPr>
                <w:b/>
                <w:bCs/>
              </w:rPr>
              <w:t>Author</w:t>
            </w:r>
          </w:p>
        </w:tc>
        <w:tc>
          <w:tcPr>
            <w:tcW w:w="6962" w:type="dxa"/>
            <w:gridSpan w:val="6"/>
          </w:tcPr>
          <w:p w:rsidR="00212916" w:rsidRPr="00515C49" w:rsidRDefault="043A0D26" w:rsidP="00212916">
            <w:pPr>
              <w:pStyle w:val="TableText"/>
              <w:cnfStyle w:val="000000000000" w:firstRow="0" w:lastRow="0" w:firstColumn="0" w:lastColumn="0" w:oddVBand="0" w:evenVBand="0" w:oddHBand="0" w:evenHBand="0" w:firstRowFirstColumn="0" w:firstRowLastColumn="0" w:lastRowFirstColumn="0" w:lastRowLastColumn="0"/>
              <w:rPr>
                <w:rFonts w:eastAsia="Arial" w:cs="Arial"/>
              </w:rPr>
            </w:pPr>
            <w:r w:rsidRPr="043A0D26">
              <w:rPr>
                <w:rFonts w:eastAsia="Arial" w:cs="Arial"/>
              </w:rPr>
              <w:t>Department of Science, Information Technology and Innovation, ICT Modernisation</w:t>
            </w:r>
          </w:p>
        </w:tc>
      </w:tr>
      <w:tr w:rsidR="006334ED" w:rsidRPr="00EE390B" w:rsidTr="043A0D2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43A0D26" w:rsidP="006517B2">
            <w:pPr>
              <w:pStyle w:val="TableText"/>
              <w:rPr>
                <w:b/>
                <w:bCs/>
              </w:rPr>
            </w:pPr>
            <w:r w:rsidRPr="043A0D26">
              <w:rPr>
                <w:b/>
                <w:bCs/>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43A0D26" w:rsidP="006517B2">
            <w:pPr>
              <w:pStyle w:val="TableText"/>
              <w:cnfStyle w:val="010000000000" w:firstRow="0" w:lastRow="1" w:firstColumn="0" w:lastColumn="0" w:oddVBand="0" w:evenVBand="0" w:oddHBand="0" w:evenHBand="0" w:firstRowFirstColumn="0" w:firstRowLastColumn="0" w:lastRowFirstColumn="0" w:lastRowLastColumn="0"/>
            </w:pPr>
            <w:r>
              <w:t>Working draft</w:t>
            </w:r>
          </w:p>
        </w:tc>
        <w:tc>
          <w:tcPr>
            <w:tcW w:w="3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43A0D26" w:rsidP="006517B2">
            <w:pPr>
              <w:pStyle w:val="TableText"/>
              <w:cnfStyle w:val="010000000000" w:firstRow="0" w:lastRow="1" w:firstColumn="0" w:lastColumn="0" w:oddVBand="0" w:evenVBand="0" w:oddHBand="0" w:evenHBand="0" w:firstRowFirstColumn="0" w:firstRowLastColumn="0" w:lastRowFirstColumn="0" w:lastRowLastColumn="0"/>
            </w:pPr>
            <w:r>
              <w:t>Consultation release</w:t>
            </w:r>
          </w:p>
        </w:tc>
        <w:tc>
          <w:tcPr>
            <w:tcW w:w="3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136375"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6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43A0D26" w:rsidP="006517B2">
            <w:pPr>
              <w:pStyle w:val="TableText"/>
              <w:cnfStyle w:val="010000000000" w:firstRow="0" w:lastRow="1" w:firstColumn="0" w:lastColumn="0" w:oddVBand="0" w:evenVBand="0" w:oddHBand="0" w:evenHBand="0" w:firstRowFirstColumn="0" w:firstRowLastColumn="0" w:lastRowFirstColumn="0" w:lastRowLastColumn="0"/>
            </w:pPr>
            <w:r>
              <w:t>Final version</w:t>
            </w:r>
          </w:p>
        </w:tc>
      </w:tr>
    </w:tbl>
    <w:p w:rsidR="00C40C29" w:rsidRPr="00831408" w:rsidRDefault="043A0D26" w:rsidP="043A0D26">
      <w:pPr>
        <w:pStyle w:val="Heading2nonumber"/>
      </w:pPr>
      <w:r>
        <w:t>Contact for enquiries and proposed changes</w:t>
      </w:r>
    </w:p>
    <w:p w:rsidR="00C40C29" w:rsidRPr="00C40C29" w:rsidRDefault="043A0D26" w:rsidP="006517B2">
      <w:pPr>
        <w:pStyle w:val="Bodystylefordocumentdetails"/>
      </w:pPr>
      <w:r>
        <w:t>All enquiries regarding this document should be directed in the first instance to:</w:t>
      </w:r>
    </w:p>
    <w:p w:rsidR="007861C3" w:rsidRDefault="043A0D26" w:rsidP="006517B2">
      <w:pPr>
        <w:pStyle w:val="Bodystylefordocumentdetails"/>
      </w:pPr>
      <w:r w:rsidRPr="043A0D26">
        <w:rPr>
          <w:rFonts w:eastAsia="Arial" w:cs="Arial"/>
        </w:rPr>
        <w:t>Department of Science, Information Technology and Innovation, ICT Modernisation</w:t>
      </w:r>
      <w:r w:rsidR="345F88C1">
        <w:br/>
      </w:r>
      <w:hyperlink r:id="rId8">
        <w:r w:rsidRPr="043A0D26">
          <w:rPr>
            <w:rStyle w:val="Hyperlink"/>
            <w:rFonts w:eastAsia="Arial" w:cs="Arial"/>
          </w:rPr>
          <w:t>ICTModernisation@dsiti.qld.gov.au</w:t>
        </w:r>
      </w:hyperlink>
      <w:r w:rsidRPr="043A0D26">
        <w:rPr>
          <w:rFonts w:eastAsia="Arial" w:cs="Arial"/>
        </w:rPr>
        <w:t xml:space="preserve"> </w:t>
      </w:r>
    </w:p>
    <w:p w:rsidR="00BB2720" w:rsidRPr="00831408" w:rsidRDefault="043A0D26" w:rsidP="043A0D26">
      <w:pPr>
        <w:pStyle w:val="Heading2nonumber"/>
      </w:pPr>
      <w:r>
        <w:t>Acknowledgements</w:t>
      </w:r>
    </w:p>
    <w:p w:rsidR="00BB2720" w:rsidRPr="00C40C29" w:rsidRDefault="043A0D26" w:rsidP="006517B2">
      <w:pPr>
        <w:pStyle w:val="Bodystylefordocumentdetails"/>
      </w:pPr>
      <w:r w:rsidRPr="043A0D26">
        <w:rPr>
          <w:rFonts w:eastAsia="Arial" w:cs="Arial"/>
        </w:rPr>
        <w:t xml:space="preserve">This version of the </w:t>
      </w:r>
      <w:r w:rsidRPr="043A0D26">
        <w:rPr>
          <w:rFonts w:eastAsia="Arial" w:cs="Arial"/>
          <w:i/>
          <w:iCs/>
        </w:rPr>
        <w:t>ICT as-a-</w:t>
      </w:r>
      <w:r w:rsidR="002E48AB">
        <w:rPr>
          <w:rFonts w:eastAsia="Arial" w:cs="Arial"/>
          <w:i/>
          <w:iCs/>
        </w:rPr>
        <w:t>s</w:t>
      </w:r>
      <w:r w:rsidRPr="043A0D26">
        <w:rPr>
          <w:rFonts w:eastAsia="Arial" w:cs="Arial"/>
          <w:i/>
          <w:iCs/>
        </w:rPr>
        <w:t xml:space="preserve">ervice security assurance guideline </w:t>
      </w:r>
      <w:r w:rsidRPr="043A0D26">
        <w:rPr>
          <w:rFonts w:eastAsia="Arial" w:cs="Arial"/>
        </w:rPr>
        <w:t>was developed and updated by Department of Science, Information Technology and Innovation, ICT Modernisation.</w:t>
      </w:r>
    </w:p>
    <w:p w:rsidR="00BB2720" w:rsidRPr="00C40C29" w:rsidRDefault="043A0D26" w:rsidP="006517B2">
      <w:pPr>
        <w:pStyle w:val="Bodystylefordocumentdetails"/>
      </w:pPr>
      <w:r>
        <w:t>Feedback was also received from a number of agencies, which was greatly appreciated.</w:t>
      </w:r>
    </w:p>
    <w:p w:rsidR="00C40C29" w:rsidRPr="00831408" w:rsidRDefault="043A0D26" w:rsidP="043A0D26">
      <w:pPr>
        <w:pStyle w:val="Heading2nonumber"/>
      </w:pPr>
      <w:r>
        <w:t>Copyright</w:t>
      </w:r>
    </w:p>
    <w:p w:rsidR="00754C94" w:rsidRPr="00212916" w:rsidRDefault="043A0D26" w:rsidP="00212916">
      <w:pPr>
        <w:pStyle w:val="Bodystylefordocumentdetails"/>
        <w:rPr>
          <w:i/>
        </w:rPr>
      </w:pPr>
      <w:r w:rsidRPr="043A0D26">
        <w:rPr>
          <w:rFonts w:eastAsia="Arial" w:cs="Arial"/>
          <w:i/>
          <w:iCs/>
        </w:rPr>
        <w:t>ICT as-a-</w:t>
      </w:r>
      <w:r w:rsidR="002E48AB">
        <w:rPr>
          <w:rFonts w:eastAsia="Arial" w:cs="Arial"/>
          <w:i/>
          <w:iCs/>
        </w:rPr>
        <w:t>s</w:t>
      </w:r>
      <w:r w:rsidRPr="043A0D26">
        <w:rPr>
          <w:rFonts w:eastAsia="Arial" w:cs="Arial"/>
          <w:i/>
          <w:iCs/>
        </w:rPr>
        <w:t>ervice security assurance guideline</w:t>
      </w:r>
    </w:p>
    <w:p w:rsidR="00C40C29" w:rsidRPr="00FB5186" w:rsidRDefault="043A0D26" w:rsidP="006517B2">
      <w:pPr>
        <w:pStyle w:val="Bodystylefordocumentdetails"/>
      </w:pPr>
      <w:r>
        <w:t xml:space="preserve">Copyright © The State of Queensland (Department of Science, Information Technology </w:t>
      </w:r>
      <w:r w:rsidR="006C3F39">
        <w:t>and Innovation) 2016</w:t>
      </w:r>
    </w:p>
    <w:p w:rsidR="007A3856" w:rsidRPr="00831408" w:rsidRDefault="043A0D26" w:rsidP="043A0D26">
      <w:pPr>
        <w:pStyle w:val="Heading2nonumber"/>
      </w:pPr>
      <w:r>
        <w:t>Licence</w:t>
      </w:r>
    </w:p>
    <w:p w:rsidR="002E48AB" w:rsidRDefault="002E48AB" w:rsidP="002E48AB">
      <w:pPr>
        <w:pStyle w:val="Bodystylefordocumentdetails"/>
      </w:pPr>
      <w:r>
        <w:rPr>
          <w:noProof/>
        </w:rPr>
        <w:drawing>
          <wp:inline distT="0" distB="0" distL="0" distR="0">
            <wp:extent cx="866775" cy="304800"/>
            <wp:effectExtent l="0" t="0" r="9525" b="0"/>
            <wp:docPr id="2" name="Picture 2"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   </w:t>
      </w:r>
    </w:p>
    <w:p w:rsidR="002E48AB" w:rsidRPr="001328B5" w:rsidRDefault="002E48AB" w:rsidP="002E48AB">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2E48AB" w:rsidRDefault="002E48AB" w:rsidP="002E48AB">
      <w:pPr>
        <w:pStyle w:val="BodyText"/>
        <w:ind w:left="0"/>
        <w:rPr>
          <w:szCs w:val="22"/>
        </w:rPr>
      </w:pPr>
      <w:r w:rsidRPr="00750438">
        <w:rPr>
          <w:szCs w:val="22"/>
        </w:rPr>
        <w:t xml:space="preserve">To attribute this material, cite the </w:t>
      </w:r>
      <w:r w:rsidRPr="043A0D26">
        <w:rPr>
          <w:rFonts w:eastAsia="Arial" w:cs="Arial"/>
        </w:rPr>
        <w:t>Department of Science, Information Technology and Innovation</w:t>
      </w:r>
      <w:r w:rsidRPr="00750438">
        <w:rPr>
          <w:szCs w:val="22"/>
        </w:rPr>
        <w:t xml:space="preserve">. </w:t>
      </w:r>
    </w:p>
    <w:p w:rsidR="002E48AB" w:rsidRDefault="002E48AB" w:rsidP="002E48AB">
      <w:pPr>
        <w:pStyle w:val="BodyText"/>
        <w:ind w:left="0"/>
        <w:rPr>
          <w:szCs w:val="22"/>
        </w:rPr>
      </w:pPr>
      <w:r w:rsidRPr="00DB5123">
        <w:rPr>
          <w:szCs w:val="22"/>
        </w:rPr>
        <w:t>The licence does not apply to any branding or images</w:t>
      </w:r>
      <w:r>
        <w:rPr>
          <w:szCs w:val="22"/>
        </w:rPr>
        <w:t xml:space="preserve">. </w:t>
      </w:r>
    </w:p>
    <w:p w:rsidR="00527E24" w:rsidRPr="00831408" w:rsidRDefault="043A0D26" w:rsidP="043A0D26">
      <w:pPr>
        <w:pStyle w:val="Heading2nonumber"/>
      </w:pPr>
      <w:r>
        <w:t>Information security</w:t>
      </w:r>
    </w:p>
    <w:p w:rsidR="00C40C29" w:rsidRPr="00C40C29" w:rsidRDefault="043A0D26" w:rsidP="006517B2">
      <w:pPr>
        <w:pStyle w:val="Bodystylefordocumentdetails"/>
      </w:pPr>
      <w:r>
        <w:t xml:space="preserve">This document has been security classified using the Queensland Government Information Security Classification Framework (QGISCF) as </w:t>
      </w:r>
      <w:r w:rsidR="00136375">
        <w:t xml:space="preserve">PUBLIC </w:t>
      </w:r>
      <w:r>
        <w:t>and will be managed according to the requirements of the QGISCF.</w:t>
      </w:r>
    </w:p>
    <w:p w:rsidR="00571312" w:rsidRPr="00B12183" w:rsidRDefault="043A0D26" w:rsidP="043A0D26">
      <w:pPr>
        <w:pStyle w:val="Heading1nonumber"/>
        <w:pageBreakBefore/>
        <w:rPr>
          <w:color w:val="5F5F5F"/>
        </w:rPr>
      </w:pPr>
      <w:r w:rsidRPr="043A0D26">
        <w:rPr>
          <w:color w:val="5F5F5F"/>
        </w:rPr>
        <w:lastRenderedPageBreak/>
        <w:t>Contents</w:t>
      </w:r>
    </w:p>
    <w:p w:rsidR="00F8550A"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53923065" w:history="1">
        <w:r w:rsidR="00F8550A" w:rsidRPr="003B70A3">
          <w:rPr>
            <w:rStyle w:val="Hyperlink"/>
          </w:rPr>
          <w:t>1</w:t>
        </w:r>
        <w:r w:rsidR="00F8550A">
          <w:rPr>
            <w:rFonts w:asciiTheme="minorHAnsi" w:eastAsiaTheme="minorEastAsia" w:hAnsiTheme="minorHAnsi" w:cstheme="minorBidi"/>
            <w:b w:val="0"/>
            <w:snapToGrid/>
            <w:kern w:val="0"/>
            <w:szCs w:val="22"/>
          </w:rPr>
          <w:tab/>
        </w:r>
        <w:r w:rsidR="00F8550A" w:rsidRPr="003B70A3">
          <w:rPr>
            <w:rStyle w:val="Hyperlink"/>
          </w:rPr>
          <w:t>Introduction</w:t>
        </w:r>
        <w:r w:rsidR="00F8550A">
          <w:rPr>
            <w:webHidden/>
          </w:rPr>
          <w:tab/>
        </w:r>
        <w:r w:rsidR="00F8550A">
          <w:rPr>
            <w:webHidden/>
          </w:rPr>
          <w:fldChar w:fldCharType="begin"/>
        </w:r>
        <w:r w:rsidR="00F8550A">
          <w:rPr>
            <w:webHidden/>
          </w:rPr>
          <w:instrText xml:space="preserve"> PAGEREF _Toc453923065 \h </w:instrText>
        </w:r>
        <w:r w:rsidR="00F8550A">
          <w:rPr>
            <w:webHidden/>
          </w:rPr>
        </w:r>
        <w:r w:rsidR="00F8550A">
          <w:rPr>
            <w:webHidden/>
          </w:rPr>
          <w:fldChar w:fldCharType="separate"/>
        </w:r>
        <w:r w:rsidR="00F8550A">
          <w:rPr>
            <w:webHidden/>
          </w:rPr>
          <w:t>5</w:t>
        </w:r>
        <w:r w:rsidR="00F8550A">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66" w:history="1">
        <w:r w:rsidRPr="003B70A3">
          <w:rPr>
            <w:rStyle w:val="Hyperlink"/>
          </w:rPr>
          <w:t>1.1</w:t>
        </w:r>
        <w:r>
          <w:rPr>
            <w:rFonts w:asciiTheme="minorHAnsi" w:eastAsiaTheme="minorEastAsia" w:hAnsiTheme="minorHAnsi" w:cstheme="minorBidi"/>
            <w:snapToGrid/>
            <w:kern w:val="0"/>
            <w:szCs w:val="22"/>
            <w:lang w:eastAsia="en-AU"/>
          </w:rPr>
          <w:tab/>
        </w:r>
        <w:r w:rsidRPr="003B70A3">
          <w:rPr>
            <w:rStyle w:val="Hyperlink"/>
          </w:rPr>
          <w:t>Purpose</w:t>
        </w:r>
        <w:r>
          <w:rPr>
            <w:webHidden/>
          </w:rPr>
          <w:tab/>
        </w:r>
        <w:r>
          <w:rPr>
            <w:webHidden/>
          </w:rPr>
          <w:fldChar w:fldCharType="begin"/>
        </w:r>
        <w:r>
          <w:rPr>
            <w:webHidden/>
          </w:rPr>
          <w:instrText xml:space="preserve"> PAGEREF _Toc453923066 \h </w:instrText>
        </w:r>
        <w:r>
          <w:rPr>
            <w:webHidden/>
          </w:rPr>
        </w:r>
        <w:r>
          <w:rPr>
            <w:webHidden/>
          </w:rPr>
          <w:fldChar w:fldCharType="separate"/>
        </w:r>
        <w:r>
          <w:rPr>
            <w:webHidden/>
          </w:rPr>
          <w:t>5</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67" w:history="1">
        <w:r w:rsidRPr="003B70A3">
          <w:rPr>
            <w:rStyle w:val="Hyperlink"/>
          </w:rPr>
          <w:t>1.2</w:t>
        </w:r>
        <w:r>
          <w:rPr>
            <w:rFonts w:asciiTheme="minorHAnsi" w:eastAsiaTheme="minorEastAsia" w:hAnsiTheme="minorHAnsi" w:cstheme="minorBidi"/>
            <w:snapToGrid/>
            <w:kern w:val="0"/>
            <w:szCs w:val="22"/>
            <w:lang w:eastAsia="en-AU"/>
          </w:rPr>
          <w:tab/>
        </w:r>
        <w:r w:rsidRPr="003B70A3">
          <w:rPr>
            <w:rStyle w:val="Hyperlink"/>
          </w:rPr>
          <w:t>What is this guideline for?</w:t>
        </w:r>
        <w:r>
          <w:rPr>
            <w:webHidden/>
          </w:rPr>
          <w:tab/>
        </w:r>
        <w:r>
          <w:rPr>
            <w:webHidden/>
          </w:rPr>
          <w:fldChar w:fldCharType="begin"/>
        </w:r>
        <w:r>
          <w:rPr>
            <w:webHidden/>
          </w:rPr>
          <w:instrText xml:space="preserve"> PAGEREF _Toc453923067 \h </w:instrText>
        </w:r>
        <w:r>
          <w:rPr>
            <w:webHidden/>
          </w:rPr>
        </w:r>
        <w:r>
          <w:rPr>
            <w:webHidden/>
          </w:rPr>
          <w:fldChar w:fldCharType="separate"/>
        </w:r>
        <w:r>
          <w:rPr>
            <w:webHidden/>
          </w:rPr>
          <w:t>5</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68" w:history="1">
        <w:r w:rsidRPr="003B70A3">
          <w:rPr>
            <w:rStyle w:val="Hyperlink"/>
          </w:rPr>
          <w:t>1.3</w:t>
        </w:r>
        <w:r>
          <w:rPr>
            <w:rFonts w:asciiTheme="minorHAnsi" w:eastAsiaTheme="minorEastAsia" w:hAnsiTheme="minorHAnsi" w:cstheme="minorBidi"/>
            <w:snapToGrid/>
            <w:kern w:val="0"/>
            <w:szCs w:val="22"/>
            <w:lang w:eastAsia="en-AU"/>
          </w:rPr>
          <w:tab/>
        </w:r>
        <w:r w:rsidRPr="003B70A3">
          <w:rPr>
            <w:rStyle w:val="Hyperlink"/>
          </w:rPr>
          <w:t>Why does the Queensland Government need this guideline?</w:t>
        </w:r>
        <w:r>
          <w:rPr>
            <w:webHidden/>
          </w:rPr>
          <w:tab/>
        </w:r>
        <w:r>
          <w:rPr>
            <w:webHidden/>
          </w:rPr>
          <w:fldChar w:fldCharType="begin"/>
        </w:r>
        <w:r>
          <w:rPr>
            <w:webHidden/>
          </w:rPr>
          <w:instrText xml:space="preserve"> PAGEREF _Toc453923068 \h </w:instrText>
        </w:r>
        <w:r>
          <w:rPr>
            <w:webHidden/>
          </w:rPr>
        </w:r>
        <w:r>
          <w:rPr>
            <w:webHidden/>
          </w:rPr>
          <w:fldChar w:fldCharType="separate"/>
        </w:r>
        <w:r>
          <w:rPr>
            <w:webHidden/>
          </w:rPr>
          <w:t>5</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69" w:history="1">
        <w:r w:rsidRPr="003B70A3">
          <w:rPr>
            <w:rStyle w:val="Hyperlink"/>
          </w:rPr>
          <w:t>1.4</w:t>
        </w:r>
        <w:r>
          <w:rPr>
            <w:rFonts w:asciiTheme="minorHAnsi" w:eastAsiaTheme="minorEastAsia" w:hAnsiTheme="minorHAnsi" w:cstheme="minorBidi"/>
            <w:snapToGrid/>
            <w:kern w:val="0"/>
            <w:szCs w:val="22"/>
            <w:lang w:eastAsia="en-AU"/>
          </w:rPr>
          <w:tab/>
        </w:r>
        <w:r w:rsidRPr="003B70A3">
          <w:rPr>
            <w:rStyle w:val="Hyperlink"/>
          </w:rPr>
          <w:t>Who should use this guideline?</w:t>
        </w:r>
        <w:r>
          <w:rPr>
            <w:webHidden/>
          </w:rPr>
          <w:tab/>
        </w:r>
        <w:r>
          <w:rPr>
            <w:webHidden/>
          </w:rPr>
          <w:fldChar w:fldCharType="begin"/>
        </w:r>
        <w:r>
          <w:rPr>
            <w:webHidden/>
          </w:rPr>
          <w:instrText xml:space="preserve"> PAGEREF _Toc453923069 \h </w:instrText>
        </w:r>
        <w:r>
          <w:rPr>
            <w:webHidden/>
          </w:rPr>
        </w:r>
        <w:r>
          <w:rPr>
            <w:webHidden/>
          </w:rPr>
          <w:fldChar w:fldCharType="separate"/>
        </w:r>
        <w:r>
          <w:rPr>
            <w:webHidden/>
          </w:rPr>
          <w:t>5</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70" w:history="1">
        <w:r w:rsidRPr="003B70A3">
          <w:rPr>
            <w:rStyle w:val="Hyperlink"/>
          </w:rPr>
          <w:t>1.5</w:t>
        </w:r>
        <w:r>
          <w:rPr>
            <w:rFonts w:asciiTheme="minorHAnsi" w:eastAsiaTheme="minorEastAsia" w:hAnsiTheme="minorHAnsi" w:cstheme="minorBidi"/>
            <w:snapToGrid/>
            <w:kern w:val="0"/>
            <w:szCs w:val="22"/>
            <w:lang w:eastAsia="en-AU"/>
          </w:rPr>
          <w:tab/>
        </w:r>
        <w:r w:rsidRPr="003B70A3">
          <w:rPr>
            <w:rStyle w:val="Hyperlink"/>
          </w:rPr>
          <w:t>How does this guideline fit within the ICT as-a-service decision framework?</w:t>
        </w:r>
        <w:r>
          <w:rPr>
            <w:webHidden/>
          </w:rPr>
          <w:tab/>
        </w:r>
        <w:r>
          <w:rPr>
            <w:webHidden/>
          </w:rPr>
          <w:fldChar w:fldCharType="begin"/>
        </w:r>
        <w:r>
          <w:rPr>
            <w:webHidden/>
          </w:rPr>
          <w:instrText xml:space="preserve"> PAGEREF _Toc453923070 \h </w:instrText>
        </w:r>
        <w:r>
          <w:rPr>
            <w:webHidden/>
          </w:rPr>
        </w:r>
        <w:r>
          <w:rPr>
            <w:webHidden/>
          </w:rPr>
          <w:fldChar w:fldCharType="separate"/>
        </w:r>
        <w:r>
          <w:rPr>
            <w:webHidden/>
          </w:rPr>
          <w:t>6</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71" w:history="1">
        <w:r w:rsidRPr="003B70A3">
          <w:rPr>
            <w:rStyle w:val="Hyperlink"/>
          </w:rPr>
          <w:t>1.6</w:t>
        </w:r>
        <w:r>
          <w:rPr>
            <w:rFonts w:asciiTheme="minorHAnsi" w:eastAsiaTheme="minorEastAsia" w:hAnsiTheme="minorHAnsi" w:cstheme="minorBidi"/>
            <w:snapToGrid/>
            <w:kern w:val="0"/>
            <w:szCs w:val="22"/>
            <w:lang w:eastAsia="en-AU"/>
          </w:rPr>
          <w:tab/>
        </w:r>
        <w:r w:rsidRPr="003B70A3">
          <w:rPr>
            <w:rStyle w:val="Hyperlink"/>
          </w:rPr>
          <w:t>When should I use this guideline?</w:t>
        </w:r>
        <w:r>
          <w:rPr>
            <w:webHidden/>
          </w:rPr>
          <w:tab/>
        </w:r>
        <w:r>
          <w:rPr>
            <w:webHidden/>
          </w:rPr>
          <w:fldChar w:fldCharType="begin"/>
        </w:r>
        <w:r>
          <w:rPr>
            <w:webHidden/>
          </w:rPr>
          <w:instrText xml:space="preserve"> PAGEREF _Toc453923071 \h </w:instrText>
        </w:r>
        <w:r>
          <w:rPr>
            <w:webHidden/>
          </w:rPr>
        </w:r>
        <w:r>
          <w:rPr>
            <w:webHidden/>
          </w:rPr>
          <w:fldChar w:fldCharType="separate"/>
        </w:r>
        <w:r>
          <w:rPr>
            <w:webHidden/>
          </w:rPr>
          <w:t>7</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72" w:history="1">
        <w:r w:rsidRPr="003B70A3">
          <w:rPr>
            <w:rStyle w:val="Hyperlink"/>
          </w:rPr>
          <w:t>1.7</w:t>
        </w:r>
        <w:r>
          <w:rPr>
            <w:rFonts w:asciiTheme="minorHAnsi" w:eastAsiaTheme="minorEastAsia" w:hAnsiTheme="minorHAnsi" w:cstheme="minorBidi"/>
            <w:snapToGrid/>
            <w:kern w:val="0"/>
            <w:szCs w:val="22"/>
            <w:lang w:eastAsia="en-AU"/>
          </w:rPr>
          <w:tab/>
        </w:r>
        <w:r w:rsidRPr="003B70A3">
          <w:rPr>
            <w:rStyle w:val="Hyperlink"/>
          </w:rPr>
          <w:t>References</w:t>
        </w:r>
        <w:r>
          <w:rPr>
            <w:webHidden/>
          </w:rPr>
          <w:tab/>
        </w:r>
        <w:r>
          <w:rPr>
            <w:webHidden/>
          </w:rPr>
          <w:fldChar w:fldCharType="begin"/>
        </w:r>
        <w:r>
          <w:rPr>
            <w:webHidden/>
          </w:rPr>
          <w:instrText xml:space="preserve"> PAGEREF _Toc453923072 \h </w:instrText>
        </w:r>
        <w:r>
          <w:rPr>
            <w:webHidden/>
          </w:rPr>
        </w:r>
        <w:r>
          <w:rPr>
            <w:webHidden/>
          </w:rPr>
          <w:fldChar w:fldCharType="separate"/>
        </w:r>
        <w:r>
          <w:rPr>
            <w:webHidden/>
          </w:rPr>
          <w:t>7</w:t>
        </w:r>
        <w:r>
          <w:rPr>
            <w:webHidden/>
          </w:rPr>
          <w:fldChar w:fldCharType="end"/>
        </w:r>
      </w:hyperlink>
    </w:p>
    <w:p w:rsidR="00F8550A" w:rsidRDefault="00F8550A">
      <w:pPr>
        <w:pStyle w:val="TOC1"/>
        <w:rPr>
          <w:rFonts w:asciiTheme="minorHAnsi" w:eastAsiaTheme="minorEastAsia" w:hAnsiTheme="minorHAnsi" w:cstheme="minorBidi"/>
          <w:b w:val="0"/>
          <w:snapToGrid/>
          <w:kern w:val="0"/>
          <w:szCs w:val="22"/>
        </w:rPr>
      </w:pPr>
      <w:hyperlink w:anchor="_Toc453923073" w:history="1">
        <w:r w:rsidRPr="003B70A3">
          <w:rPr>
            <w:rStyle w:val="Hyperlink"/>
          </w:rPr>
          <w:t>2</w:t>
        </w:r>
        <w:r>
          <w:rPr>
            <w:rFonts w:asciiTheme="minorHAnsi" w:eastAsiaTheme="minorEastAsia" w:hAnsiTheme="minorHAnsi" w:cstheme="minorBidi"/>
            <w:b w:val="0"/>
            <w:snapToGrid/>
            <w:kern w:val="0"/>
            <w:szCs w:val="22"/>
          </w:rPr>
          <w:tab/>
        </w:r>
        <w:r w:rsidRPr="003B70A3">
          <w:rPr>
            <w:rStyle w:val="Hyperlink"/>
          </w:rPr>
          <w:t>Security assurance model</w:t>
        </w:r>
        <w:r>
          <w:rPr>
            <w:webHidden/>
          </w:rPr>
          <w:tab/>
        </w:r>
        <w:r>
          <w:rPr>
            <w:webHidden/>
          </w:rPr>
          <w:fldChar w:fldCharType="begin"/>
        </w:r>
        <w:r>
          <w:rPr>
            <w:webHidden/>
          </w:rPr>
          <w:instrText xml:space="preserve"> PAGEREF _Toc453923073 \h </w:instrText>
        </w:r>
        <w:r>
          <w:rPr>
            <w:webHidden/>
          </w:rPr>
        </w:r>
        <w:r>
          <w:rPr>
            <w:webHidden/>
          </w:rPr>
          <w:fldChar w:fldCharType="separate"/>
        </w:r>
        <w:r>
          <w:rPr>
            <w:webHidden/>
          </w:rPr>
          <w:t>8</w:t>
        </w:r>
        <w:r>
          <w:rPr>
            <w:webHidden/>
          </w:rPr>
          <w:fldChar w:fldCharType="end"/>
        </w:r>
      </w:hyperlink>
    </w:p>
    <w:p w:rsidR="00F8550A" w:rsidRDefault="00F8550A">
      <w:pPr>
        <w:pStyle w:val="TOC1"/>
        <w:rPr>
          <w:rFonts w:asciiTheme="minorHAnsi" w:eastAsiaTheme="minorEastAsia" w:hAnsiTheme="minorHAnsi" w:cstheme="minorBidi"/>
          <w:b w:val="0"/>
          <w:snapToGrid/>
          <w:kern w:val="0"/>
          <w:szCs w:val="22"/>
        </w:rPr>
      </w:pPr>
      <w:hyperlink w:anchor="_Toc453923074" w:history="1">
        <w:r w:rsidRPr="003B70A3">
          <w:rPr>
            <w:rStyle w:val="Hyperlink"/>
          </w:rPr>
          <w:t>3</w:t>
        </w:r>
        <w:r>
          <w:rPr>
            <w:rFonts w:asciiTheme="minorHAnsi" w:eastAsiaTheme="minorEastAsia" w:hAnsiTheme="minorHAnsi" w:cstheme="minorBidi"/>
            <w:b w:val="0"/>
            <w:snapToGrid/>
            <w:kern w:val="0"/>
            <w:szCs w:val="22"/>
          </w:rPr>
          <w:tab/>
        </w:r>
        <w:r w:rsidRPr="003B70A3">
          <w:rPr>
            <w:rStyle w:val="Hyperlink"/>
          </w:rPr>
          <w:t>Identify information and service attributes</w:t>
        </w:r>
        <w:r>
          <w:rPr>
            <w:webHidden/>
          </w:rPr>
          <w:tab/>
        </w:r>
        <w:r>
          <w:rPr>
            <w:webHidden/>
          </w:rPr>
          <w:fldChar w:fldCharType="begin"/>
        </w:r>
        <w:r>
          <w:rPr>
            <w:webHidden/>
          </w:rPr>
          <w:instrText xml:space="preserve"> PAGEREF _Toc453923074 \h </w:instrText>
        </w:r>
        <w:r>
          <w:rPr>
            <w:webHidden/>
          </w:rPr>
        </w:r>
        <w:r>
          <w:rPr>
            <w:webHidden/>
          </w:rPr>
          <w:fldChar w:fldCharType="separate"/>
        </w:r>
        <w:r>
          <w:rPr>
            <w:webHidden/>
          </w:rPr>
          <w:t>9</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75" w:history="1">
        <w:r w:rsidRPr="003B70A3">
          <w:rPr>
            <w:rStyle w:val="Hyperlink"/>
          </w:rPr>
          <w:t>3.1</w:t>
        </w:r>
        <w:r>
          <w:rPr>
            <w:rFonts w:asciiTheme="minorHAnsi" w:eastAsiaTheme="minorEastAsia" w:hAnsiTheme="minorHAnsi" w:cstheme="minorBidi"/>
            <w:snapToGrid/>
            <w:kern w:val="0"/>
            <w:szCs w:val="22"/>
            <w:lang w:eastAsia="en-AU"/>
          </w:rPr>
          <w:tab/>
        </w:r>
        <w:r w:rsidRPr="003B70A3">
          <w:rPr>
            <w:rStyle w:val="Hyperlink"/>
          </w:rPr>
          <w:t>Business workload and planned service delivery profile</w:t>
        </w:r>
        <w:r>
          <w:rPr>
            <w:webHidden/>
          </w:rPr>
          <w:tab/>
        </w:r>
        <w:r>
          <w:rPr>
            <w:webHidden/>
          </w:rPr>
          <w:fldChar w:fldCharType="begin"/>
        </w:r>
        <w:r>
          <w:rPr>
            <w:webHidden/>
          </w:rPr>
          <w:instrText xml:space="preserve"> PAGEREF _Toc453923075 \h </w:instrText>
        </w:r>
        <w:r>
          <w:rPr>
            <w:webHidden/>
          </w:rPr>
        </w:r>
        <w:r>
          <w:rPr>
            <w:webHidden/>
          </w:rPr>
          <w:fldChar w:fldCharType="separate"/>
        </w:r>
        <w:r>
          <w:rPr>
            <w:webHidden/>
          </w:rPr>
          <w:t>9</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76" w:history="1">
        <w:r w:rsidRPr="003B70A3">
          <w:rPr>
            <w:rStyle w:val="Hyperlink"/>
          </w:rPr>
          <w:t>3.2</w:t>
        </w:r>
        <w:r>
          <w:rPr>
            <w:rFonts w:asciiTheme="minorHAnsi" w:eastAsiaTheme="minorEastAsia" w:hAnsiTheme="minorHAnsi" w:cstheme="minorBidi"/>
            <w:snapToGrid/>
            <w:kern w:val="0"/>
            <w:szCs w:val="22"/>
            <w:lang w:eastAsia="en-AU"/>
          </w:rPr>
          <w:tab/>
        </w:r>
        <w:r w:rsidRPr="003B70A3">
          <w:rPr>
            <w:rStyle w:val="Hyperlink"/>
          </w:rPr>
          <w:t>Security and governance considerations</w:t>
        </w:r>
        <w:r>
          <w:rPr>
            <w:webHidden/>
          </w:rPr>
          <w:tab/>
        </w:r>
        <w:r>
          <w:rPr>
            <w:webHidden/>
          </w:rPr>
          <w:fldChar w:fldCharType="begin"/>
        </w:r>
        <w:r>
          <w:rPr>
            <w:webHidden/>
          </w:rPr>
          <w:instrText xml:space="preserve"> PAGEREF _Toc453923076 \h </w:instrText>
        </w:r>
        <w:r>
          <w:rPr>
            <w:webHidden/>
          </w:rPr>
        </w:r>
        <w:r>
          <w:rPr>
            <w:webHidden/>
          </w:rPr>
          <w:fldChar w:fldCharType="separate"/>
        </w:r>
        <w:r>
          <w:rPr>
            <w:webHidden/>
          </w:rPr>
          <w:t>9</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77" w:history="1">
        <w:r w:rsidRPr="003B70A3">
          <w:rPr>
            <w:rStyle w:val="Hyperlink"/>
          </w:rPr>
          <w:t>3.3</w:t>
        </w:r>
        <w:r>
          <w:rPr>
            <w:rFonts w:asciiTheme="minorHAnsi" w:eastAsiaTheme="minorEastAsia" w:hAnsiTheme="minorHAnsi" w:cstheme="minorBidi"/>
            <w:snapToGrid/>
            <w:kern w:val="0"/>
            <w:szCs w:val="22"/>
            <w:lang w:eastAsia="en-AU"/>
          </w:rPr>
          <w:tab/>
        </w:r>
        <w:r w:rsidRPr="003B70A3">
          <w:rPr>
            <w:rStyle w:val="Hyperlink"/>
          </w:rPr>
          <w:t>Risk profile</w:t>
        </w:r>
        <w:r>
          <w:rPr>
            <w:webHidden/>
          </w:rPr>
          <w:tab/>
        </w:r>
        <w:r>
          <w:rPr>
            <w:webHidden/>
          </w:rPr>
          <w:fldChar w:fldCharType="begin"/>
        </w:r>
        <w:r>
          <w:rPr>
            <w:webHidden/>
          </w:rPr>
          <w:instrText xml:space="preserve"> PAGEREF _Toc453923077 \h </w:instrText>
        </w:r>
        <w:r>
          <w:rPr>
            <w:webHidden/>
          </w:rPr>
        </w:r>
        <w:r>
          <w:rPr>
            <w:webHidden/>
          </w:rPr>
          <w:fldChar w:fldCharType="separate"/>
        </w:r>
        <w:r>
          <w:rPr>
            <w:webHidden/>
          </w:rPr>
          <w:t>10</w:t>
        </w:r>
        <w:r>
          <w:rPr>
            <w:webHidden/>
          </w:rPr>
          <w:fldChar w:fldCharType="end"/>
        </w:r>
      </w:hyperlink>
    </w:p>
    <w:p w:rsidR="00F8550A" w:rsidRDefault="00F8550A">
      <w:pPr>
        <w:pStyle w:val="TOC1"/>
        <w:rPr>
          <w:rFonts w:asciiTheme="minorHAnsi" w:eastAsiaTheme="minorEastAsia" w:hAnsiTheme="minorHAnsi" w:cstheme="minorBidi"/>
          <w:b w:val="0"/>
          <w:snapToGrid/>
          <w:kern w:val="0"/>
          <w:szCs w:val="22"/>
        </w:rPr>
      </w:pPr>
      <w:hyperlink w:anchor="_Toc453923078" w:history="1">
        <w:r w:rsidRPr="003B70A3">
          <w:rPr>
            <w:rStyle w:val="Hyperlink"/>
          </w:rPr>
          <w:t>4</w:t>
        </w:r>
        <w:r>
          <w:rPr>
            <w:rFonts w:asciiTheme="minorHAnsi" w:eastAsiaTheme="minorEastAsia" w:hAnsiTheme="minorHAnsi" w:cstheme="minorBidi"/>
            <w:b w:val="0"/>
            <w:snapToGrid/>
            <w:kern w:val="0"/>
            <w:szCs w:val="22"/>
          </w:rPr>
          <w:tab/>
        </w:r>
        <w:r w:rsidRPr="003B70A3">
          <w:rPr>
            <w:rStyle w:val="Hyperlink"/>
          </w:rPr>
          <w:t>Shortcuts</w:t>
        </w:r>
        <w:r>
          <w:rPr>
            <w:webHidden/>
          </w:rPr>
          <w:tab/>
        </w:r>
        <w:r>
          <w:rPr>
            <w:webHidden/>
          </w:rPr>
          <w:fldChar w:fldCharType="begin"/>
        </w:r>
        <w:r>
          <w:rPr>
            <w:webHidden/>
          </w:rPr>
          <w:instrText xml:space="preserve"> PAGEREF _Toc453923078 \h </w:instrText>
        </w:r>
        <w:r>
          <w:rPr>
            <w:webHidden/>
          </w:rPr>
        </w:r>
        <w:r>
          <w:rPr>
            <w:webHidden/>
          </w:rPr>
          <w:fldChar w:fldCharType="separate"/>
        </w:r>
        <w:r>
          <w:rPr>
            <w:webHidden/>
          </w:rPr>
          <w:t>11</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79" w:history="1">
        <w:r w:rsidRPr="003B70A3">
          <w:rPr>
            <w:rStyle w:val="Hyperlink"/>
          </w:rPr>
          <w:t>4.1</w:t>
        </w:r>
        <w:r>
          <w:rPr>
            <w:rFonts w:asciiTheme="minorHAnsi" w:eastAsiaTheme="minorEastAsia" w:hAnsiTheme="minorHAnsi" w:cstheme="minorBidi"/>
            <w:snapToGrid/>
            <w:kern w:val="0"/>
            <w:szCs w:val="22"/>
            <w:lang w:eastAsia="en-AU"/>
          </w:rPr>
          <w:tab/>
        </w:r>
        <w:r w:rsidRPr="003B70A3">
          <w:rPr>
            <w:rStyle w:val="Hyperlink"/>
          </w:rPr>
          <w:t>Compliance</w:t>
        </w:r>
        <w:r>
          <w:rPr>
            <w:webHidden/>
          </w:rPr>
          <w:tab/>
        </w:r>
        <w:r>
          <w:rPr>
            <w:webHidden/>
          </w:rPr>
          <w:fldChar w:fldCharType="begin"/>
        </w:r>
        <w:r>
          <w:rPr>
            <w:webHidden/>
          </w:rPr>
          <w:instrText xml:space="preserve"> PAGEREF _Toc453923079 \h </w:instrText>
        </w:r>
        <w:r>
          <w:rPr>
            <w:webHidden/>
          </w:rPr>
        </w:r>
        <w:r>
          <w:rPr>
            <w:webHidden/>
          </w:rPr>
          <w:fldChar w:fldCharType="separate"/>
        </w:r>
        <w:r>
          <w:rPr>
            <w:webHidden/>
          </w:rPr>
          <w:t>11</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80" w:history="1">
        <w:r w:rsidRPr="003B70A3">
          <w:rPr>
            <w:rStyle w:val="Hyperlink"/>
          </w:rPr>
          <w:t>4.2</w:t>
        </w:r>
        <w:r>
          <w:rPr>
            <w:rFonts w:asciiTheme="minorHAnsi" w:eastAsiaTheme="minorEastAsia" w:hAnsiTheme="minorHAnsi" w:cstheme="minorBidi"/>
            <w:snapToGrid/>
            <w:kern w:val="0"/>
            <w:szCs w:val="22"/>
            <w:lang w:eastAsia="en-AU"/>
          </w:rPr>
          <w:tab/>
        </w:r>
        <w:r w:rsidRPr="003B70A3">
          <w:rPr>
            <w:rStyle w:val="Hyperlink"/>
          </w:rPr>
          <w:t>Industry accreditations</w:t>
        </w:r>
        <w:r>
          <w:rPr>
            <w:webHidden/>
          </w:rPr>
          <w:tab/>
        </w:r>
        <w:r>
          <w:rPr>
            <w:webHidden/>
          </w:rPr>
          <w:fldChar w:fldCharType="begin"/>
        </w:r>
        <w:r>
          <w:rPr>
            <w:webHidden/>
          </w:rPr>
          <w:instrText xml:space="preserve"> PAGEREF _Toc453923080 \h </w:instrText>
        </w:r>
        <w:r>
          <w:rPr>
            <w:webHidden/>
          </w:rPr>
        </w:r>
        <w:r>
          <w:rPr>
            <w:webHidden/>
          </w:rPr>
          <w:fldChar w:fldCharType="separate"/>
        </w:r>
        <w:r>
          <w:rPr>
            <w:webHidden/>
          </w:rPr>
          <w:t>11</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81" w:history="1">
        <w:r w:rsidRPr="003B70A3">
          <w:rPr>
            <w:rStyle w:val="Hyperlink"/>
          </w:rPr>
          <w:t>4.3</w:t>
        </w:r>
        <w:r>
          <w:rPr>
            <w:rFonts w:asciiTheme="minorHAnsi" w:eastAsiaTheme="minorEastAsia" w:hAnsiTheme="minorHAnsi" w:cstheme="minorBidi"/>
            <w:snapToGrid/>
            <w:kern w:val="0"/>
            <w:szCs w:val="22"/>
            <w:lang w:eastAsia="en-AU"/>
          </w:rPr>
          <w:tab/>
        </w:r>
        <w:r w:rsidRPr="003B70A3">
          <w:rPr>
            <w:rStyle w:val="Hyperlink"/>
          </w:rPr>
          <w:t>Profiling available service offerings</w:t>
        </w:r>
        <w:r>
          <w:rPr>
            <w:webHidden/>
          </w:rPr>
          <w:tab/>
        </w:r>
        <w:r>
          <w:rPr>
            <w:webHidden/>
          </w:rPr>
          <w:fldChar w:fldCharType="begin"/>
        </w:r>
        <w:r>
          <w:rPr>
            <w:webHidden/>
          </w:rPr>
          <w:instrText xml:space="preserve"> PAGEREF _Toc453923081 \h </w:instrText>
        </w:r>
        <w:r>
          <w:rPr>
            <w:webHidden/>
          </w:rPr>
        </w:r>
        <w:r>
          <w:rPr>
            <w:webHidden/>
          </w:rPr>
          <w:fldChar w:fldCharType="separate"/>
        </w:r>
        <w:r>
          <w:rPr>
            <w:webHidden/>
          </w:rPr>
          <w:t>12</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82" w:history="1">
        <w:r w:rsidRPr="003B70A3">
          <w:rPr>
            <w:rStyle w:val="Hyperlink"/>
          </w:rPr>
          <w:t>4.4</w:t>
        </w:r>
        <w:r>
          <w:rPr>
            <w:rFonts w:asciiTheme="minorHAnsi" w:eastAsiaTheme="minorEastAsia" w:hAnsiTheme="minorHAnsi" w:cstheme="minorBidi"/>
            <w:snapToGrid/>
            <w:kern w:val="0"/>
            <w:szCs w:val="22"/>
            <w:lang w:eastAsia="en-AU"/>
          </w:rPr>
          <w:tab/>
        </w:r>
        <w:r w:rsidRPr="003B70A3">
          <w:rPr>
            <w:rStyle w:val="Hyperlink"/>
          </w:rPr>
          <w:t>Other shortcuts</w:t>
        </w:r>
        <w:r>
          <w:rPr>
            <w:webHidden/>
          </w:rPr>
          <w:tab/>
        </w:r>
        <w:r>
          <w:rPr>
            <w:webHidden/>
          </w:rPr>
          <w:fldChar w:fldCharType="begin"/>
        </w:r>
        <w:r>
          <w:rPr>
            <w:webHidden/>
          </w:rPr>
          <w:instrText xml:space="preserve"> PAGEREF _Toc453923082 \h </w:instrText>
        </w:r>
        <w:r>
          <w:rPr>
            <w:webHidden/>
          </w:rPr>
        </w:r>
        <w:r>
          <w:rPr>
            <w:webHidden/>
          </w:rPr>
          <w:fldChar w:fldCharType="separate"/>
        </w:r>
        <w:r>
          <w:rPr>
            <w:webHidden/>
          </w:rPr>
          <w:t>12</w:t>
        </w:r>
        <w:r>
          <w:rPr>
            <w:webHidden/>
          </w:rPr>
          <w:fldChar w:fldCharType="end"/>
        </w:r>
      </w:hyperlink>
    </w:p>
    <w:p w:rsidR="00F8550A" w:rsidRDefault="00F8550A">
      <w:pPr>
        <w:pStyle w:val="TOC1"/>
        <w:rPr>
          <w:rFonts w:asciiTheme="minorHAnsi" w:eastAsiaTheme="minorEastAsia" w:hAnsiTheme="minorHAnsi" w:cstheme="minorBidi"/>
          <w:b w:val="0"/>
          <w:snapToGrid/>
          <w:kern w:val="0"/>
          <w:szCs w:val="22"/>
        </w:rPr>
      </w:pPr>
      <w:hyperlink w:anchor="_Toc453923083" w:history="1">
        <w:r w:rsidRPr="003B70A3">
          <w:rPr>
            <w:rStyle w:val="Hyperlink"/>
          </w:rPr>
          <w:t>5</w:t>
        </w:r>
        <w:r>
          <w:rPr>
            <w:rFonts w:asciiTheme="minorHAnsi" w:eastAsiaTheme="minorEastAsia" w:hAnsiTheme="minorHAnsi" w:cstheme="minorBidi"/>
            <w:b w:val="0"/>
            <w:snapToGrid/>
            <w:kern w:val="0"/>
            <w:szCs w:val="22"/>
          </w:rPr>
          <w:tab/>
        </w:r>
        <w:r w:rsidRPr="003B70A3">
          <w:rPr>
            <w:rStyle w:val="Hyperlink"/>
          </w:rPr>
          <w:t>Checklist and business security considerations</w:t>
        </w:r>
        <w:r>
          <w:rPr>
            <w:webHidden/>
          </w:rPr>
          <w:tab/>
        </w:r>
        <w:r>
          <w:rPr>
            <w:webHidden/>
          </w:rPr>
          <w:fldChar w:fldCharType="begin"/>
        </w:r>
        <w:r>
          <w:rPr>
            <w:webHidden/>
          </w:rPr>
          <w:instrText xml:space="preserve"> PAGEREF _Toc453923083 \h </w:instrText>
        </w:r>
        <w:r>
          <w:rPr>
            <w:webHidden/>
          </w:rPr>
        </w:r>
        <w:r>
          <w:rPr>
            <w:webHidden/>
          </w:rPr>
          <w:fldChar w:fldCharType="separate"/>
        </w:r>
        <w:r>
          <w:rPr>
            <w:webHidden/>
          </w:rPr>
          <w:t>13</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84" w:history="1">
        <w:r w:rsidRPr="003B70A3">
          <w:rPr>
            <w:rStyle w:val="Hyperlink"/>
          </w:rPr>
          <w:t>5.1</w:t>
        </w:r>
        <w:r>
          <w:rPr>
            <w:rFonts w:asciiTheme="minorHAnsi" w:eastAsiaTheme="minorEastAsia" w:hAnsiTheme="minorHAnsi" w:cstheme="minorBidi"/>
            <w:snapToGrid/>
            <w:kern w:val="0"/>
            <w:szCs w:val="22"/>
            <w:lang w:eastAsia="en-AU"/>
          </w:rPr>
          <w:tab/>
        </w:r>
        <w:r w:rsidRPr="003B70A3">
          <w:rPr>
            <w:rStyle w:val="Hyperlink"/>
          </w:rPr>
          <w:t>Questions for use during sourcing and procurement</w:t>
        </w:r>
        <w:r>
          <w:rPr>
            <w:webHidden/>
          </w:rPr>
          <w:tab/>
        </w:r>
        <w:r>
          <w:rPr>
            <w:webHidden/>
          </w:rPr>
          <w:fldChar w:fldCharType="begin"/>
        </w:r>
        <w:r>
          <w:rPr>
            <w:webHidden/>
          </w:rPr>
          <w:instrText xml:space="preserve"> PAGEREF _Toc453923084 \h </w:instrText>
        </w:r>
        <w:r>
          <w:rPr>
            <w:webHidden/>
          </w:rPr>
        </w:r>
        <w:r>
          <w:rPr>
            <w:webHidden/>
          </w:rPr>
          <w:fldChar w:fldCharType="separate"/>
        </w:r>
        <w:r>
          <w:rPr>
            <w:webHidden/>
          </w:rPr>
          <w:t>13</w:t>
        </w:r>
        <w:r>
          <w:rPr>
            <w:webHidden/>
          </w:rPr>
          <w:fldChar w:fldCharType="end"/>
        </w:r>
      </w:hyperlink>
    </w:p>
    <w:p w:rsidR="00F8550A" w:rsidRDefault="00F8550A">
      <w:pPr>
        <w:pStyle w:val="TOC1"/>
        <w:rPr>
          <w:rFonts w:asciiTheme="minorHAnsi" w:eastAsiaTheme="minorEastAsia" w:hAnsiTheme="minorHAnsi" w:cstheme="minorBidi"/>
          <w:b w:val="0"/>
          <w:snapToGrid/>
          <w:kern w:val="0"/>
          <w:szCs w:val="22"/>
        </w:rPr>
      </w:pPr>
      <w:hyperlink w:anchor="_Toc453923085" w:history="1">
        <w:r w:rsidRPr="003B70A3">
          <w:rPr>
            <w:rStyle w:val="Hyperlink"/>
          </w:rPr>
          <w:t>6</w:t>
        </w:r>
        <w:r>
          <w:rPr>
            <w:rFonts w:asciiTheme="minorHAnsi" w:eastAsiaTheme="minorEastAsia" w:hAnsiTheme="minorHAnsi" w:cstheme="minorBidi"/>
            <w:b w:val="0"/>
            <w:snapToGrid/>
            <w:kern w:val="0"/>
            <w:szCs w:val="22"/>
          </w:rPr>
          <w:tab/>
        </w:r>
        <w:r w:rsidRPr="003B70A3">
          <w:rPr>
            <w:rStyle w:val="Hyperlink"/>
          </w:rPr>
          <w:t>Evaluation assurance</w:t>
        </w:r>
        <w:r>
          <w:rPr>
            <w:webHidden/>
          </w:rPr>
          <w:tab/>
        </w:r>
        <w:r>
          <w:rPr>
            <w:webHidden/>
          </w:rPr>
          <w:fldChar w:fldCharType="begin"/>
        </w:r>
        <w:r>
          <w:rPr>
            <w:webHidden/>
          </w:rPr>
          <w:instrText xml:space="preserve"> PAGEREF _Toc453923085 \h </w:instrText>
        </w:r>
        <w:r>
          <w:rPr>
            <w:webHidden/>
          </w:rPr>
        </w:r>
        <w:r>
          <w:rPr>
            <w:webHidden/>
          </w:rPr>
          <w:fldChar w:fldCharType="separate"/>
        </w:r>
        <w:r>
          <w:rPr>
            <w:webHidden/>
          </w:rPr>
          <w:t>24</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86" w:history="1">
        <w:r w:rsidRPr="003B70A3">
          <w:rPr>
            <w:rStyle w:val="Hyperlink"/>
          </w:rPr>
          <w:t>6.1</w:t>
        </w:r>
        <w:r>
          <w:rPr>
            <w:rFonts w:asciiTheme="minorHAnsi" w:eastAsiaTheme="minorEastAsia" w:hAnsiTheme="minorHAnsi" w:cstheme="minorBidi"/>
            <w:snapToGrid/>
            <w:kern w:val="0"/>
            <w:szCs w:val="22"/>
            <w:lang w:eastAsia="en-AU"/>
          </w:rPr>
          <w:tab/>
        </w:r>
        <w:r w:rsidRPr="003B70A3">
          <w:rPr>
            <w:rStyle w:val="Hyperlink"/>
          </w:rPr>
          <w:t>Queensland Government Cloud computing implementation model</w:t>
        </w:r>
        <w:r>
          <w:rPr>
            <w:webHidden/>
          </w:rPr>
          <w:tab/>
        </w:r>
        <w:r>
          <w:rPr>
            <w:webHidden/>
          </w:rPr>
          <w:fldChar w:fldCharType="begin"/>
        </w:r>
        <w:r>
          <w:rPr>
            <w:webHidden/>
          </w:rPr>
          <w:instrText xml:space="preserve"> PAGEREF _Toc453923086 \h </w:instrText>
        </w:r>
        <w:r>
          <w:rPr>
            <w:webHidden/>
          </w:rPr>
        </w:r>
        <w:r>
          <w:rPr>
            <w:webHidden/>
          </w:rPr>
          <w:fldChar w:fldCharType="separate"/>
        </w:r>
        <w:r>
          <w:rPr>
            <w:webHidden/>
          </w:rPr>
          <w:t>24</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87" w:history="1">
        <w:r w:rsidRPr="003B70A3">
          <w:rPr>
            <w:rStyle w:val="Hyperlink"/>
          </w:rPr>
          <w:t>6.2</w:t>
        </w:r>
        <w:r>
          <w:rPr>
            <w:rFonts w:asciiTheme="minorHAnsi" w:eastAsiaTheme="minorEastAsia" w:hAnsiTheme="minorHAnsi" w:cstheme="minorBidi"/>
            <w:snapToGrid/>
            <w:kern w:val="0"/>
            <w:szCs w:val="22"/>
            <w:lang w:eastAsia="en-AU"/>
          </w:rPr>
          <w:tab/>
        </w:r>
        <w:r w:rsidRPr="003B70A3">
          <w:rPr>
            <w:rStyle w:val="Hyperlink"/>
          </w:rPr>
          <w:t>Independent evaluation of security and audit reports</w:t>
        </w:r>
        <w:r>
          <w:rPr>
            <w:webHidden/>
          </w:rPr>
          <w:tab/>
        </w:r>
        <w:r>
          <w:rPr>
            <w:webHidden/>
          </w:rPr>
          <w:fldChar w:fldCharType="begin"/>
        </w:r>
        <w:r>
          <w:rPr>
            <w:webHidden/>
          </w:rPr>
          <w:instrText xml:space="preserve"> PAGEREF _Toc453923087 \h </w:instrText>
        </w:r>
        <w:r>
          <w:rPr>
            <w:webHidden/>
          </w:rPr>
        </w:r>
        <w:r>
          <w:rPr>
            <w:webHidden/>
          </w:rPr>
          <w:fldChar w:fldCharType="separate"/>
        </w:r>
        <w:r>
          <w:rPr>
            <w:webHidden/>
          </w:rPr>
          <w:t>24</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88" w:history="1">
        <w:r w:rsidRPr="003B70A3">
          <w:rPr>
            <w:rStyle w:val="Hyperlink"/>
          </w:rPr>
          <w:t>6.3</w:t>
        </w:r>
        <w:r>
          <w:rPr>
            <w:rFonts w:asciiTheme="minorHAnsi" w:eastAsiaTheme="minorEastAsia" w:hAnsiTheme="minorHAnsi" w:cstheme="minorBidi"/>
            <w:snapToGrid/>
            <w:kern w:val="0"/>
            <w:szCs w:val="22"/>
            <w:lang w:eastAsia="en-AU"/>
          </w:rPr>
          <w:tab/>
        </w:r>
        <w:r w:rsidRPr="003B70A3">
          <w:rPr>
            <w:rStyle w:val="Hyperlink"/>
          </w:rPr>
          <w:t>Trial access and ICT security tests</w:t>
        </w:r>
        <w:r>
          <w:rPr>
            <w:webHidden/>
          </w:rPr>
          <w:tab/>
        </w:r>
        <w:r>
          <w:rPr>
            <w:webHidden/>
          </w:rPr>
          <w:fldChar w:fldCharType="begin"/>
        </w:r>
        <w:r>
          <w:rPr>
            <w:webHidden/>
          </w:rPr>
          <w:instrText xml:space="preserve"> PAGEREF _Toc453923088 \h </w:instrText>
        </w:r>
        <w:r>
          <w:rPr>
            <w:webHidden/>
          </w:rPr>
        </w:r>
        <w:r>
          <w:rPr>
            <w:webHidden/>
          </w:rPr>
          <w:fldChar w:fldCharType="separate"/>
        </w:r>
        <w:r>
          <w:rPr>
            <w:webHidden/>
          </w:rPr>
          <w:t>24</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89" w:history="1">
        <w:r w:rsidRPr="003B70A3">
          <w:rPr>
            <w:rStyle w:val="Hyperlink"/>
          </w:rPr>
          <w:t>6.4</w:t>
        </w:r>
        <w:r>
          <w:rPr>
            <w:rFonts w:asciiTheme="minorHAnsi" w:eastAsiaTheme="minorEastAsia" w:hAnsiTheme="minorHAnsi" w:cstheme="minorBidi"/>
            <w:snapToGrid/>
            <w:kern w:val="0"/>
            <w:szCs w:val="22"/>
            <w:lang w:eastAsia="en-AU"/>
          </w:rPr>
          <w:tab/>
        </w:r>
        <w:r w:rsidRPr="003B70A3">
          <w:rPr>
            <w:rStyle w:val="Hyperlink"/>
          </w:rPr>
          <w:t>Technical evaluation of claims</w:t>
        </w:r>
        <w:r>
          <w:rPr>
            <w:webHidden/>
          </w:rPr>
          <w:tab/>
        </w:r>
        <w:r>
          <w:rPr>
            <w:webHidden/>
          </w:rPr>
          <w:fldChar w:fldCharType="begin"/>
        </w:r>
        <w:r>
          <w:rPr>
            <w:webHidden/>
          </w:rPr>
          <w:instrText xml:space="preserve"> PAGEREF _Toc453923089 \h </w:instrText>
        </w:r>
        <w:r>
          <w:rPr>
            <w:webHidden/>
          </w:rPr>
        </w:r>
        <w:r>
          <w:rPr>
            <w:webHidden/>
          </w:rPr>
          <w:fldChar w:fldCharType="separate"/>
        </w:r>
        <w:r>
          <w:rPr>
            <w:webHidden/>
          </w:rPr>
          <w:t>24</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90" w:history="1">
        <w:r w:rsidRPr="003B70A3">
          <w:rPr>
            <w:rStyle w:val="Hyperlink"/>
          </w:rPr>
          <w:t>6.5</w:t>
        </w:r>
        <w:r>
          <w:rPr>
            <w:rFonts w:asciiTheme="minorHAnsi" w:eastAsiaTheme="minorEastAsia" w:hAnsiTheme="minorHAnsi" w:cstheme="minorBidi"/>
            <w:snapToGrid/>
            <w:kern w:val="0"/>
            <w:szCs w:val="22"/>
            <w:lang w:eastAsia="en-AU"/>
          </w:rPr>
          <w:tab/>
        </w:r>
        <w:r w:rsidRPr="003B70A3">
          <w:rPr>
            <w:rStyle w:val="Hyperlink"/>
          </w:rPr>
          <w:t>Embedded assurance claims in the contract</w:t>
        </w:r>
        <w:r>
          <w:rPr>
            <w:webHidden/>
          </w:rPr>
          <w:tab/>
        </w:r>
        <w:r>
          <w:rPr>
            <w:webHidden/>
          </w:rPr>
          <w:fldChar w:fldCharType="begin"/>
        </w:r>
        <w:r>
          <w:rPr>
            <w:webHidden/>
          </w:rPr>
          <w:instrText xml:space="preserve"> PAGEREF _Toc453923090 \h </w:instrText>
        </w:r>
        <w:r>
          <w:rPr>
            <w:webHidden/>
          </w:rPr>
        </w:r>
        <w:r>
          <w:rPr>
            <w:webHidden/>
          </w:rPr>
          <w:fldChar w:fldCharType="separate"/>
        </w:r>
        <w:r>
          <w:rPr>
            <w:webHidden/>
          </w:rPr>
          <w:t>25</w:t>
        </w:r>
        <w:r>
          <w:rPr>
            <w:webHidden/>
          </w:rPr>
          <w:fldChar w:fldCharType="end"/>
        </w:r>
      </w:hyperlink>
    </w:p>
    <w:p w:rsidR="00F8550A" w:rsidRDefault="00F8550A">
      <w:pPr>
        <w:pStyle w:val="TOC1"/>
        <w:rPr>
          <w:rFonts w:asciiTheme="minorHAnsi" w:eastAsiaTheme="minorEastAsia" w:hAnsiTheme="minorHAnsi" w:cstheme="minorBidi"/>
          <w:b w:val="0"/>
          <w:snapToGrid/>
          <w:kern w:val="0"/>
          <w:szCs w:val="22"/>
        </w:rPr>
      </w:pPr>
      <w:hyperlink w:anchor="_Toc453923091" w:history="1">
        <w:r w:rsidRPr="003B70A3">
          <w:rPr>
            <w:rStyle w:val="Hyperlink"/>
          </w:rPr>
          <w:t>7</w:t>
        </w:r>
        <w:r>
          <w:rPr>
            <w:rFonts w:asciiTheme="minorHAnsi" w:eastAsiaTheme="minorEastAsia" w:hAnsiTheme="minorHAnsi" w:cstheme="minorBidi"/>
            <w:b w:val="0"/>
            <w:snapToGrid/>
            <w:kern w:val="0"/>
            <w:szCs w:val="22"/>
          </w:rPr>
          <w:tab/>
        </w:r>
        <w:r w:rsidRPr="003B70A3">
          <w:rPr>
            <w:rStyle w:val="Hyperlink"/>
          </w:rPr>
          <w:t>Information sharing</w:t>
        </w:r>
        <w:r>
          <w:rPr>
            <w:webHidden/>
          </w:rPr>
          <w:tab/>
        </w:r>
        <w:r>
          <w:rPr>
            <w:webHidden/>
          </w:rPr>
          <w:fldChar w:fldCharType="begin"/>
        </w:r>
        <w:r>
          <w:rPr>
            <w:webHidden/>
          </w:rPr>
          <w:instrText xml:space="preserve"> PAGEREF _Toc453923091 \h </w:instrText>
        </w:r>
        <w:r>
          <w:rPr>
            <w:webHidden/>
          </w:rPr>
        </w:r>
        <w:r>
          <w:rPr>
            <w:webHidden/>
          </w:rPr>
          <w:fldChar w:fldCharType="separate"/>
        </w:r>
        <w:r>
          <w:rPr>
            <w:webHidden/>
          </w:rPr>
          <w:t>25</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92" w:history="1">
        <w:r w:rsidRPr="003B70A3">
          <w:rPr>
            <w:rStyle w:val="Hyperlink"/>
          </w:rPr>
          <w:t>7.1</w:t>
        </w:r>
        <w:r>
          <w:rPr>
            <w:rFonts w:asciiTheme="minorHAnsi" w:eastAsiaTheme="minorEastAsia" w:hAnsiTheme="minorHAnsi" w:cstheme="minorBidi"/>
            <w:snapToGrid/>
            <w:kern w:val="0"/>
            <w:szCs w:val="22"/>
            <w:lang w:eastAsia="en-AU"/>
          </w:rPr>
          <w:tab/>
        </w:r>
        <w:r w:rsidRPr="003B70A3">
          <w:rPr>
            <w:rStyle w:val="Hyperlink"/>
          </w:rPr>
          <w:t>Contract clauses</w:t>
        </w:r>
        <w:r>
          <w:rPr>
            <w:webHidden/>
          </w:rPr>
          <w:tab/>
        </w:r>
        <w:r>
          <w:rPr>
            <w:webHidden/>
          </w:rPr>
          <w:fldChar w:fldCharType="begin"/>
        </w:r>
        <w:r>
          <w:rPr>
            <w:webHidden/>
          </w:rPr>
          <w:instrText xml:space="preserve"> PAGEREF _Toc453923092 \h </w:instrText>
        </w:r>
        <w:r>
          <w:rPr>
            <w:webHidden/>
          </w:rPr>
        </w:r>
        <w:r>
          <w:rPr>
            <w:webHidden/>
          </w:rPr>
          <w:fldChar w:fldCharType="separate"/>
        </w:r>
        <w:r>
          <w:rPr>
            <w:webHidden/>
          </w:rPr>
          <w:t>25</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93" w:history="1">
        <w:r w:rsidRPr="003B70A3">
          <w:rPr>
            <w:rStyle w:val="Hyperlink"/>
          </w:rPr>
          <w:t>7.2</w:t>
        </w:r>
        <w:r>
          <w:rPr>
            <w:rFonts w:asciiTheme="minorHAnsi" w:eastAsiaTheme="minorEastAsia" w:hAnsiTheme="minorHAnsi" w:cstheme="minorBidi"/>
            <w:snapToGrid/>
            <w:kern w:val="0"/>
            <w:szCs w:val="22"/>
            <w:lang w:eastAsia="en-AU"/>
          </w:rPr>
          <w:tab/>
        </w:r>
        <w:r w:rsidRPr="003B70A3">
          <w:rPr>
            <w:rStyle w:val="Hyperlink"/>
          </w:rPr>
          <w:t>Risk treatment</w:t>
        </w:r>
        <w:r>
          <w:rPr>
            <w:webHidden/>
          </w:rPr>
          <w:tab/>
        </w:r>
        <w:r>
          <w:rPr>
            <w:webHidden/>
          </w:rPr>
          <w:fldChar w:fldCharType="begin"/>
        </w:r>
        <w:r>
          <w:rPr>
            <w:webHidden/>
          </w:rPr>
          <w:instrText xml:space="preserve"> PAGEREF _Toc453923093 \h </w:instrText>
        </w:r>
        <w:r>
          <w:rPr>
            <w:webHidden/>
          </w:rPr>
        </w:r>
        <w:r>
          <w:rPr>
            <w:webHidden/>
          </w:rPr>
          <w:fldChar w:fldCharType="separate"/>
        </w:r>
        <w:r>
          <w:rPr>
            <w:webHidden/>
          </w:rPr>
          <w:t>26</w:t>
        </w:r>
        <w:r>
          <w:rPr>
            <w:webHidden/>
          </w:rPr>
          <w:fldChar w:fldCharType="end"/>
        </w:r>
      </w:hyperlink>
    </w:p>
    <w:p w:rsidR="00F8550A" w:rsidRDefault="00F8550A">
      <w:pPr>
        <w:pStyle w:val="TOC2"/>
        <w:rPr>
          <w:rFonts w:asciiTheme="minorHAnsi" w:eastAsiaTheme="minorEastAsia" w:hAnsiTheme="minorHAnsi" w:cstheme="minorBidi"/>
          <w:snapToGrid/>
          <w:kern w:val="0"/>
          <w:szCs w:val="22"/>
          <w:lang w:eastAsia="en-AU"/>
        </w:rPr>
      </w:pPr>
      <w:hyperlink w:anchor="_Toc453923094" w:history="1">
        <w:r w:rsidRPr="003B70A3">
          <w:rPr>
            <w:rStyle w:val="Hyperlink"/>
          </w:rPr>
          <w:t>7.3</w:t>
        </w:r>
        <w:r>
          <w:rPr>
            <w:rFonts w:asciiTheme="minorHAnsi" w:eastAsiaTheme="minorEastAsia" w:hAnsiTheme="minorHAnsi" w:cstheme="minorBidi"/>
            <w:snapToGrid/>
            <w:kern w:val="0"/>
            <w:szCs w:val="22"/>
            <w:lang w:eastAsia="en-AU"/>
          </w:rPr>
          <w:tab/>
        </w:r>
        <w:r w:rsidRPr="003B70A3">
          <w:rPr>
            <w:rStyle w:val="Hyperlink"/>
          </w:rPr>
          <w:t>Security requirements</w:t>
        </w:r>
        <w:r>
          <w:rPr>
            <w:webHidden/>
          </w:rPr>
          <w:tab/>
        </w:r>
        <w:r>
          <w:rPr>
            <w:webHidden/>
          </w:rPr>
          <w:fldChar w:fldCharType="begin"/>
        </w:r>
        <w:r>
          <w:rPr>
            <w:webHidden/>
          </w:rPr>
          <w:instrText xml:space="preserve"> PAGEREF _Toc453923094 \h </w:instrText>
        </w:r>
        <w:r>
          <w:rPr>
            <w:webHidden/>
          </w:rPr>
        </w:r>
        <w:r>
          <w:rPr>
            <w:webHidden/>
          </w:rPr>
          <w:fldChar w:fldCharType="separate"/>
        </w:r>
        <w:r>
          <w:rPr>
            <w:webHidden/>
          </w:rPr>
          <w:t>26</w:t>
        </w:r>
        <w:r>
          <w:rPr>
            <w:webHidden/>
          </w:rPr>
          <w:fldChar w:fldCharType="end"/>
        </w:r>
      </w:hyperlink>
    </w:p>
    <w:p w:rsidR="00F8550A" w:rsidRDefault="00F8550A">
      <w:pPr>
        <w:pStyle w:val="TOC1"/>
        <w:rPr>
          <w:rFonts w:asciiTheme="minorHAnsi" w:eastAsiaTheme="minorEastAsia" w:hAnsiTheme="minorHAnsi" w:cstheme="minorBidi"/>
          <w:b w:val="0"/>
          <w:snapToGrid/>
          <w:kern w:val="0"/>
          <w:szCs w:val="22"/>
        </w:rPr>
      </w:pPr>
      <w:hyperlink w:anchor="_Toc453923095" w:history="1">
        <w:r w:rsidRPr="003B70A3">
          <w:rPr>
            <w:rStyle w:val="Hyperlink"/>
          </w:rPr>
          <w:t>8</w:t>
        </w:r>
        <w:r>
          <w:rPr>
            <w:rFonts w:asciiTheme="minorHAnsi" w:eastAsiaTheme="minorEastAsia" w:hAnsiTheme="minorHAnsi" w:cstheme="minorBidi"/>
            <w:b w:val="0"/>
            <w:snapToGrid/>
            <w:kern w:val="0"/>
            <w:szCs w:val="22"/>
          </w:rPr>
          <w:tab/>
        </w:r>
        <w:r w:rsidRPr="003B70A3">
          <w:rPr>
            <w:rStyle w:val="Hyperlink"/>
          </w:rPr>
          <w:t>Security assurance guideline roadmap</w:t>
        </w:r>
        <w:r>
          <w:rPr>
            <w:webHidden/>
          </w:rPr>
          <w:tab/>
        </w:r>
        <w:r>
          <w:rPr>
            <w:webHidden/>
          </w:rPr>
          <w:fldChar w:fldCharType="begin"/>
        </w:r>
        <w:r>
          <w:rPr>
            <w:webHidden/>
          </w:rPr>
          <w:instrText xml:space="preserve"> PAGEREF _Toc453923095 \h </w:instrText>
        </w:r>
        <w:r>
          <w:rPr>
            <w:webHidden/>
          </w:rPr>
        </w:r>
        <w:r>
          <w:rPr>
            <w:webHidden/>
          </w:rPr>
          <w:fldChar w:fldCharType="separate"/>
        </w:r>
        <w:r>
          <w:rPr>
            <w:webHidden/>
          </w:rPr>
          <w:t>27</w:t>
        </w:r>
        <w:r>
          <w:rPr>
            <w:webHidden/>
          </w:rPr>
          <w:fldChar w:fldCharType="end"/>
        </w:r>
      </w:hyperlink>
    </w:p>
    <w:p w:rsidR="00F8550A" w:rsidRDefault="00F8550A">
      <w:pPr>
        <w:pStyle w:val="TOC1"/>
        <w:rPr>
          <w:rFonts w:asciiTheme="minorHAnsi" w:eastAsiaTheme="minorEastAsia" w:hAnsiTheme="minorHAnsi" w:cstheme="minorBidi"/>
          <w:b w:val="0"/>
          <w:snapToGrid/>
          <w:kern w:val="0"/>
          <w:szCs w:val="22"/>
        </w:rPr>
      </w:pPr>
      <w:hyperlink w:anchor="_Toc453923096" w:history="1">
        <w:r w:rsidRPr="003B70A3">
          <w:rPr>
            <w:rStyle w:val="Hyperlink"/>
          </w:rPr>
          <w:t>Appendix A</w:t>
        </w:r>
        <w:r>
          <w:rPr>
            <w:rFonts w:asciiTheme="minorHAnsi" w:eastAsiaTheme="minorEastAsia" w:hAnsiTheme="minorHAnsi" w:cstheme="minorBidi"/>
            <w:b w:val="0"/>
            <w:snapToGrid/>
            <w:kern w:val="0"/>
            <w:szCs w:val="22"/>
          </w:rPr>
          <w:tab/>
        </w:r>
        <w:r w:rsidRPr="003B70A3">
          <w:rPr>
            <w:rStyle w:val="Hyperlink"/>
          </w:rPr>
          <w:t>Demarcation of security roles and responsibilities</w:t>
        </w:r>
        <w:r>
          <w:rPr>
            <w:webHidden/>
          </w:rPr>
          <w:tab/>
        </w:r>
        <w:r>
          <w:rPr>
            <w:webHidden/>
          </w:rPr>
          <w:fldChar w:fldCharType="begin"/>
        </w:r>
        <w:r>
          <w:rPr>
            <w:webHidden/>
          </w:rPr>
          <w:instrText xml:space="preserve"> PAGEREF _Toc453923096 \h </w:instrText>
        </w:r>
        <w:r>
          <w:rPr>
            <w:webHidden/>
          </w:rPr>
        </w:r>
        <w:r>
          <w:rPr>
            <w:webHidden/>
          </w:rPr>
          <w:fldChar w:fldCharType="separate"/>
        </w:r>
        <w:r>
          <w:rPr>
            <w:webHidden/>
          </w:rPr>
          <w:t>28</w:t>
        </w:r>
        <w:r>
          <w:rPr>
            <w:webHidden/>
          </w:rPr>
          <w:fldChar w:fldCharType="end"/>
        </w:r>
      </w:hyperlink>
    </w:p>
    <w:p w:rsidR="00F8550A" w:rsidRDefault="00F8550A">
      <w:pPr>
        <w:pStyle w:val="TOC1"/>
        <w:rPr>
          <w:rFonts w:asciiTheme="minorHAnsi" w:eastAsiaTheme="minorEastAsia" w:hAnsiTheme="minorHAnsi" w:cstheme="minorBidi"/>
          <w:b w:val="0"/>
          <w:snapToGrid/>
          <w:kern w:val="0"/>
          <w:szCs w:val="22"/>
        </w:rPr>
      </w:pPr>
      <w:hyperlink w:anchor="_Toc453923097" w:history="1">
        <w:r w:rsidRPr="003B70A3">
          <w:rPr>
            <w:rStyle w:val="Hyperlink"/>
          </w:rPr>
          <w:t>Appendix B</w:t>
        </w:r>
        <w:r>
          <w:rPr>
            <w:rFonts w:asciiTheme="minorHAnsi" w:eastAsiaTheme="minorEastAsia" w:hAnsiTheme="minorHAnsi" w:cstheme="minorBidi"/>
            <w:b w:val="0"/>
            <w:snapToGrid/>
            <w:kern w:val="0"/>
            <w:szCs w:val="22"/>
          </w:rPr>
          <w:tab/>
        </w:r>
        <w:r w:rsidRPr="003B70A3">
          <w:rPr>
            <w:rStyle w:val="Hyperlink"/>
          </w:rPr>
          <w:t>Evaluation – selection criteria</w:t>
        </w:r>
        <w:r>
          <w:rPr>
            <w:webHidden/>
          </w:rPr>
          <w:tab/>
        </w:r>
        <w:r>
          <w:rPr>
            <w:webHidden/>
          </w:rPr>
          <w:fldChar w:fldCharType="begin"/>
        </w:r>
        <w:r>
          <w:rPr>
            <w:webHidden/>
          </w:rPr>
          <w:instrText xml:space="preserve"> PAGEREF _Toc453923097 \h </w:instrText>
        </w:r>
        <w:r>
          <w:rPr>
            <w:webHidden/>
          </w:rPr>
        </w:r>
        <w:r>
          <w:rPr>
            <w:webHidden/>
          </w:rPr>
          <w:fldChar w:fldCharType="separate"/>
        </w:r>
        <w:r>
          <w:rPr>
            <w:webHidden/>
          </w:rPr>
          <w:t>31</w:t>
        </w:r>
        <w:r>
          <w:rPr>
            <w:webHidden/>
          </w:rPr>
          <w:fldChar w:fldCharType="end"/>
        </w:r>
      </w:hyperlink>
    </w:p>
    <w:p w:rsidR="00503B8B" w:rsidRDefault="00C314B4" w:rsidP="006C3F39">
      <w:pPr>
        <w:pStyle w:val="TOC1"/>
      </w:pPr>
      <w:r w:rsidRPr="00766CCB">
        <w:fldChar w:fldCharType="end"/>
      </w:r>
      <w:bookmarkStart w:id="0" w:name="_GoBack"/>
      <w:bookmarkEnd w:id="0"/>
    </w:p>
    <w:p w:rsidR="00AD0A26" w:rsidRPr="00B12183" w:rsidRDefault="043A0D26" w:rsidP="043A0D26">
      <w:pPr>
        <w:pStyle w:val="Heading1nonumber"/>
        <w:rPr>
          <w:color w:val="5F5F5F"/>
        </w:rPr>
      </w:pPr>
      <w:r w:rsidRPr="043A0D26">
        <w:rPr>
          <w:color w:val="5F5F5F"/>
        </w:rPr>
        <w:t>Figures</w:t>
      </w:r>
    </w:p>
    <w:p w:rsidR="00536336" w:rsidRDefault="00C314B4">
      <w:pPr>
        <w:pStyle w:val="TableofFigures"/>
        <w:tabs>
          <w:tab w:val="right" w:leader="dot" w:pos="9628"/>
        </w:tabs>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"Figure" </w:instrText>
      </w:r>
      <w:r>
        <w:rPr>
          <w:noProof/>
          <w:snapToGrid w:val="0"/>
          <w:kern w:val="24"/>
        </w:rPr>
        <w:fldChar w:fldCharType="separate"/>
      </w:r>
      <w:hyperlink w:anchor="_Toc453923117" w:history="1">
        <w:r w:rsidR="00536336" w:rsidRPr="00491803">
          <w:rPr>
            <w:rStyle w:val="Hyperlink"/>
            <w:rFonts w:eastAsia="Arial" w:cs="Arial"/>
            <w:noProof/>
          </w:rPr>
          <w:t>Figure 1. ICT as-a-service decision framework</w:t>
        </w:r>
        <w:r w:rsidR="00536336">
          <w:rPr>
            <w:noProof/>
            <w:webHidden/>
          </w:rPr>
          <w:tab/>
        </w:r>
        <w:r w:rsidR="00536336">
          <w:rPr>
            <w:noProof/>
            <w:webHidden/>
          </w:rPr>
          <w:fldChar w:fldCharType="begin"/>
        </w:r>
        <w:r w:rsidR="00536336">
          <w:rPr>
            <w:noProof/>
            <w:webHidden/>
          </w:rPr>
          <w:instrText xml:space="preserve"> PAGEREF _Toc453923117 \h </w:instrText>
        </w:r>
        <w:r w:rsidR="00536336">
          <w:rPr>
            <w:noProof/>
            <w:webHidden/>
          </w:rPr>
        </w:r>
        <w:r w:rsidR="00536336">
          <w:rPr>
            <w:noProof/>
            <w:webHidden/>
          </w:rPr>
          <w:fldChar w:fldCharType="separate"/>
        </w:r>
        <w:r w:rsidR="00536336">
          <w:rPr>
            <w:noProof/>
            <w:webHidden/>
          </w:rPr>
          <w:t>6</w:t>
        </w:r>
        <w:r w:rsidR="00536336">
          <w:rPr>
            <w:noProof/>
            <w:webHidden/>
          </w:rPr>
          <w:fldChar w:fldCharType="end"/>
        </w:r>
      </w:hyperlink>
    </w:p>
    <w:p w:rsidR="00536336" w:rsidRDefault="00536336">
      <w:pPr>
        <w:pStyle w:val="TableofFigures"/>
        <w:tabs>
          <w:tab w:val="right" w:leader="dot" w:pos="9628"/>
        </w:tabs>
        <w:rPr>
          <w:rFonts w:asciiTheme="minorHAnsi" w:eastAsiaTheme="minorEastAsia" w:hAnsiTheme="minorHAnsi" w:cstheme="minorBidi"/>
          <w:noProof/>
          <w:szCs w:val="22"/>
        </w:rPr>
      </w:pPr>
      <w:hyperlink w:anchor="_Toc453923118" w:history="1">
        <w:r w:rsidRPr="00491803">
          <w:rPr>
            <w:rStyle w:val="Hyperlink"/>
            <w:rFonts w:eastAsia="Arial" w:cs="Arial"/>
            <w:noProof/>
          </w:rPr>
          <w:t>Figure 2. ICT as-a-service security assurance model</w:t>
        </w:r>
        <w:r>
          <w:rPr>
            <w:noProof/>
            <w:webHidden/>
          </w:rPr>
          <w:tab/>
        </w:r>
        <w:r>
          <w:rPr>
            <w:noProof/>
            <w:webHidden/>
          </w:rPr>
          <w:fldChar w:fldCharType="begin"/>
        </w:r>
        <w:r>
          <w:rPr>
            <w:noProof/>
            <w:webHidden/>
          </w:rPr>
          <w:instrText xml:space="preserve"> PAGEREF _Toc453923118 \h </w:instrText>
        </w:r>
        <w:r>
          <w:rPr>
            <w:noProof/>
            <w:webHidden/>
          </w:rPr>
        </w:r>
        <w:r>
          <w:rPr>
            <w:noProof/>
            <w:webHidden/>
          </w:rPr>
          <w:fldChar w:fldCharType="separate"/>
        </w:r>
        <w:r>
          <w:rPr>
            <w:noProof/>
            <w:webHidden/>
          </w:rPr>
          <w:t>8</w:t>
        </w:r>
        <w:r>
          <w:rPr>
            <w:noProof/>
            <w:webHidden/>
          </w:rPr>
          <w:fldChar w:fldCharType="end"/>
        </w:r>
      </w:hyperlink>
    </w:p>
    <w:p w:rsidR="00536336" w:rsidRDefault="00536336">
      <w:pPr>
        <w:pStyle w:val="TableofFigures"/>
        <w:tabs>
          <w:tab w:val="right" w:leader="dot" w:pos="9628"/>
        </w:tabs>
        <w:rPr>
          <w:rFonts w:asciiTheme="minorHAnsi" w:eastAsiaTheme="minorEastAsia" w:hAnsiTheme="minorHAnsi" w:cstheme="minorBidi"/>
          <w:noProof/>
          <w:szCs w:val="22"/>
        </w:rPr>
      </w:pPr>
      <w:hyperlink w:anchor="_Toc453923119" w:history="1">
        <w:r w:rsidRPr="00491803">
          <w:rPr>
            <w:rStyle w:val="Hyperlink"/>
            <w:noProof/>
          </w:rPr>
          <w:t>Figure 3. Customer managed to cloud service provider managed: The Continuum of Cloud Services</w:t>
        </w:r>
        <w:r>
          <w:rPr>
            <w:noProof/>
            <w:webHidden/>
          </w:rPr>
          <w:tab/>
        </w:r>
        <w:r>
          <w:rPr>
            <w:noProof/>
            <w:webHidden/>
          </w:rPr>
          <w:fldChar w:fldCharType="begin"/>
        </w:r>
        <w:r>
          <w:rPr>
            <w:noProof/>
            <w:webHidden/>
          </w:rPr>
          <w:instrText xml:space="preserve"> PAGEREF _Toc453923119 \h </w:instrText>
        </w:r>
        <w:r>
          <w:rPr>
            <w:noProof/>
            <w:webHidden/>
          </w:rPr>
        </w:r>
        <w:r>
          <w:rPr>
            <w:noProof/>
            <w:webHidden/>
          </w:rPr>
          <w:fldChar w:fldCharType="separate"/>
        </w:r>
        <w:r>
          <w:rPr>
            <w:noProof/>
            <w:webHidden/>
          </w:rPr>
          <w:t>28</w:t>
        </w:r>
        <w:r>
          <w:rPr>
            <w:noProof/>
            <w:webHidden/>
          </w:rPr>
          <w:fldChar w:fldCharType="end"/>
        </w:r>
      </w:hyperlink>
    </w:p>
    <w:p w:rsidR="00AD0A26" w:rsidRDefault="00C314B4" w:rsidP="00766CCB">
      <w:pPr>
        <w:rPr>
          <w:noProof/>
          <w:snapToGrid w:val="0"/>
        </w:rPr>
      </w:pPr>
      <w:r>
        <w:rPr>
          <w:noProof/>
          <w:snapToGrid w:val="0"/>
        </w:rPr>
        <w:fldChar w:fldCharType="end"/>
      </w: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rsidR="00CA72BA" w:rsidRPr="00B12183" w:rsidRDefault="00FF3EF6" w:rsidP="00B12183">
      <w:pPr>
        <w:pStyle w:val="Heading1"/>
      </w:pPr>
      <w:bookmarkStart w:id="1" w:name="_Ref214338390"/>
      <w:bookmarkStart w:id="2" w:name="_Toc453923065"/>
      <w:r w:rsidRPr="00B12183">
        <w:lastRenderedPageBreak/>
        <w:t>Introduction</w:t>
      </w:r>
      <w:bookmarkEnd w:id="2"/>
      <w:r w:rsidRPr="00B12183">
        <w:t xml:space="preserve"> </w:t>
      </w:r>
    </w:p>
    <w:p w:rsidR="00CA72BA" w:rsidRPr="00B12183" w:rsidRDefault="00FF3EF6" w:rsidP="00B12183">
      <w:pPr>
        <w:pStyle w:val="Heading2"/>
      </w:pPr>
      <w:bookmarkStart w:id="3" w:name="_Toc453923066"/>
      <w:bookmarkEnd w:id="1"/>
      <w:r w:rsidRPr="00B12183">
        <w:t>Purpose</w:t>
      </w:r>
      <w:bookmarkEnd w:id="3"/>
    </w:p>
    <w:p w:rsidR="00212916" w:rsidRPr="00515C49" w:rsidRDefault="043A0D26" w:rsidP="006C3F39">
      <w:pPr>
        <w:pStyle w:val="BodyText1"/>
      </w:pPr>
      <w:r w:rsidRPr="043A0D26">
        <w:rPr>
          <w:rFonts w:eastAsia="Arial"/>
        </w:rPr>
        <w:t>A Queensland Government Enterprise Architecture (QGEA) guideline provides information for Queensland Government agencies on the recommended practices for a given topic area. Guidelines are generally for information only and agencies are not required to comply. They are intended to help agencies understand the appropriate approach to addressing a particular issue or doing a particular task.</w:t>
      </w:r>
    </w:p>
    <w:p w:rsidR="00212916" w:rsidRPr="00515C49" w:rsidRDefault="043A0D26" w:rsidP="006C3F39">
      <w:pPr>
        <w:pStyle w:val="BodyText1"/>
      </w:pPr>
      <w:r w:rsidRPr="043A0D26">
        <w:rPr>
          <w:rFonts w:eastAsia="Arial"/>
        </w:rPr>
        <w:t>This document provides information and advice to support Queensland Government agencies in gaining adequate assurance of planned cloud and ICT as-a-service offerings through the evaluation, service integration design, contract and procurement activities.</w:t>
      </w:r>
    </w:p>
    <w:p w:rsidR="009E4138" w:rsidRDefault="043A0D26" w:rsidP="006C3F39">
      <w:pPr>
        <w:pStyle w:val="BodyText1"/>
      </w:pPr>
      <w:r w:rsidRPr="043A0D26">
        <w:rPr>
          <w:rFonts w:eastAsia="Arial"/>
        </w:rPr>
        <w:t>While this document identifies some common mandatory obligations, such as privacy legislation, additional obligations may exist such as contract obligations (e</w:t>
      </w:r>
      <w:r w:rsidR="000160B4">
        <w:rPr>
          <w:rFonts w:eastAsia="Arial"/>
        </w:rPr>
        <w:t>.</w:t>
      </w:r>
      <w:r w:rsidRPr="043A0D26">
        <w:rPr>
          <w:rFonts w:eastAsia="Arial"/>
        </w:rPr>
        <w:t>g. PCI-DSS or grants conditions), or domain specific legislation (e</w:t>
      </w:r>
      <w:r w:rsidR="000160B4">
        <w:rPr>
          <w:rFonts w:eastAsia="Arial"/>
        </w:rPr>
        <w:t>.</w:t>
      </w:r>
      <w:r w:rsidRPr="043A0D26">
        <w:rPr>
          <w:rFonts w:eastAsia="Arial"/>
        </w:rPr>
        <w:t>g. health, law enforcement or child safety).</w:t>
      </w:r>
      <w:r w:rsidR="002E48AB">
        <w:rPr>
          <w:rFonts w:eastAsia="Arial"/>
        </w:rPr>
        <w:t xml:space="preserve"> </w:t>
      </w:r>
      <w:r w:rsidRPr="043A0D26">
        <w:rPr>
          <w:rFonts w:eastAsia="Arial"/>
        </w:rPr>
        <w:t>Given this, agencies are strongly recommended to further investigate potential obligations that may exist in their own business domain.</w:t>
      </w:r>
    </w:p>
    <w:p w:rsidR="00CA72BA" w:rsidRDefault="00212916" w:rsidP="00B12183">
      <w:pPr>
        <w:pStyle w:val="Heading2"/>
      </w:pPr>
      <w:bookmarkStart w:id="4" w:name="_Toc453923067"/>
      <w:r>
        <w:t>What is this guideline for?</w:t>
      </w:r>
      <w:bookmarkEnd w:id="4"/>
      <w:r w:rsidR="00CA72BA">
        <w:t xml:space="preserve"> </w:t>
      </w:r>
    </w:p>
    <w:p w:rsidR="00212916" w:rsidRPr="00515C49" w:rsidRDefault="043A0D26" w:rsidP="006C3F39">
      <w:pPr>
        <w:pStyle w:val="BodyText1"/>
      </w:pPr>
      <w:r w:rsidRPr="043A0D26">
        <w:rPr>
          <w:rFonts w:eastAsia="Arial"/>
        </w:rPr>
        <w:t>This guideline is designed to assist agencies in developing a quality assessment process when considering the use of ICT as-a-</w:t>
      </w:r>
      <w:r w:rsidR="002E48AB">
        <w:rPr>
          <w:rFonts w:eastAsia="Arial"/>
        </w:rPr>
        <w:t>s</w:t>
      </w:r>
      <w:r w:rsidRPr="043A0D26">
        <w:rPr>
          <w:rFonts w:eastAsia="Arial"/>
        </w:rPr>
        <w:t>ervice.</w:t>
      </w:r>
      <w:r w:rsidR="002E48AB">
        <w:rPr>
          <w:rFonts w:eastAsia="Arial"/>
        </w:rPr>
        <w:t xml:space="preserve"> </w:t>
      </w:r>
      <w:r w:rsidRPr="043A0D26">
        <w:rPr>
          <w:rFonts w:eastAsia="Arial"/>
        </w:rPr>
        <w:t>It outlines the key security considerations, questions and possible answers with associated risk rankings that agencies should address as part of their existing quality and security management processes.</w:t>
      </w:r>
    </w:p>
    <w:p w:rsidR="00212916" w:rsidRPr="00515C49" w:rsidRDefault="043A0D26" w:rsidP="006C3F39">
      <w:pPr>
        <w:pStyle w:val="BodyText1"/>
      </w:pPr>
      <w:r w:rsidRPr="043A0D26">
        <w:rPr>
          <w:rFonts w:eastAsia="Arial"/>
        </w:rPr>
        <w:t>The guideline is a set of assurance criteria designed to:</w:t>
      </w:r>
    </w:p>
    <w:p w:rsidR="00212916" w:rsidRPr="00515C49" w:rsidRDefault="043A0D26" w:rsidP="00204D98">
      <w:pPr>
        <w:pStyle w:val="Bullet1"/>
      </w:pPr>
      <w:r>
        <w:t>assess the risk of adopting cloud services</w:t>
      </w:r>
    </w:p>
    <w:p w:rsidR="00204D98" w:rsidRPr="00204D98" w:rsidRDefault="043A0D26" w:rsidP="00204D98">
      <w:pPr>
        <w:pStyle w:val="Bullet1"/>
      </w:pPr>
      <w:r>
        <w:t>compare different cloud provider offers</w:t>
      </w:r>
    </w:p>
    <w:p w:rsidR="00CA72BA" w:rsidRDefault="043A0D26" w:rsidP="00204D98">
      <w:pPr>
        <w:pStyle w:val="Bullet1"/>
      </w:pPr>
      <w:r>
        <w:t>obtain assurance from the selected or potential cloud providers.</w:t>
      </w:r>
    </w:p>
    <w:p w:rsidR="00204D98" w:rsidRDefault="00204D98" w:rsidP="00204D98">
      <w:pPr>
        <w:pStyle w:val="Heading2"/>
      </w:pPr>
      <w:bookmarkStart w:id="5" w:name="_Toc453923068"/>
      <w:r>
        <w:t>Why does the Queensland Government need this guideline?</w:t>
      </w:r>
      <w:bookmarkEnd w:id="5"/>
    </w:p>
    <w:p w:rsidR="00204D98" w:rsidRDefault="043A0D26" w:rsidP="006C3F39">
      <w:pPr>
        <w:pStyle w:val="BodyText1"/>
      </w:pPr>
      <w:r w:rsidRPr="043A0D26">
        <w:rPr>
          <w:rFonts w:eastAsia="Arial"/>
        </w:rPr>
        <w:t>The objective of this guideline is to ensure a common and consistent vetting of supplier security assurance levels across Queensland Government agencies.</w:t>
      </w:r>
    </w:p>
    <w:p w:rsidR="00204D98" w:rsidRDefault="00204D98" w:rsidP="00204D98">
      <w:pPr>
        <w:pStyle w:val="Heading2"/>
      </w:pPr>
      <w:bookmarkStart w:id="6" w:name="_Toc453923069"/>
      <w:r>
        <w:t xml:space="preserve">Who </w:t>
      </w:r>
      <w:r w:rsidR="001A22BE">
        <w:t>should</w:t>
      </w:r>
      <w:r>
        <w:t xml:space="preserve"> use this guideline?</w:t>
      </w:r>
      <w:bookmarkEnd w:id="6"/>
    </w:p>
    <w:p w:rsidR="00204D98" w:rsidRPr="00757275" w:rsidRDefault="043A0D26" w:rsidP="006C3F39">
      <w:pPr>
        <w:pStyle w:val="BodyText1"/>
      </w:pPr>
      <w:r>
        <w:t>The intended audience for the ICT as-a-</w:t>
      </w:r>
      <w:r w:rsidR="002E48AB">
        <w:t>s</w:t>
      </w:r>
      <w:r>
        <w:t>ervice quality and security assurance guideline is:</w:t>
      </w:r>
    </w:p>
    <w:p w:rsidR="00204D98" w:rsidRPr="00757275" w:rsidRDefault="043A0D26" w:rsidP="00204D98">
      <w:pPr>
        <w:pStyle w:val="Bullet1"/>
      </w:pPr>
      <w:r>
        <w:t>a requestor of a service</w:t>
      </w:r>
    </w:p>
    <w:p w:rsidR="00204D98" w:rsidRPr="00757275" w:rsidRDefault="043A0D26" w:rsidP="00204D98">
      <w:pPr>
        <w:pStyle w:val="Bullet1"/>
      </w:pPr>
      <w:r>
        <w:t>a buyer of a service</w:t>
      </w:r>
    </w:p>
    <w:p w:rsidR="00204D98" w:rsidRPr="00757275" w:rsidRDefault="043A0D26" w:rsidP="00204D98">
      <w:pPr>
        <w:pStyle w:val="Bullet1"/>
      </w:pPr>
      <w:r>
        <w:t>architects</w:t>
      </w:r>
    </w:p>
    <w:p w:rsidR="00204D98" w:rsidRPr="00757275" w:rsidRDefault="043A0D26" w:rsidP="00204D98">
      <w:pPr>
        <w:pStyle w:val="Bullet1"/>
      </w:pPr>
      <w:r>
        <w:t>an implementer of a service</w:t>
      </w:r>
    </w:p>
    <w:p w:rsidR="00204D98" w:rsidRDefault="043A0D26" w:rsidP="00204D98">
      <w:pPr>
        <w:pStyle w:val="Bullet1"/>
      </w:pPr>
      <w:r>
        <w:t>service management staff.</w:t>
      </w:r>
    </w:p>
    <w:p w:rsidR="00204D98" w:rsidRDefault="043A0D26" w:rsidP="006C3F39">
      <w:pPr>
        <w:pStyle w:val="BodyText1"/>
        <w:rPr>
          <w:rFonts w:cs="Arial"/>
        </w:rPr>
      </w:pPr>
      <w:r w:rsidRPr="043A0D26">
        <w:rPr>
          <w:rFonts w:eastAsia="Arial" w:cs="Arial"/>
        </w:rPr>
        <w:t xml:space="preserve">It is recommended that the reader be familiar with the </w:t>
      </w:r>
      <w:hyperlink r:id="rId17">
        <w:r w:rsidRPr="043A0D26">
          <w:rPr>
            <w:rStyle w:val="Hyperlink"/>
            <w:rFonts w:eastAsia="Arial" w:cs="Arial"/>
          </w:rPr>
          <w:t>Queensland Government Information Security Classification Framework</w:t>
        </w:r>
      </w:hyperlink>
      <w:r w:rsidRPr="043A0D26">
        <w:rPr>
          <w:rFonts w:eastAsia="Arial" w:cs="Arial"/>
        </w:rPr>
        <w:t xml:space="preserve"> (QGISCF) and essential that information that forms part of the ICT as-a-service has been through the classification process to understand its sensitivity.</w:t>
      </w:r>
    </w:p>
    <w:p w:rsidR="00E2362A" w:rsidRDefault="00E2362A">
      <w:pPr>
        <w:spacing w:before="0" w:line="240" w:lineRule="auto"/>
        <w:ind w:left="0"/>
        <w:rPr>
          <w:rFonts w:cs="Arial"/>
          <w:b/>
          <w:color w:val="5F5F5F"/>
          <w:sz w:val="28"/>
          <w:lang w:eastAsia="en-AU"/>
        </w:rPr>
      </w:pPr>
      <w:r>
        <w:br w:type="page"/>
      </w:r>
    </w:p>
    <w:p w:rsidR="00204D98" w:rsidRDefault="345F88C1" w:rsidP="00204D98">
      <w:pPr>
        <w:pStyle w:val="Heading2"/>
      </w:pPr>
      <w:bookmarkStart w:id="7" w:name="_Toc453923070"/>
      <w:r>
        <w:lastRenderedPageBreak/>
        <w:t xml:space="preserve">How does this guideline fit within the ICT </w:t>
      </w:r>
      <w:r w:rsidR="007C4D03">
        <w:t>as-a-service</w:t>
      </w:r>
      <w:r>
        <w:t xml:space="preserve"> decision framework?</w:t>
      </w:r>
      <w:bookmarkEnd w:id="7"/>
    </w:p>
    <w:p w:rsidR="00204D98" w:rsidRPr="00204D98" w:rsidRDefault="00204D98" w:rsidP="00204D98">
      <w:pPr>
        <w:pStyle w:val="Blankline"/>
      </w:pPr>
    </w:p>
    <w:p w:rsidR="00204D98" w:rsidRDefault="002E48AB" w:rsidP="00204D98">
      <w:pPr>
        <w:pStyle w:val="BodyText"/>
        <w:rPr>
          <w:rFonts w:cs="Arial"/>
        </w:rPr>
      </w:pPr>
      <w:r w:rsidRPr="00515C49">
        <w:rPr>
          <w:rFonts w:cs="Arial"/>
        </w:rPr>
        <w:object w:dxaOrig="16321" w:dyaOrig="9075" w14:anchorId="6861D8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5pt;height:248.85pt" o:ole="">
            <v:imagedata r:id="rId18" o:title=""/>
          </v:shape>
          <o:OLEObject Type="Embed" ProgID="Visio.Drawing.15" ShapeID="_x0000_i1025" DrawAspect="Content" ObjectID="_1527664952" r:id="rId19"/>
        </w:object>
      </w:r>
    </w:p>
    <w:p w:rsidR="00204D98" w:rsidRPr="00515C49" w:rsidRDefault="00204D98" w:rsidP="00204D98">
      <w:pPr>
        <w:pStyle w:val="Caption"/>
        <w:rPr>
          <w:rFonts w:cs="Arial"/>
        </w:rPr>
      </w:pPr>
      <w:bookmarkStart w:id="8" w:name="_Toc448914517"/>
      <w:bookmarkStart w:id="9" w:name="_Toc453923117"/>
      <w:r w:rsidRPr="043A0D26">
        <w:rPr>
          <w:rFonts w:eastAsia="Arial" w:cs="Arial"/>
        </w:rPr>
        <w:t xml:space="preserve">Figure </w:t>
      </w:r>
      <w:r w:rsidRPr="345F88C1">
        <w:fldChar w:fldCharType="begin"/>
      </w:r>
      <w:r w:rsidRPr="00515C49">
        <w:rPr>
          <w:rFonts w:cs="Arial"/>
        </w:rPr>
        <w:instrText xml:space="preserve"> SEQ Figure \* ARABIC </w:instrText>
      </w:r>
      <w:r w:rsidRPr="345F88C1">
        <w:rPr>
          <w:rFonts w:cs="Arial"/>
        </w:rPr>
        <w:fldChar w:fldCharType="separate"/>
      </w:r>
      <w:r w:rsidRPr="043A0D26">
        <w:rPr>
          <w:rFonts w:eastAsia="Arial" w:cs="Arial"/>
          <w:noProof/>
        </w:rPr>
        <w:t>1</w:t>
      </w:r>
      <w:r w:rsidRPr="345F88C1">
        <w:fldChar w:fldCharType="end"/>
      </w:r>
      <w:r w:rsidRPr="043A0D26">
        <w:rPr>
          <w:rFonts w:eastAsia="Arial" w:cs="Arial"/>
        </w:rPr>
        <w:t xml:space="preserve">. </w:t>
      </w:r>
      <w:bookmarkEnd w:id="8"/>
      <w:r w:rsidRPr="043A0D26">
        <w:rPr>
          <w:rFonts w:eastAsia="Arial" w:cs="Arial"/>
        </w:rPr>
        <w:t>ICT as-a-</w:t>
      </w:r>
      <w:r w:rsidR="002E48AB">
        <w:rPr>
          <w:rFonts w:eastAsia="Arial" w:cs="Arial"/>
        </w:rPr>
        <w:t>s</w:t>
      </w:r>
      <w:r w:rsidRPr="043A0D26">
        <w:rPr>
          <w:rFonts w:eastAsia="Arial" w:cs="Arial"/>
        </w:rPr>
        <w:t xml:space="preserve">ervice </w:t>
      </w:r>
      <w:r w:rsidR="002E48AB">
        <w:rPr>
          <w:rFonts w:eastAsia="Arial" w:cs="Arial"/>
        </w:rPr>
        <w:t>d</w:t>
      </w:r>
      <w:r w:rsidRPr="043A0D26">
        <w:rPr>
          <w:rFonts w:eastAsia="Arial" w:cs="Arial"/>
        </w:rPr>
        <w:t xml:space="preserve">ecision </w:t>
      </w:r>
      <w:r w:rsidR="002E48AB">
        <w:rPr>
          <w:rFonts w:eastAsia="Arial" w:cs="Arial"/>
        </w:rPr>
        <w:t>f</w:t>
      </w:r>
      <w:r w:rsidRPr="043A0D26">
        <w:rPr>
          <w:rFonts w:eastAsia="Arial" w:cs="Arial"/>
        </w:rPr>
        <w:t>ramework</w:t>
      </w:r>
      <w:bookmarkEnd w:id="9"/>
    </w:p>
    <w:p w:rsidR="00204D98" w:rsidRDefault="043A0D26" w:rsidP="006C3F39">
      <w:pPr>
        <w:pStyle w:val="BodyText1"/>
        <w:rPr>
          <w:rFonts w:eastAsia="Arial"/>
        </w:rPr>
      </w:pPr>
      <w:r w:rsidRPr="043A0D26">
        <w:rPr>
          <w:rFonts w:eastAsia="Arial"/>
        </w:rPr>
        <w:t xml:space="preserve">Figure 1 above details the key steps in the decision-making process within the ICT as-a-service </w:t>
      </w:r>
      <w:r w:rsidR="002E48AB" w:rsidRPr="043A0D26">
        <w:rPr>
          <w:rFonts w:eastAsia="Arial"/>
        </w:rPr>
        <w:t xml:space="preserve">Decision Framework </w:t>
      </w:r>
      <w:r w:rsidRPr="043A0D26">
        <w:rPr>
          <w:rFonts w:eastAsia="Arial"/>
        </w:rPr>
        <w:t>and also provides additional guidance to support each step.</w:t>
      </w:r>
    </w:p>
    <w:p w:rsidR="002E48AB" w:rsidRDefault="002E48AB" w:rsidP="002E48AB">
      <w:pPr>
        <w:pStyle w:val="Blankline"/>
      </w:pPr>
    </w:p>
    <w:tbl>
      <w:tblPr>
        <w:tblStyle w:val="Table-LowInk"/>
        <w:tblW w:w="0" w:type="auto"/>
        <w:tblInd w:w="704" w:type="dxa"/>
        <w:tblLook w:val="04A0" w:firstRow="1" w:lastRow="0" w:firstColumn="1" w:lastColumn="0" w:noHBand="0" w:noVBand="1"/>
      </w:tblPr>
      <w:tblGrid>
        <w:gridCol w:w="4110"/>
        <w:gridCol w:w="4814"/>
      </w:tblGrid>
      <w:tr w:rsidR="00204D98" w:rsidTr="002E48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0" w:type="dxa"/>
          </w:tcPr>
          <w:p w:rsidR="00204D98" w:rsidRDefault="00204D98" w:rsidP="0039133B">
            <w:pPr>
              <w:pStyle w:val="BodyText"/>
              <w:tabs>
                <w:tab w:val="center" w:pos="1942"/>
              </w:tabs>
              <w:ind w:left="0"/>
            </w:pPr>
            <w:r>
              <w:t>Key steps</w:t>
            </w:r>
            <w:r w:rsidR="0039133B">
              <w:tab/>
            </w:r>
          </w:p>
        </w:tc>
        <w:tc>
          <w:tcPr>
            <w:tcW w:w="4814" w:type="dxa"/>
          </w:tcPr>
          <w:p w:rsidR="00204D98" w:rsidRDefault="043A0D26" w:rsidP="00204D98">
            <w:pPr>
              <w:pStyle w:val="BodyText"/>
              <w:ind w:left="0"/>
              <w:cnfStyle w:val="100000000000" w:firstRow="1" w:lastRow="0" w:firstColumn="0" w:lastColumn="0" w:oddVBand="0" w:evenVBand="0" w:oddHBand="0" w:evenHBand="0" w:firstRowFirstColumn="0" w:firstRowLastColumn="0" w:lastRowFirstColumn="0" w:lastRowLastColumn="0"/>
            </w:pPr>
            <w:r>
              <w:t>Policy/framework</w:t>
            </w:r>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C36DB7">
            <w:pPr>
              <w:spacing w:beforeLines="20" w:before="48" w:after="20" w:line="264" w:lineRule="auto"/>
              <w:ind w:left="0"/>
              <w:rPr>
                <w:rFonts w:cs="Arial"/>
              </w:rPr>
            </w:pPr>
            <w:r w:rsidRPr="043A0D26">
              <w:rPr>
                <w:rFonts w:eastAsia="Arial" w:cs="Arial"/>
              </w:rPr>
              <w:t>Understand the decision framework</w:t>
            </w:r>
          </w:p>
        </w:tc>
        <w:tc>
          <w:tcPr>
            <w:tcW w:w="4814" w:type="dxa"/>
          </w:tcPr>
          <w:p w:rsidR="00204D98" w:rsidRPr="00515C49" w:rsidRDefault="00F8550A" w:rsidP="002E48AB">
            <w:pPr>
              <w:spacing w:beforeLines="20" w:before="48" w:after="20" w:line="264" w:lineRule="auto"/>
              <w:ind w:left="19"/>
              <w:cnfStyle w:val="000000000000" w:firstRow="0" w:lastRow="0" w:firstColumn="0" w:lastColumn="0" w:oddVBand="0" w:evenVBand="0" w:oddHBand="0" w:evenHBand="0" w:firstRowFirstColumn="0" w:firstRowLastColumn="0" w:lastRowFirstColumn="0" w:lastRowLastColumn="0"/>
              <w:rPr>
                <w:rFonts w:cs="Arial"/>
                <w:sz w:val="20"/>
              </w:rPr>
            </w:pPr>
            <w:hyperlink r:id="rId20">
              <w:r w:rsidR="043A0D26" w:rsidRPr="043A0D26">
                <w:rPr>
                  <w:rStyle w:val="Hyperlink"/>
                  <w:rFonts w:eastAsia="Arial" w:cs="Arial"/>
                  <w:i/>
                  <w:iCs/>
                  <w:sz w:val="20"/>
                </w:rPr>
                <w:t>ICT as-a-</w:t>
              </w:r>
              <w:r w:rsidR="002E48AB">
                <w:rPr>
                  <w:rStyle w:val="Hyperlink"/>
                  <w:rFonts w:eastAsia="Arial" w:cs="Arial"/>
                  <w:i/>
                  <w:iCs/>
                  <w:sz w:val="20"/>
                </w:rPr>
                <w:t>s</w:t>
              </w:r>
              <w:r w:rsidR="043A0D26" w:rsidRPr="043A0D26">
                <w:rPr>
                  <w:rStyle w:val="Hyperlink"/>
                  <w:rFonts w:eastAsia="Arial" w:cs="Arial"/>
                  <w:i/>
                  <w:iCs/>
                  <w:sz w:val="20"/>
                </w:rPr>
                <w:t xml:space="preserve">ervice Decision Framework </w:t>
              </w:r>
              <w:r w:rsidR="043A0D26" w:rsidRPr="043A0D26">
                <w:rPr>
                  <w:rStyle w:val="Hyperlink"/>
                  <w:rFonts w:eastAsia="Arial" w:cs="Arial"/>
                  <w:sz w:val="20"/>
                </w:rPr>
                <w:t>- Overview</w:t>
              </w:r>
            </w:hyperlink>
            <w:r w:rsidR="043A0D26" w:rsidRPr="043A0D26">
              <w:rPr>
                <w:rFonts w:eastAsia="Arial" w:cs="Arial"/>
                <w:sz w:val="20"/>
              </w:rPr>
              <w:t xml:space="preserve"> (see Figure 1)</w:t>
            </w:r>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2E48AB">
            <w:pPr>
              <w:spacing w:beforeLines="20" w:before="48" w:after="20" w:line="264" w:lineRule="auto"/>
              <w:ind w:left="0"/>
              <w:rPr>
                <w:rFonts w:cs="Arial"/>
              </w:rPr>
            </w:pPr>
            <w:r w:rsidRPr="043A0D26">
              <w:rPr>
                <w:rFonts w:eastAsia="Arial" w:cs="Arial"/>
              </w:rPr>
              <w:t>Understand the policy – ICT as-a-</w:t>
            </w:r>
            <w:r w:rsidR="002E48AB">
              <w:rPr>
                <w:rFonts w:eastAsia="Arial" w:cs="Arial"/>
              </w:rPr>
              <w:t>s</w:t>
            </w:r>
            <w:r w:rsidRPr="043A0D26">
              <w:rPr>
                <w:rFonts w:eastAsia="Arial" w:cs="Arial"/>
              </w:rPr>
              <w:t>ervice</w:t>
            </w:r>
          </w:p>
        </w:tc>
        <w:tc>
          <w:tcPr>
            <w:tcW w:w="4814" w:type="dxa"/>
          </w:tcPr>
          <w:p w:rsidR="00204D98" w:rsidRPr="00515C49" w:rsidRDefault="00F8550A" w:rsidP="002E48AB">
            <w:pPr>
              <w:spacing w:beforeLines="20" w:before="48" w:after="20" w:line="264" w:lineRule="auto"/>
              <w:ind w:left="19"/>
              <w:cnfStyle w:val="000000000000" w:firstRow="0" w:lastRow="0" w:firstColumn="0" w:lastColumn="0" w:oddVBand="0" w:evenVBand="0" w:oddHBand="0" w:evenHBand="0" w:firstRowFirstColumn="0" w:firstRowLastColumn="0" w:lastRowFirstColumn="0" w:lastRowLastColumn="0"/>
              <w:rPr>
                <w:rFonts w:cs="Arial"/>
                <w:sz w:val="20"/>
              </w:rPr>
            </w:pPr>
            <w:hyperlink r:id="rId21" w:history="1">
              <w:r w:rsidR="00204D98" w:rsidRPr="00515C49">
                <w:rPr>
                  <w:rStyle w:val="Hyperlink"/>
                  <w:rFonts w:cs="Arial"/>
                  <w:i/>
                  <w:iCs/>
                  <w:sz w:val="20"/>
                </w:rPr>
                <w:t>ICT as-a-</w:t>
              </w:r>
              <w:r w:rsidR="002E48AB" w:rsidRPr="00515C49">
                <w:rPr>
                  <w:rStyle w:val="Hyperlink"/>
                  <w:rFonts w:cs="Arial"/>
                  <w:i/>
                  <w:iCs/>
                  <w:sz w:val="20"/>
                </w:rPr>
                <w:t>service p</w:t>
              </w:r>
              <w:r w:rsidR="00204D98" w:rsidRPr="00515C49">
                <w:rPr>
                  <w:rStyle w:val="Hyperlink"/>
                  <w:rFonts w:cs="Arial"/>
                  <w:i/>
                  <w:iCs/>
                  <w:sz w:val="20"/>
                </w:rPr>
                <w:t>olicy</w:t>
              </w:r>
            </w:hyperlink>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2E48AB">
            <w:pPr>
              <w:spacing w:beforeLines="20" w:before="48" w:after="20" w:line="264" w:lineRule="auto"/>
              <w:ind w:left="0"/>
              <w:rPr>
                <w:rFonts w:cs="Arial"/>
              </w:rPr>
            </w:pPr>
            <w:r w:rsidRPr="043A0D26">
              <w:rPr>
                <w:rFonts w:eastAsia="Arial" w:cs="Arial"/>
              </w:rPr>
              <w:t>Know your asset</w:t>
            </w:r>
            <w:r w:rsidR="002E48AB">
              <w:rPr>
                <w:rFonts w:eastAsia="Arial" w:cs="Arial"/>
              </w:rPr>
              <w:t>/s</w:t>
            </w:r>
          </w:p>
        </w:tc>
        <w:tc>
          <w:tcPr>
            <w:tcW w:w="4814" w:type="dxa"/>
          </w:tcPr>
          <w:p w:rsidR="00204D98" w:rsidRPr="00515C49" w:rsidRDefault="00F8550A" w:rsidP="002E48AB">
            <w:pPr>
              <w:spacing w:beforeLines="20" w:before="48" w:after="20" w:line="264" w:lineRule="auto"/>
              <w:ind w:left="19"/>
              <w:cnfStyle w:val="000000000000" w:firstRow="0" w:lastRow="0" w:firstColumn="0" w:lastColumn="0" w:oddVBand="0" w:evenVBand="0" w:oddHBand="0" w:evenHBand="0" w:firstRowFirstColumn="0" w:firstRowLastColumn="0" w:lastRowFirstColumn="0" w:lastRowLastColumn="0"/>
              <w:rPr>
                <w:rFonts w:cs="Arial"/>
                <w:i/>
                <w:sz w:val="20"/>
              </w:rPr>
            </w:pPr>
            <w:hyperlink r:id="rId22">
              <w:r w:rsidR="043A0D26" w:rsidRPr="043A0D26">
                <w:rPr>
                  <w:rStyle w:val="Hyperlink"/>
                  <w:rFonts w:eastAsia="Arial" w:cs="Arial"/>
                  <w:i/>
                  <w:iCs/>
                  <w:sz w:val="20"/>
                </w:rPr>
                <w:t>Queensland Government Information Security Classification Framework</w:t>
              </w:r>
            </w:hyperlink>
            <w:r w:rsidR="043A0D26" w:rsidRPr="043A0D26">
              <w:rPr>
                <w:rFonts w:eastAsia="Arial" w:cs="Arial"/>
                <w:i/>
                <w:iCs/>
                <w:sz w:val="20"/>
              </w:rPr>
              <w:t xml:space="preserve"> and</w:t>
            </w:r>
          </w:p>
          <w:p w:rsidR="00204D98" w:rsidRPr="00515C49" w:rsidRDefault="00F8550A" w:rsidP="002E48AB">
            <w:pPr>
              <w:spacing w:beforeLines="20" w:before="48" w:after="20" w:line="264" w:lineRule="auto"/>
              <w:ind w:left="19"/>
              <w:cnfStyle w:val="000000000000" w:firstRow="0" w:lastRow="0" w:firstColumn="0" w:lastColumn="0" w:oddVBand="0" w:evenVBand="0" w:oddHBand="0" w:evenHBand="0" w:firstRowFirstColumn="0" w:firstRowLastColumn="0" w:lastRowFirstColumn="0" w:lastRowLastColumn="0"/>
              <w:rPr>
                <w:rFonts w:cs="Arial"/>
                <w:sz w:val="20"/>
              </w:rPr>
            </w:pPr>
            <w:hyperlink r:id="rId23" w:history="1">
              <w:r w:rsidR="00204D98" w:rsidRPr="00515C49">
                <w:rPr>
                  <w:rStyle w:val="Hyperlink"/>
                  <w:rFonts w:cs="Arial"/>
                  <w:i/>
                  <w:iCs/>
                  <w:sz w:val="20"/>
                </w:rPr>
                <w:t xml:space="preserve">Information </w:t>
              </w:r>
              <w:r w:rsidR="002E48AB">
                <w:rPr>
                  <w:rStyle w:val="Hyperlink"/>
                  <w:rFonts w:cs="Arial"/>
                  <w:i/>
                  <w:iCs/>
                  <w:sz w:val="20"/>
                </w:rPr>
                <w:t>a</w:t>
              </w:r>
              <w:r w:rsidR="00204D98" w:rsidRPr="00515C49">
                <w:rPr>
                  <w:rStyle w:val="Hyperlink"/>
                  <w:rFonts w:cs="Arial"/>
                  <w:i/>
                  <w:iCs/>
                  <w:sz w:val="20"/>
                </w:rPr>
                <w:t xml:space="preserve">sset </w:t>
              </w:r>
              <w:r w:rsidR="002E48AB">
                <w:rPr>
                  <w:rStyle w:val="Hyperlink"/>
                  <w:rFonts w:cs="Arial"/>
                  <w:i/>
                  <w:iCs/>
                  <w:sz w:val="20"/>
                </w:rPr>
                <w:t>c</w:t>
              </w:r>
              <w:r w:rsidR="00204D98" w:rsidRPr="00515C49">
                <w:rPr>
                  <w:rStyle w:val="Hyperlink"/>
                  <w:rFonts w:cs="Arial"/>
                  <w:i/>
                  <w:iCs/>
                  <w:sz w:val="20"/>
                </w:rPr>
                <w:t>ustodianship – IS44</w:t>
              </w:r>
            </w:hyperlink>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C36DB7">
            <w:pPr>
              <w:spacing w:beforeLines="20" w:before="48" w:after="20" w:line="264" w:lineRule="auto"/>
              <w:ind w:left="0"/>
              <w:rPr>
                <w:rFonts w:cs="Arial"/>
              </w:rPr>
            </w:pPr>
            <w:r w:rsidRPr="043A0D26">
              <w:rPr>
                <w:rFonts w:eastAsia="Arial" w:cs="Arial"/>
              </w:rPr>
              <w:t xml:space="preserve">Which service model (IaaS, PaaS, IaaS, </w:t>
            </w:r>
            <w:proofErr w:type="spellStart"/>
            <w:r w:rsidRPr="043A0D26">
              <w:rPr>
                <w:rFonts w:eastAsia="Arial" w:cs="Arial"/>
              </w:rPr>
              <w:t>BPaaS</w:t>
            </w:r>
            <w:proofErr w:type="spellEnd"/>
            <w:r w:rsidRPr="043A0D26">
              <w:rPr>
                <w:rFonts w:eastAsia="Arial" w:cs="Arial"/>
              </w:rPr>
              <w:t>, hybrid)?</w:t>
            </w:r>
          </w:p>
        </w:tc>
        <w:tc>
          <w:tcPr>
            <w:tcW w:w="4814" w:type="dxa"/>
          </w:tcPr>
          <w:p w:rsidR="00204D98" w:rsidRPr="00515C49" w:rsidRDefault="043A0D26" w:rsidP="002E48AB">
            <w:pPr>
              <w:spacing w:beforeLines="20" w:before="48" w:after="20" w:line="264" w:lineRule="auto"/>
              <w:ind w:left="19"/>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ICT as-a-</w:t>
            </w:r>
            <w:r w:rsidR="002E48AB">
              <w:rPr>
                <w:rFonts w:eastAsia="Arial" w:cs="Arial"/>
                <w:sz w:val="20"/>
              </w:rPr>
              <w:t>s</w:t>
            </w:r>
            <w:r w:rsidRPr="043A0D26">
              <w:rPr>
                <w:rFonts w:eastAsia="Arial" w:cs="Arial"/>
                <w:sz w:val="20"/>
              </w:rPr>
              <w:t>ervice – Service Model Selection (under development)</w:t>
            </w:r>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C36DB7">
            <w:pPr>
              <w:spacing w:beforeLines="20" w:before="48" w:after="20" w:line="264" w:lineRule="auto"/>
              <w:ind w:left="0"/>
              <w:rPr>
                <w:rFonts w:cs="Arial"/>
              </w:rPr>
            </w:pPr>
            <w:r w:rsidRPr="043A0D26">
              <w:rPr>
                <w:rFonts w:eastAsia="Arial" w:cs="Arial"/>
              </w:rPr>
              <w:t>Which deployment model?</w:t>
            </w:r>
          </w:p>
        </w:tc>
        <w:tc>
          <w:tcPr>
            <w:tcW w:w="4814" w:type="dxa"/>
          </w:tcPr>
          <w:p w:rsidR="00204D98" w:rsidRPr="00515C49" w:rsidRDefault="00F8550A" w:rsidP="002E48AB">
            <w:pPr>
              <w:spacing w:beforeLines="20" w:before="48" w:after="20" w:line="264" w:lineRule="auto"/>
              <w:ind w:left="19"/>
              <w:cnfStyle w:val="000000000000" w:firstRow="0" w:lastRow="0" w:firstColumn="0" w:lastColumn="0" w:oddVBand="0" w:evenVBand="0" w:oddHBand="0" w:evenHBand="0" w:firstRowFirstColumn="0" w:firstRowLastColumn="0" w:lastRowFirstColumn="0" w:lastRowLastColumn="0"/>
              <w:rPr>
                <w:rFonts w:cs="Arial"/>
                <w:sz w:val="20"/>
              </w:rPr>
            </w:pPr>
            <w:hyperlink r:id="rId24" w:history="1">
              <w:r w:rsidR="00204D98" w:rsidRPr="00515C49">
                <w:rPr>
                  <w:rStyle w:val="Hyperlink"/>
                  <w:rFonts w:cs="Arial"/>
                  <w:i/>
                  <w:iCs/>
                  <w:sz w:val="20"/>
                </w:rPr>
                <w:t>ICT as-a-</w:t>
              </w:r>
              <w:r w:rsidR="002E48AB" w:rsidRPr="00515C49">
                <w:rPr>
                  <w:rStyle w:val="Hyperlink"/>
                  <w:rFonts w:cs="Arial"/>
                  <w:i/>
                  <w:iCs/>
                  <w:sz w:val="20"/>
                </w:rPr>
                <w:t>service deployment model sel</w:t>
              </w:r>
              <w:r w:rsidR="00204D98" w:rsidRPr="00515C49">
                <w:rPr>
                  <w:rStyle w:val="Hyperlink"/>
                  <w:rFonts w:cs="Arial"/>
                  <w:i/>
                  <w:iCs/>
                  <w:sz w:val="20"/>
                </w:rPr>
                <w:t>ection</w:t>
              </w:r>
            </w:hyperlink>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C36DB7">
            <w:pPr>
              <w:spacing w:beforeLines="20" w:before="48" w:after="20" w:line="264" w:lineRule="auto"/>
              <w:ind w:left="0"/>
              <w:rPr>
                <w:rFonts w:cs="Arial"/>
              </w:rPr>
            </w:pPr>
            <w:r w:rsidRPr="043A0D26">
              <w:rPr>
                <w:rFonts w:eastAsia="Arial" w:cs="Arial"/>
              </w:rPr>
              <w:t>Asset value and risk assessment (Phase 1 - pre–procurement)</w:t>
            </w:r>
          </w:p>
        </w:tc>
        <w:tc>
          <w:tcPr>
            <w:tcW w:w="4814" w:type="dxa"/>
          </w:tcPr>
          <w:p w:rsidR="00204D98" w:rsidRPr="00515C49" w:rsidRDefault="00F8550A" w:rsidP="002E48AB">
            <w:pPr>
              <w:spacing w:beforeLines="20" w:before="48" w:after="20" w:line="264" w:lineRule="auto"/>
              <w:ind w:left="19"/>
              <w:cnfStyle w:val="000000000000" w:firstRow="0" w:lastRow="0" w:firstColumn="0" w:lastColumn="0" w:oddVBand="0" w:evenVBand="0" w:oddHBand="0" w:evenHBand="0" w:firstRowFirstColumn="0" w:firstRowLastColumn="0" w:lastRowFirstColumn="0" w:lastRowLastColumn="0"/>
              <w:rPr>
                <w:rFonts w:cs="Arial"/>
                <w:sz w:val="20"/>
              </w:rPr>
            </w:pPr>
            <w:hyperlink r:id="rId25">
              <w:r w:rsidR="043A0D26" w:rsidRPr="043A0D26">
                <w:rPr>
                  <w:rStyle w:val="Hyperlink"/>
                  <w:rFonts w:eastAsia="Arial" w:cs="Arial"/>
                  <w:i/>
                  <w:iCs/>
                  <w:sz w:val="20"/>
                </w:rPr>
                <w:t>ICT as-a-</w:t>
              </w:r>
              <w:r w:rsidR="002E48AB" w:rsidRPr="043A0D26">
                <w:rPr>
                  <w:rStyle w:val="Hyperlink"/>
                  <w:rFonts w:eastAsia="Arial" w:cs="Arial"/>
                  <w:i/>
                  <w:iCs/>
                  <w:sz w:val="20"/>
                </w:rPr>
                <w:t>service risk assessment gu</w:t>
              </w:r>
              <w:r w:rsidR="043A0D26" w:rsidRPr="043A0D26">
                <w:rPr>
                  <w:rStyle w:val="Hyperlink"/>
                  <w:rFonts w:eastAsia="Arial" w:cs="Arial"/>
                  <w:i/>
                  <w:iCs/>
                  <w:sz w:val="20"/>
                </w:rPr>
                <w:t>ideline</w:t>
              </w:r>
            </w:hyperlink>
            <w:r w:rsidR="043A0D26" w:rsidRPr="043A0D26">
              <w:rPr>
                <w:rFonts w:eastAsia="Arial" w:cs="Arial"/>
                <w:sz w:val="20"/>
              </w:rPr>
              <w:t xml:space="preserve"> and </w:t>
            </w:r>
            <w:hyperlink r:id="rId26">
              <w:r w:rsidR="043A0D26" w:rsidRPr="043A0D26">
                <w:rPr>
                  <w:rStyle w:val="Hyperlink"/>
                  <w:rFonts w:eastAsia="Arial" w:cs="Arial"/>
                  <w:i/>
                  <w:iCs/>
                  <w:sz w:val="20"/>
                </w:rPr>
                <w:t>ICT as-a-</w:t>
              </w:r>
              <w:r w:rsidR="002E48AB" w:rsidRPr="043A0D26">
                <w:rPr>
                  <w:rStyle w:val="Hyperlink"/>
                  <w:rFonts w:eastAsia="Arial" w:cs="Arial"/>
                  <w:i/>
                  <w:iCs/>
                  <w:sz w:val="20"/>
                </w:rPr>
                <w:t>service risk assessment an</w:t>
              </w:r>
              <w:r w:rsidR="043A0D26" w:rsidRPr="043A0D26">
                <w:rPr>
                  <w:rStyle w:val="Hyperlink"/>
                  <w:rFonts w:eastAsia="Arial" w:cs="Arial"/>
                  <w:i/>
                  <w:iCs/>
                  <w:sz w:val="20"/>
                </w:rPr>
                <w:t>nexe</w:t>
              </w:r>
            </w:hyperlink>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2E48AB">
            <w:pPr>
              <w:spacing w:beforeLines="20" w:before="48" w:after="20" w:line="264" w:lineRule="auto"/>
              <w:ind w:left="0"/>
              <w:rPr>
                <w:rFonts w:cs="Arial"/>
              </w:rPr>
            </w:pPr>
            <w:r w:rsidRPr="043A0D26">
              <w:rPr>
                <w:rFonts w:eastAsia="Arial" w:cs="Arial"/>
              </w:rPr>
              <w:t>Authority to use ICT as-a-</w:t>
            </w:r>
            <w:r w:rsidR="002E48AB">
              <w:rPr>
                <w:rFonts w:eastAsia="Arial" w:cs="Arial"/>
              </w:rPr>
              <w:t>s</w:t>
            </w:r>
            <w:r w:rsidRPr="043A0D26">
              <w:rPr>
                <w:rFonts w:eastAsia="Arial" w:cs="Arial"/>
              </w:rPr>
              <w:t>ervice</w:t>
            </w:r>
          </w:p>
        </w:tc>
        <w:tc>
          <w:tcPr>
            <w:tcW w:w="4814" w:type="dxa"/>
          </w:tcPr>
          <w:p w:rsidR="00204D98" w:rsidRPr="00515C49" w:rsidRDefault="00F8550A" w:rsidP="002E48AB">
            <w:pPr>
              <w:spacing w:beforeLines="20" w:before="48" w:after="20" w:line="264" w:lineRule="auto"/>
              <w:ind w:left="19"/>
              <w:cnfStyle w:val="000000000000" w:firstRow="0" w:lastRow="0" w:firstColumn="0" w:lastColumn="0" w:oddVBand="0" w:evenVBand="0" w:oddHBand="0" w:evenHBand="0" w:firstRowFirstColumn="0" w:firstRowLastColumn="0" w:lastRowFirstColumn="0" w:lastRowLastColumn="0"/>
              <w:rPr>
                <w:rFonts w:cs="Arial"/>
                <w:sz w:val="20"/>
              </w:rPr>
            </w:pPr>
            <w:hyperlink r:id="rId27">
              <w:r w:rsidR="043A0D26" w:rsidRPr="043A0D26">
                <w:rPr>
                  <w:rStyle w:val="Hyperlink"/>
                  <w:rFonts w:eastAsia="Arial" w:cs="Arial"/>
                  <w:i/>
                  <w:iCs/>
                  <w:sz w:val="20"/>
                </w:rPr>
                <w:t>ICT as-a-</w:t>
              </w:r>
              <w:r w:rsidR="002E48AB">
                <w:rPr>
                  <w:rStyle w:val="Hyperlink"/>
                  <w:rFonts w:eastAsia="Arial" w:cs="Arial"/>
                  <w:i/>
                  <w:iCs/>
                  <w:sz w:val="20"/>
                </w:rPr>
                <w:t>s</w:t>
              </w:r>
              <w:r w:rsidR="043A0D26" w:rsidRPr="043A0D26">
                <w:rPr>
                  <w:rStyle w:val="Hyperlink"/>
                  <w:rFonts w:eastAsia="Arial" w:cs="Arial"/>
                  <w:i/>
                  <w:iCs/>
                  <w:sz w:val="20"/>
                </w:rPr>
                <w:t>ervice offshore data storage and processing policy</w:t>
              </w:r>
            </w:hyperlink>
            <w:r w:rsidR="043A0D26" w:rsidRPr="043A0D26">
              <w:rPr>
                <w:rFonts w:eastAsia="Arial" w:cs="Arial"/>
                <w:i/>
                <w:iCs/>
                <w:sz w:val="20"/>
              </w:rPr>
              <w:t xml:space="preserve"> </w:t>
            </w:r>
            <w:r w:rsidR="043A0D26" w:rsidRPr="043A0D26">
              <w:rPr>
                <w:rFonts w:eastAsia="Arial" w:cs="Arial"/>
                <w:sz w:val="20"/>
              </w:rPr>
              <w:t xml:space="preserve">and </w:t>
            </w:r>
            <w:hyperlink r:id="rId28">
              <w:r w:rsidR="043A0D26" w:rsidRPr="043A0D26">
                <w:rPr>
                  <w:rStyle w:val="Hyperlink"/>
                  <w:rFonts w:eastAsia="Arial" w:cs="Arial"/>
                  <w:i/>
                  <w:iCs/>
                  <w:sz w:val="20"/>
                </w:rPr>
                <w:t>ICT as-a-</w:t>
              </w:r>
              <w:r w:rsidR="002E48AB">
                <w:rPr>
                  <w:rStyle w:val="Hyperlink"/>
                  <w:rFonts w:eastAsia="Arial" w:cs="Arial"/>
                  <w:i/>
                  <w:iCs/>
                  <w:sz w:val="20"/>
                </w:rPr>
                <w:t>s</w:t>
              </w:r>
              <w:r w:rsidR="043A0D26" w:rsidRPr="043A0D26">
                <w:rPr>
                  <w:rStyle w:val="Hyperlink"/>
                  <w:rFonts w:eastAsia="Arial" w:cs="Arial"/>
                  <w:i/>
                  <w:iCs/>
                  <w:sz w:val="20"/>
                </w:rPr>
                <w:t xml:space="preserve">ervice </w:t>
              </w:r>
              <w:r w:rsidR="002E48AB">
                <w:rPr>
                  <w:rStyle w:val="Hyperlink"/>
                  <w:rFonts w:eastAsia="Arial" w:cs="Arial"/>
                  <w:i/>
                  <w:iCs/>
                  <w:sz w:val="20"/>
                </w:rPr>
                <w:t>p</w:t>
              </w:r>
              <w:r w:rsidR="043A0D26" w:rsidRPr="043A0D26">
                <w:rPr>
                  <w:rStyle w:val="Hyperlink"/>
                  <w:rFonts w:eastAsia="Arial" w:cs="Arial"/>
                  <w:i/>
                  <w:iCs/>
                  <w:sz w:val="20"/>
                </w:rPr>
                <w:t>olicy</w:t>
              </w:r>
            </w:hyperlink>
            <w:r w:rsidR="043A0D26" w:rsidRPr="043A0D26">
              <w:rPr>
                <w:rFonts w:eastAsia="Arial" w:cs="Arial"/>
                <w:i/>
                <w:iCs/>
                <w:sz w:val="20"/>
              </w:rPr>
              <w:t xml:space="preserve"> </w:t>
            </w:r>
            <w:r w:rsidR="043A0D26" w:rsidRPr="043A0D26">
              <w:rPr>
                <w:rFonts w:eastAsia="Arial" w:cs="Arial"/>
                <w:sz w:val="20"/>
              </w:rPr>
              <w:t>and</w:t>
            </w:r>
            <w:r w:rsidR="043A0D26" w:rsidRPr="043A0D26">
              <w:rPr>
                <w:rFonts w:eastAsia="Arial" w:cs="Arial"/>
                <w:i/>
                <w:iCs/>
                <w:sz w:val="20"/>
              </w:rPr>
              <w:t xml:space="preserve"> </w:t>
            </w:r>
            <w:hyperlink r:id="rId29">
              <w:r w:rsidR="043A0D26" w:rsidRPr="043A0D26">
                <w:rPr>
                  <w:rStyle w:val="Hyperlink"/>
                  <w:rFonts w:eastAsia="Arial" w:cs="Arial"/>
                  <w:i/>
                  <w:iCs/>
                  <w:sz w:val="20"/>
                </w:rPr>
                <w:t>Information Security-IS18</w:t>
              </w:r>
            </w:hyperlink>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C36DB7">
            <w:pPr>
              <w:spacing w:beforeLines="20" w:before="48" w:after="20" w:line="264" w:lineRule="auto"/>
              <w:ind w:left="0"/>
              <w:rPr>
                <w:rFonts w:cs="Arial"/>
              </w:rPr>
            </w:pPr>
            <w:r w:rsidRPr="043A0D26">
              <w:rPr>
                <w:rFonts w:eastAsia="Arial" w:cs="Arial"/>
              </w:rPr>
              <w:t>Cloud procurement (Phase 2 – Procurement)</w:t>
            </w:r>
          </w:p>
        </w:tc>
        <w:tc>
          <w:tcPr>
            <w:tcW w:w="4814" w:type="dxa"/>
          </w:tcPr>
          <w:p w:rsidR="00204D98" w:rsidRPr="00515C49" w:rsidRDefault="00F8550A" w:rsidP="002E48AB">
            <w:pPr>
              <w:spacing w:beforeLines="20" w:before="48" w:after="20" w:line="264" w:lineRule="auto"/>
              <w:ind w:left="19"/>
              <w:cnfStyle w:val="000000000000" w:firstRow="0" w:lastRow="0" w:firstColumn="0" w:lastColumn="0" w:oddVBand="0" w:evenVBand="0" w:oddHBand="0" w:evenHBand="0" w:firstRowFirstColumn="0" w:firstRowLastColumn="0" w:lastRowFirstColumn="0" w:lastRowLastColumn="0"/>
              <w:rPr>
                <w:rFonts w:cs="Arial"/>
                <w:sz w:val="20"/>
              </w:rPr>
            </w:pPr>
            <w:hyperlink r:id="rId30">
              <w:r w:rsidR="043A0D26" w:rsidRPr="043A0D26">
                <w:rPr>
                  <w:rStyle w:val="Hyperlink"/>
                  <w:rFonts w:eastAsia="Arial" w:cs="Arial"/>
                  <w:i/>
                  <w:iCs/>
                  <w:sz w:val="20"/>
                </w:rPr>
                <w:t xml:space="preserve">Cloud </w:t>
              </w:r>
              <w:r w:rsidR="002E48AB" w:rsidRPr="043A0D26">
                <w:rPr>
                  <w:rStyle w:val="Hyperlink"/>
                  <w:rFonts w:eastAsia="Arial" w:cs="Arial"/>
                  <w:i/>
                  <w:iCs/>
                  <w:sz w:val="20"/>
                </w:rPr>
                <w:t>solution buying gu</w:t>
              </w:r>
              <w:r w:rsidR="043A0D26" w:rsidRPr="043A0D26">
                <w:rPr>
                  <w:rStyle w:val="Hyperlink"/>
                  <w:rFonts w:eastAsia="Arial" w:cs="Arial"/>
                  <w:i/>
                  <w:iCs/>
                  <w:sz w:val="20"/>
                </w:rPr>
                <w:t>ideline</w:t>
              </w:r>
            </w:hyperlink>
            <w:r w:rsidR="043A0D26" w:rsidRPr="043A0D26">
              <w:rPr>
                <w:rFonts w:eastAsia="Arial" w:cs="Arial"/>
                <w:sz w:val="20"/>
              </w:rPr>
              <w:t xml:space="preserve"> and </w:t>
            </w:r>
            <w:r w:rsidR="043A0D26" w:rsidRPr="002E48AB">
              <w:rPr>
                <w:rFonts w:eastAsia="Arial" w:cs="Arial"/>
                <w:i/>
                <w:sz w:val="20"/>
              </w:rPr>
              <w:t>ICT as-a-</w:t>
            </w:r>
            <w:r w:rsidR="002E48AB" w:rsidRPr="002E48AB">
              <w:rPr>
                <w:rFonts w:eastAsia="Arial" w:cs="Arial"/>
                <w:i/>
                <w:sz w:val="20"/>
              </w:rPr>
              <w:t>service security assurance guideline</w:t>
            </w:r>
            <w:r w:rsidR="002E48AB" w:rsidRPr="043A0D26">
              <w:rPr>
                <w:rFonts w:eastAsia="Arial" w:cs="Arial"/>
                <w:sz w:val="20"/>
              </w:rPr>
              <w:t xml:space="preserve"> </w:t>
            </w:r>
            <w:r w:rsidR="043A0D26" w:rsidRPr="043A0D26">
              <w:rPr>
                <w:rFonts w:eastAsia="Arial" w:cs="Arial"/>
                <w:sz w:val="20"/>
              </w:rPr>
              <w:t>(this document)</w:t>
            </w:r>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2E48AB">
            <w:pPr>
              <w:spacing w:beforeLines="20" w:before="48" w:after="20" w:line="264" w:lineRule="auto"/>
              <w:ind w:left="0"/>
              <w:rPr>
                <w:rFonts w:cs="Arial"/>
              </w:rPr>
            </w:pPr>
            <w:r w:rsidRPr="043A0D26">
              <w:rPr>
                <w:rFonts w:eastAsia="Arial" w:cs="Arial"/>
              </w:rPr>
              <w:lastRenderedPageBreak/>
              <w:t xml:space="preserve">Solution </w:t>
            </w:r>
            <w:r w:rsidR="002E48AB">
              <w:rPr>
                <w:rFonts w:eastAsia="Arial" w:cs="Arial"/>
              </w:rPr>
              <w:t>d</w:t>
            </w:r>
            <w:r w:rsidRPr="043A0D26">
              <w:rPr>
                <w:rFonts w:eastAsia="Arial" w:cs="Arial"/>
              </w:rPr>
              <w:t>ecision</w:t>
            </w:r>
          </w:p>
        </w:tc>
        <w:tc>
          <w:tcPr>
            <w:tcW w:w="4814" w:type="dxa"/>
          </w:tcPr>
          <w:p w:rsidR="00204D98" w:rsidRPr="00515C49" w:rsidRDefault="043A0D26" w:rsidP="002E48AB">
            <w:pPr>
              <w:spacing w:beforeLines="20" w:before="48" w:after="20" w:line="264" w:lineRule="auto"/>
              <w:ind w:left="0"/>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Internal procurement processes and policy to be followed</w:t>
            </w:r>
          </w:p>
        </w:tc>
      </w:tr>
      <w:tr w:rsidR="00204D98"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110" w:type="dxa"/>
          </w:tcPr>
          <w:p w:rsidR="00204D98" w:rsidRPr="00C36DB7" w:rsidRDefault="043A0D26" w:rsidP="00C36DB7">
            <w:pPr>
              <w:spacing w:beforeLines="20" w:before="48" w:after="20" w:line="264" w:lineRule="auto"/>
              <w:ind w:left="0"/>
              <w:rPr>
                <w:rFonts w:cs="Arial"/>
              </w:rPr>
            </w:pPr>
            <w:r w:rsidRPr="043A0D26">
              <w:rPr>
                <w:rFonts w:eastAsia="Arial" w:cs="Arial"/>
              </w:rPr>
              <w:t>Deployment management and ongoing assurance</w:t>
            </w:r>
          </w:p>
        </w:tc>
        <w:tc>
          <w:tcPr>
            <w:tcW w:w="4814" w:type="dxa"/>
          </w:tcPr>
          <w:p w:rsidR="00204D98" w:rsidRPr="00515C49" w:rsidRDefault="043A0D26" w:rsidP="002E48AB">
            <w:pPr>
              <w:spacing w:beforeLines="20" w:before="48" w:after="20" w:line="264" w:lineRule="auto"/>
              <w:ind w:left="0"/>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Internal project management processes and policy to be followed</w:t>
            </w:r>
          </w:p>
        </w:tc>
      </w:tr>
    </w:tbl>
    <w:p w:rsidR="00204D98" w:rsidRDefault="00204D98" w:rsidP="00204D98">
      <w:pPr>
        <w:pStyle w:val="Heading2"/>
      </w:pPr>
      <w:bookmarkStart w:id="10" w:name="_Toc453923071"/>
      <w:r>
        <w:t xml:space="preserve">When </w:t>
      </w:r>
      <w:r w:rsidR="008F34F7">
        <w:t xml:space="preserve">should I </w:t>
      </w:r>
      <w:r>
        <w:t>use this guideline?</w:t>
      </w:r>
      <w:bookmarkEnd w:id="10"/>
    </w:p>
    <w:p w:rsidR="00204D98" w:rsidRPr="00515C49" w:rsidRDefault="043A0D26" w:rsidP="006C3F39">
      <w:pPr>
        <w:pStyle w:val="BodyText1"/>
      </w:pPr>
      <w:r w:rsidRPr="043A0D26">
        <w:rPr>
          <w:rFonts w:eastAsia="Arial"/>
        </w:rPr>
        <w:t>This document assumes the decision to move an ICT workload to an as-a-</w:t>
      </w:r>
      <w:r w:rsidR="002E48AB">
        <w:rPr>
          <w:rFonts w:eastAsia="Arial"/>
        </w:rPr>
        <w:t>s</w:t>
      </w:r>
      <w:r w:rsidRPr="043A0D26">
        <w:rPr>
          <w:rFonts w:eastAsia="Arial"/>
        </w:rPr>
        <w:t>ervice model has already been made, and the vendor selection process as part of phase 2 of the procurement cycle has started.</w:t>
      </w:r>
      <w:r w:rsidR="002E48AB">
        <w:rPr>
          <w:rFonts w:eastAsia="Arial"/>
        </w:rPr>
        <w:t xml:space="preserve"> </w:t>
      </w:r>
      <w:r w:rsidRPr="043A0D26">
        <w:rPr>
          <w:rFonts w:eastAsia="Arial"/>
        </w:rPr>
        <w:t>Figure 1 illustrates where this guideline forms part of the ICT as-a-</w:t>
      </w:r>
      <w:r w:rsidR="002E48AB">
        <w:rPr>
          <w:rFonts w:eastAsia="Arial"/>
        </w:rPr>
        <w:t>s</w:t>
      </w:r>
      <w:r w:rsidRPr="043A0D26">
        <w:rPr>
          <w:rFonts w:eastAsia="Arial"/>
        </w:rPr>
        <w:t xml:space="preserve">ervice </w:t>
      </w:r>
      <w:r w:rsidR="002E48AB" w:rsidRPr="043A0D26">
        <w:rPr>
          <w:rFonts w:eastAsia="Arial"/>
        </w:rPr>
        <w:t>decision framework</w:t>
      </w:r>
      <w:r w:rsidRPr="043A0D26">
        <w:rPr>
          <w:rFonts w:eastAsia="Arial"/>
        </w:rPr>
        <w:t>.</w:t>
      </w:r>
    </w:p>
    <w:p w:rsidR="00926541" w:rsidRDefault="043A0D26" w:rsidP="006C3F39">
      <w:pPr>
        <w:pStyle w:val="BodyText1"/>
      </w:pPr>
      <w:r w:rsidRPr="043A0D26">
        <w:rPr>
          <w:rFonts w:eastAsia="Arial"/>
        </w:rPr>
        <w:t>While this guideline is targeted at evaluating an as-a-</w:t>
      </w:r>
      <w:r w:rsidR="002E48AB">
        <w:rPr>
          <w:rFonts w:eastAsia="Arial"/>
        </w:rPr>
        <w:t>s</w:t>
      </w:r>
      <w:r w:rsidRPr="043A0D26">
        <w:rPr>
          <w:rFonts w:eastAsia="Arial"/>
        </w:rPr>
        <w:t>ervice offering for procurement purposes, it also provides guidance for the solution design, development, implementation and service management phases.</w:t>
      </w:r>
    </w:p>
    <w:p w:rsidR="00204D98" w:rsidRDefault="00204D98" w:rsidP="00204D98">
      <w:pPr>
        <w:pStyle w:val="Heading2"/>
      </w:pPr>
      <w:bookmarkStart w:id="11" w:name="_Toc453923072"/>
      <w:r>
        <w:t>References</w:t>
      </w:r>
      <w:bookmarkEnd w:id="11"/>
    </w:p>
    <w:p w:rsidR="00204D98" w:rsidRDefault="043A0D26" w:rsidP="006C3F39">
      <w:pPr>
        <w:pStyle w:val="BodyText1"/>
      </w:pPr>
      <w:r w:rsidRPr="043A0D26">
        <w:rPr>
          <w:rFonts w:eastAsia="Arial"/>
        </w:rPr>
        <w:t>The following documents and guidelines were used in the development of this paper:</w:t>
      </w:r>
    </w:p>
    <w:p w:rsidR="00204D98" w:rsidRDefault="00204D98" w:rsidP="00204D98">
      <w:pPr>
        <w:pStyle w:val="Blankline"/>
      </w:pPr>
    </w:p>
    <w:tbl>
      <w:tblPr>
        <w:tblStyle w:val="Table-LowInk"/>
        <w:tblW w:w="0" w:type="auto"/>
        <w:tblInd w:w="704" w:type="dxa"/>
        <w:tblLook w:val="04A0" w:firstRow="1" w:lastRow="0" w:firstColumn="1" w:lastColumn="0" w:noHBand="0" w:noVBand="1"/>
      </w:tblPr>
      <w:tblGrid>
        <w:gridCol w:w="3969"/>
        <w:gridCol w:w="1134"/>
        <w:gridCol w:w="3821"/>
      </w:tblGrid>
      <w:tr w:rsidR="00204D98" w:rsidTr="002E48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rsidR="00204D98" w:rsidRDefault="043A0D26" w:rsidP="00204D98">
            <w:pPr>
              <w:pStyle w:val="BodyText"/>
              <w:ind w:left="0"/>
            </w:pPr>
            <w:r>
              <w:t>Name</w:t>
            </w:r>
          </w:p>
        </w:tc>
        <w:tc>
          <w:tcPr>
            <w:tcW w:w="1134" w:type="dxa"/>
          </w:tcPr>
          <w:p w:rsidR="00204D98" w:rsidRDefault="043A0D26" w:rsidP="00204D98">
            <w:pPr>
              <w:pStyle w:val="BodyText"/>
              <w:ind w:left="0"/>
              <w:cnfStyle w:val="100000000000" w:firstRow="1" w:lastRow="0" w:firstColumn="0" w:lastColumn="0" w:oddVBand="0" w:evenVBand="0" w:oddHBand="0" w:evenHBand="0" w:firstRowFirstColumn="0" w:firstRowLastColumn="0" w:lastRowFirstColumn="0" w:lastRowLastColumn="0"/>
            </w:pPr>
            <w:r>
              <w:t>Version</w:t>
            </w:r>
          </w:p>
        </w:tc>
        <w:tc>
          <w:tcPr>
            <w:tcW w:w="3821" w:type="dxa"/>
          </w:tcPr>
          <w:p w:rsidR="00204D98" w:rsidRDefault="043A0D26" w:rsidP="00204D98">
            <w:pPr>
              <w:pStyle w:val="BodyText"/>
              <w:ind w:left="0"/>
              <w:cnfStyle w:val="100000000000" w:firstRow="1" w:lastRow="0" w:firstColumn="0" w:lastColumn="0" w:oddVBand="0" w:evenVBand="0" w:oddHBand="0" w:evenHBand="0" w:firstRowFirstColumn="0" w:firstRowLastColumn="0" w:lastRowFirstColumn="0" w:lastRowLastColumn="0"/>
            </w:pPr>
            <w:r>
              <w:t>Originator</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E48AB">
            <w:pPr>
              <w:ind w:left="48"/>
              <w:rPr>
                <w:rFonts w:cs="Arial"/>
                <w:sz w:val="20"/>
              </w:rPr>
            </w:pPr>
            <w:r w:rsidRPr="043A0D26">
              <w:rPr>
                <w:rFonts w:eastAsia="Arial" w:cs="Arial"/>
                <w:sz w:val="20"/>
              </w:rPr>
              <w:t>ICT as-a-</w:t>
            </w:r>
            <w:r w:rsidR="002E48AB">
              <w:rPr>
                <w:rFonts w:eastAsia="Arial" w:cs="Arial"/>
                <w:sz w:val="20"/>
              </w:rPr>
              <w:t>s</w:t>
            </w:r>
            <w:r w:rsidRPr="043A0D26">
              <w:rPr>
                <w:rFonts w:eastAsia="Arial" w:cs="Arial"/>
                <w:sz w:val="20"/>
              </w:rPr>
              <w:t>ervice</w:t>
            </w:r>
            <w:r w:rsidR="002E48AB">
              <w:rPr>
                <w:rFonts w:eastAsia="Arial" w:cs="Arial"/>
                <w:sz w:val="20"/>
              </w:rPr>
              <w:t xml:space="preserve"> Decision</w:t>
            </w:r>
            <w:r w:rsidRPr="043A0D26">
              <w:rPr>
                <w:rFonts w:eastAsia="Arial" w:cs="Arial"/>
                <w:sz w:val="20"/>
              </w:rPr>
              <w:t xml:space="preserve"> Framework - Overview</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1.0.0</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Queensland Government Enterprise Architecture (QGEA)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ICT as-a-</w:t>
            </w:r>
            <w:r w:rsidR="002E48AB" w:rsidRPr="043A0D26">
              <w:rPr>
                <w:rFonts w:eastAsia="Arial" w:cs="Arial"/>
                <w:sz w:val="20"/>
              </w:rPr>
              <w:t>service policy</w:t>
            </w:r>
          </w:p>
        </w:tc>
        <w:tc>
          <w:tcPr>
            <w:tcW w:w="1134" w:type="dxa"/>
          </w:tcPr>
          <w:p w:rsidR="00204D98" w:rsidRPr="00515C49" w:rsidRDefault="007C4D03"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Pr>
                <w:rFonts w:eastAsia="Arial" w:cs="Arial"/>
                <w:sz w:val="20"/>
              </w:rPr>
              <w:t>1.0.0</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Cloud first strategy-released</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Queensland Government Chief Information Office (QGCIO)</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Cloud solution buying guideline</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1.0.0</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ICT as-a-</w:t>
            </w:r>
            <w:r w:rsidR="002E48AB" w:rsidRPr="043A0D26">
              <w:rPr>
                <w:rFonts w:eastAsia="Arial" w:cs="Arial"/>
                <w:sz w:val="20"/>
              </w:rPr>
              <w:t xml:space="preserve">service </w:t>
            </w:r>
            <w:r w:rsidRPr="043A0D26">
              <w:rPr>
                <w:rFonts w:eastAsia="Arial" w:cs="Arial"/>
                <w:sz w:val="20"/>
              </w:rPr>
              <w:t>offshore data storage and processing policy</w:t>
            </w:r>
          </w:p>
        </w:tc>
        <w:tc>
          <w:tcPr>
            <w:tcW w:w="1134" w:type="dxa"/>
          </w:tcPr>
          <w:p w:rsidR="00204D98" w:rsidRPr="00515C49" w:rsidRDefault="007C4D03"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Pr>
                <w:rFonts w:eastAsia="Arial" w:cs="Arial"/>
                <w:sz w:val="20"/>
              </w:rPr>
              <w:t>1.0.0</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 xml:space="preserve">IRAP </w:t>
            </w:r>
            <w:r w:rsidR="002E48AB" w:rsidRPr="043A0D26">
              <w:rPr>
                <w:rFonts w:eastAsia="Arial" w:cs="Arial"/>
                <w:sz w:val="20"/>
              </w:rPr>
              <w:t xml:space="preserve">cloud </w:t>
            </w:r>
            <w:r w:rsidRPr="043A0D26">
              <w:rPr>
                <w:rFonts w:eastAsia="Arial" w:cs="Arial"/>
                <w:sz w:val="20"/>
              </w:rPr>
              <w:t>considerations</w:t>
            </w:r>
          </w:p>
        </w:tc>
        <w:tc>
          <w:tcPr>
            <w:tcW w:w="1134" w:type="dxa"/>
          </w:tcPr>
          <w:p w:rsidR="00204D98" w:rsidRPr="00515C49" w:rsidRDefault="00204D98"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0515C49">
              <w:rPr>
                <w:rFonts w:cs="Arial"/>
                <w:sz w:val="20"/>
              </w:rPr>
              <w:t>0.2</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The Frame Group</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CSA_CSM _V3.01-09-16-2014</w:t>
            </w:r>
          </w:p>
        </w:tc>
        <w:tc>
          <w:tcPr>
            <w:tcW w:w="1134" w:type="dxa"/>
          </w:tcPr>
          <w:p w:rsidR="00204D98" w:rsidRPr="00515C49" w:rsidRDefault="00204D98"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0515C49">
              <w:rPr>
                <w:rFonts w:cs="Arial"/>
                <w:sz w:val="20"/>
              </w:rPr>
              <w:t>3.01</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Cloud Security Alliance</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 xml:space="preserve">Cloud </w:t>
            </w:r>
            <w:r w:rsidR="002E48AB" w:rsidRPr="043A0D26">
              <w:rPr>
                <w:rFonts w:eastAsia="Arial" w:cs="Arial"/>
                <w:sz w:val="20"/>
              </w:rPr>
              <w:t>computing security considerations</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Australian Signals Directorate</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 xml:space="preserve">Security for </w:t>
            </w:r>
            <w:r w:rsidR="002E48AB" w:rsidRPr="043A0D26">
              <w:rPr>
                <w:rFonts w:eastAsia="Arial" w:cs="Arial"/>
                <w:sz w:val="20"/>
              </w:rPr>
              <w:t xml:space="preserve">cloud computing </w:t>
            </w:r>
            <w:r w:rsidRPr="043A0D26">
              <w:rPr>
                <w:rFonts w:eastAsia="Arial" w:cs="Arial"/>
                <w:sz w:val="20"/>
              </w:rPr>
              <w:t>– 10 steps to ensure success</w:t>
            </w:r>
          </w:p>
        </w:tc>
        <w:tc>
          <w:tcPr>
            <w:tcW w:w="1134" w:type="dxa"/>
          </w:tcPr>
          <w:p w:rsidR="00204D98" w:rsidRPr="00515C49" w:rsidRDefault="00204D98"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0515C49">
              <w:rPr>
                <w:rFonts w:cs="Arial"/>
                <w:sz w:val="20"/>
              </w:rPr>
              <w:t>0.2</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Cloud Standards Customer Council</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 xml:space="preserve">Queensland Government </w:t>
            </w:r>
            <w:r w:rsidR="002E48AB" w:rsidRPr="043A0D26">
              <w:rPr>
                <w:rFonts w:eastAsia="Arial" w:cs="Arial"/>
                <w:sz w:val="20"/>
              </w:rPr>
              <w:t>information security classification fram</w:t>
            </w:r>
            <w:r w:rsidRPr="043A0D26">
              <w:rPr>
                <w:rFonts w:eastAsia="Arial" w:cs="Arial"/>
                <w:sz w:val="20"/>
              </w:rPr>
              <w:t>ework</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3.1.0</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 xml:space="preserve">Cloud </w:t>
            </w:r>
            <w:r w:rsidR="002E48AB" w:rsidRPr="043A0D26">
              <w:rPr>
                <w:rFonts w:eastAsia="Arial" w:cs="Arial"/>
                <w:sz w:val="20"/>
              </w:rPr>
              <w:t>computing</w:t>
            </w:r>
            <w:r w:rsidR="002E48AB">
              <w:rPr>
                <w:rFonts w:eastAsia="Arial" w:cs="Arial"/>
                <w:sz w:val="20"/>
              </w:rPr>
              <w:t xml:space="preserve"> </w:t>
            </w:r>
            <w:r w:rsidR="002E48AB" w:rsidRPr="043A0D26">
              <w:rPr>
                <w:rFonts w:eastAsia="Arial" w:cs="Arial"/>
                <w:sz w:val="20"/>
              </w:rPr>
              <w:t>risk assessment guideline</w:t>
            </w:r>
          </w:p>
        </w:tc>
        <w:tc>
          <w:tcPr>
            <w:tcW w:w="1134" w:type="dxa"/>
          </w:tcPr>
          <w:p w:rsidR="00204D98" w:rsidRPr="00515C49" w:rsidRDefault="007C4D03"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Pr>
                <w:rFonts w:eastAsia="Arial" w:cs="Arial"/>
                <w:sz w:val="20"/>
              </w:rPr>
              <w:t>1.0.2</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 xml:space="preserve">Cloud </w:t>
            </w:r>
            <w:r w:rsidR="002E48AB" w:rsidRPr="043A0D26">
              <w:rPr>
                <w:rFonts w:eastAsia="Arial" w:cs="Arial"/>
                <w:sz w:val="20"/>
              </w:rPr>
              <w:t>computing</w:t>
            </w:r>
            <w:r w:rsidR="002E48AB">
              <w:rPr>
                <w:rFonts w:eastAsia="Arial" w:cs="Arial"/>
                <w:sz w:val="20"/>
              </w:rPr>
              <w:t xml:space="preserve"> </w:t>
            </w:r>
            <w:r w:rsidRPr="043A0D26">
              <w:rPr>
                <w:rFonts w:eastAsia="Arial" w:cs="Arial"/>
                <w:sz w:val="20"/>
              </w:rPr>
              <w:t>risk assessment guideline annexe - risk considerations</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1.0.2</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lastRenderedPageBreak/>
              <w:t>Information Security Classification Framework</w:t>
            </w:r>
          </w:p>
        </w:tc>
        <w:tc>
          <w:tcPr>
            <w:tcW w:w="1134" w:type="dxa"/>
          </w:tcPr>
          <w:p w:rsidR="00204D98" w:rsidRPr="00515C49" w:rsidRDefault="00204D98"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0515C49">
              <w:rPr>
                <w:rFonts w:cs="Arial"/>
                <w:sz w:val="20"/>
              </w:rPr>
              <w:t>1.3</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Queensland Government Network Transmission Security Assurance Framework</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1.0.1</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 xml:space="preserve">IS18 – Information </w:t>
            </w:r>
            <w:r w:rsidR="007C4D03" w:rsidRPr="043A0D26">
              <w:rPr>
                <w:rFonts w:eastAsia="Arial" w:cs="Arial"/>
                <w:sz w:val="20"/>
              </w:rPr>
              <w:t xml:space="preserve">security implementation guideline </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1.0.2</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QGEA</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Managing the record keeping risks associated with cloud computing</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Queensland State Archives</w:t>
            </w:r>
          </w:p>
        </w:tc>
      </w:tr>
      <w:tr w:rsidR="00204D98" w:rsidTr="002E48AB">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969" w:type="dxa"/>
          </w:tcPr>
          <w:p w:rsidR="00204D98" w:rsidRPr="00515C49" w:rsidRDefault="043A0D26" w:rsidP="00204D98">
            <w:pPr>
              <w:ind w:left="48"/>
              <w:rPr>
                <w:rFonts w:cs="Arial"/>
                <w:sz w:val="20"/>
              </w:rPr>
            </w:pPr>
            <w:r w:rsidRPr="043A0D26">
              <w:rPr>
                <w:rFonts w:eastAsia="Arial" w:cs="Arial"/>
                <w:sz w:val="20"/>
              </w:rPr>
              <w:t>Cloud Computing Information Assurance Framework</w:t>
            </w:r>
          </w:p>
        </w:tc>
        <w:tc>
          <w:tcPr>
            <w:tcW w:w="1134" w:type="dxa"/>
          </w:tcPr>
          <w:p w:rsidR="00204D98" w:rsidRPr="00515C49" w:rsidRDefault="043A0D26" w:rsidP="00204D98">
            <w:pPr>
              <w:ind w:left="17"/>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w:t>
            </w:r>
          </w:p>
        </w:tc>
        <w:tc>
          <w:tcPr>
            <w:tcW w:w="3821" w:type="dxa"/>
          </w:tcPr>
          <w:p w:rsidR="00204D98" w:rsidRPr="00515C49" w:rsidRDefault="043A0D26" w:rsidP="00204D98">
            <w:pPr>
              <w:ind w:left="1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European Network and Information Security Agency</w:t>
            </w:r>
          </w:p>
        </w:tc>
      </w:tr>
    </w:tbl>
    <w:p w:rsidR="00204D98" w:rsidRDefault="00204D98" w:rsidP="00204D98">
      <w:pPr>
        <w:pStyle w:val="Heading1"/>
      </w:pPr>
      <w:bookmarkStart w:id="12" w:name="_Toc453923073"/>
      <w:r>
        <w:t>Security assurance model</w:t>
      </w:r>
      <w:bookmarkEnd w:id="12"/>
    </w:p>
    <w:p w:rsidR="00204D98" w:rsidRDefault="043A0D26" w:rsidP="006C3F39">
      <w:pPr>
        <w:pStyle w:val="BodyText1"/>
      </w:pPr>
      <w:r w:rsidRPr="043A0D26">
        <w:rPr>
          <w:rFonts w:eastAsia="Arial"/>
        </w:rPr>
        <w:t xml:space="preserve">Figure 2 </w:t>
      </w:r>
      <w:r w:rsidR="007C4D03">
        <w:rPr>
          <w:rFonts w:eastAsia="Arial"/>
        </w:rPr>
        <w:t xml:space="preserve">below </w:t>
      </w:r>
      <w:r w:rsidRPr="043A0D26">
        <w:rPr>
          <w:rFonts w:eastAsia="Arial"/>
        </w:rPr>
        <w:t>depicts the ICT as-a-</w:t>
      </w:r>
      <w:r w:rsidR="007C4D03">
        <w:rPr>
          <w:rFonts w:eastAsia="Arial"/>
        </w:rPr>
        <w:t>s</w:t>
      </w:r>
      <w:r w:rsidRPr="043A0D26">
        <w:rPr>
          <w:rFonts w:eastAsia="Arial"/>
        </w:rPr>
        <w:t>ervice security assurance process for the vetting of cloud and as-a-</w:t>
      </w:r>
      <w:r w:rsidR="007C4D03">
        <w:rPr>
          <w:rFonts w:eastAsia="Arial"/>
        </w:rPr>
        <w:t>s</w:t>
      </w:r>
      <w:r w:rsidRPr="043A0D26">
        <w:rPr>
          <w:rFonts w:eastAsia="Arial"/>
        </w:rPr>
        <w:t>ervice offerings in alignment with the Queensland Government’s ICT as-a-</w:t>
      </w:r>
      <w:r w:rsidR="007C4D03">
        <w:rPr>
          <w:rFonts w:eastAsia="Arial"/>
        </w:rPr>
        <w:t>s</w:t>
      </w:r>
      <w:r w:rsidRPr="043A0D26">
        <w:rPr>
          <w:rFonts w:eastAsia="Arial"/>
        </w:rPr>
        <w:t>ervice Decision Framework.</w:t>
      </w:r>
    </w:p>
    <w:p w:rsidR="00204D98" w:rsidRDefault="00204D98" w:rsidP="00204D98">
      <w:pPr>
        <w:pStyle w:val="BodyText"/>
      </w:pPr>
      <w:r w:rsidRPr="00515C49">
        <w:rPr>
          <w:rFonts w:cs="Arial"/>
          <w:noProof/>
        </w:rPr>
        <w:drawing>
          <wp:inline distT="0" distB="0" distL="0" distR="0" wp14:anchorId="0CBAF833" wp14:editId="7BD06642">
            <wp:extent cx="5667566" cy="3486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4721" cy="3490551"/>
                    </a:xfrm>
                    <a:prstGeom prst="rect">
                      <a:avLst/>
                    </a:prstGeom>
                    <a:noFill/>
                    <a:ln>
                      <a:noFill/>
                    </a:ln>
                  </pic:spPr>
                </pic:pic>
              </a:graphicData>
            </a:graphic>
          </wp:inline>
        </w:drawing>
      </w:r>
    </w:p>
    <w:p w:rsidR="00204D98" w:rsidRDefault="00204D98" w:rsidP="00204D98">
      <w:pPr>
        <w:pStyle w:val="Caption"/>
        <w:rPr>
          <w:rFonts w:cs="Arial"/>
        </w:rPr>
      </w:pPr>
      <w:bookmarkStart w:id="13" w:name="_Toc448914518"/>
      <w:bookmarkStart w:id="14" w:name="_Toc453923118"/>
      <w:r w:rsidRPr="043A0D26">
        <w:rPr>
          <w:rFonts w:eastAsia="Arial" w:cs="Arial"/>
        </w:rPr>
        <w:t xml:space="preserve">Figure </w:t>
      </w:r>
      <w:r w:rsidRPr="345F88C1">
        <w:fldChar w:fldCharType="begin"/>
      </w:r>
      <w:r w:rsidRPr="00515C49">
        <w:rPr>
          <w:rFonts w:cs="Arial"/>
        </w:rPr>
        <w:instrText xml:space="preserve"> SEQ Figure \* ARABIC </w:instrText>
      </w:r>
      <w:r w:rsidRPr="345F88C1">
        <w:rPr>
          <w:rFonts w:cs="Arial"/>
        </w:rPr>
        <w:fldChar w:fldCharType="separate"/>
      </w:r>
      <w:r w:rsidRPr="043A0D26">
        <w:rPr>
          <w:rFonts w:eastAsia="Arial" w:cs="Arial"/>
          <w:noProof/>
        </w:rPr>
        <w:t>2</w:t>
      </w:r>
      <w:r w:rsidRPr="345F88C1">
        <w:fldChar w:fldCharType="end"/>
      </w:r>
      <w:r w:rsidRPr="043A0D26">
        <w:rPr>
          <w:rFonts w:eastAsia="Arial" w:cs="Arial"/>
        </w:rPr>
        <w:t>. ICT as-a-</w:t>
      </w:r>
      <w:r w:rsidR="007C4D03">
        <w:rPr>
          <w:rFonts w:eastAsia="Arial" w:cs="Arial"/>
        </w:rPr>
        <w:t>s</w:t>
      </w:r>
      <w:r w:rsidRPr="043A0D26">
        <w:rPr>
          <w:rFonts w:eastAsia="Arial" w:cs="Arial"/>
        </w:rPr>
        <w:t xml:space="preserve">ervice </w:t>
      </w:r>
      <w:r w:rsidR="00536336" w:rsidRPr="043A0D26">
        <w:rPr>
          <w:rFonts w:eastAsia="Arial" w:cs="Arial"/>
        </w:rPr>
        <w:t>security assurance model</w:t>
      </w:r>
      <w:bookmarkEnd w:id="13"/>
      <w:bookmarkEnd w:id="14"/>
    </w:p>
    <w:p w:rsidR="00204D98" w:rsidRPr="00515C49" w:rsidRDefault="043A0D26" w:rsidP="006C3F39">
      <w:pPr>
        <w:pStyle w:val="BodyText1"/>
      </w:pPr>
      <w:r w:rsidRPr="043A0D26">
        <w:rPr>
          <w:rFonts w:eastAsia="Arial"/>
        </w:rPr>
        <w:t xml:space="preserve">The assurance model, on the left of </w:t>
      </w:r>
      <w:r w:rsidR="007C4D03">
        <w:rPr>
          <w:rFonts w:eastAsia="Arial"/>
        </w:rPr>
        <w:t>f</w:t>
      </w:r>
      <w:r w:rsidRPr="043A0D26">
        <w:rPr>
          <w:rFonts w:eastAsia="Arial"/>
        </w:rPr>
        <w:t>igure 2, is representative of the advice detailed in this guide.</w:t>
      </w:r>
      <w:r w:rsidR="002E48AB">
        <w:rPr>
          <w:rFonts w:eastAsia="Arial"/>
        </w:rPr>
        <w:t xml:space="preserve"> </w:t>
      </w:r>
      <w:r w:rsidRPr="043A0D26">
        <w:rPr>
          <w:rFonts w:eastAsia="Arial"/>
        </w:rPr>
        <w:t>Each section flows directly into the yellow outcomes from that section.</w:t>
      </w:r>
      <w:r w:rsidR="002E48AB">
        <w:rPr>
          <w:rFonts w:eastAsia="Arial"/>
        </w:rPr>
        <w:t xml:space="preserve"> </w:t>
      </w:r>
      <w:r w:rsidRPr="043A0D26">
        <w:rPr>
          <w:rFonts w:eastAsia="Arial"/>
        </w:rPr>
        <w:t>Typically, these would usually represent a range of project artefacts to support a procurement process and guide any implementation project.</w:t>
      </w:r>
      <w:r w:rsidR="002E48AB">
        <w:rPr>
          <w:rFonts w:eastAsia="Arial"/>
        </w:rPr>
        <w:t xml:space="preserve"> </w:t>
      </w:r>
      <w:r w:rsidRPr="043A0D26">
        <w:rPr>
          <w:rFonts w:eastAsia="Arial"/>
        </w:rPr>
        <w:t>Various business, procurement and ICT stakeholders are responsible for development of these artefacts.</w:t>
      </w:r>
    </w:p>
    <w:p w:rsidR="00204D98" w:rsidRDefault="043A0D26" w:rsidP="006C3F39">
      <w:pPr>
        <w:pStyle w:val="BodyText1"/>
      </w:pPr>
      <w:r w:rsidRPr="043A0D26">
        <w:rPr>
          <w:rFonts w:eastAsia="Arial"/>
        </w:rPr>
        <w:lastRenderedPageBreak/>
        <w:t>The nature of the service (ICT as-a-</w:t>
      </w:r>
      <w:r w:rsidR="007C4D03">
        <w:rPr>
          <w:rFonts w:eastAsia="Arial"/>
        </w:rPr>
        <w:t>s</w:t>
      </w:r>
      <w:r w:rsidRPr="043A0D26">
        <w:rPr>
          <w:rFonts w:eastAsia="Arial"/>
        </w:rPr>
        <w:t>ervice) and its risk profile, would dictate the number and detail of artefacts required to achieve an acceptable level of service assurance against an agreed risk position.</w:t>
      </w:r>
      <w:r w:rsidR="002E48AB">
        <w:rPr>
          <w:rFonts w:eastAsia="Arial"/>
        </w:rPr>
        <w:t xml:space="preserve"> </w:t>
      </w:r>
      <w:r w:rsidRPr="043A0D26">
        <w:rPr>
          <w:rFonts w:eastAsia="Arial"/>
        </w:rPr>
        <w:t>For example, if the ICT as-a-</w:t>
      </w:r>
      <w:r w:rsidR="007C4D03">
        <w:rPr>
          <w:rFonts w:eastAsia="Arial"/>
        </w:rPr>
        <w:t>s</w:t>
      </w:r>
      <w:r w:rsidRPr="043A0D26">
        <w:rPr>
          <w:rFonts w:eastAsia="Arial"/>
        </w:rPr>
        <w:t xml:space="preserve">ervice pertained to non-critical, low risk public information contained on a website, very little security assurance may be required, </w:t>
      </w:r>
      <w:r w:rsidR="007C4D03">
        <w:rPr>
          <w:rFonts w:eastAsia="Arial"/>
        </w:rPr>
        <w:t>therefore</w:t>
      </w:r>
      <w:r w:rsidRPr="043A0D26">
        <w:rPr>
          <w:rFonts w:eastAsia="Arial"/>
        </w:rPr>
        <w:t xml:space="preserve"> few artefacts outside the business case and related procurement documents and final contract may be required.</w:t>
      </w:r>
      <w:r w:rsidR="002E48AB">
        <w:rPr>
          <w:rFonts w:eastAsia="Arial"/>
        </w:rPr>
        <w:t xml:space="preserve"> </w:t>
      </w:r>
      <w:r w:rsidRPr="043A0D26">
        <w:rPr>
          <w:rFonts w:eastAsia="Arial"/>
        </w:rPr>
        <w:t>Contrasting that with an ICT as-a-</w:t>
      </w:r>
      <w:r w:rsidR="007C4D03">
        <w:rPr>
          <w:rFonts w:eastAsia="Arial"/>
        </w:rPr>
        <w:t>s</w:t>
      </w:r>
      <w:r w:rsidRPr="043A0D26">
        <w:rPr>
          <w:rFonts w:eastAsia="Arial"/>
        </w:rPr>
        <w:t>ervice that contains private financial information, a far more rigorous set of security assurance documentation would be required.</w:t>
      </w:r>
    </w:p>
    <w:p w:rsidR="00204D98" w:rsidRDefault="00204D98" w:rsidP="00204D98">
      <w:pPr>
        <w:pStyle w:val="Heading1"/>
      </w:pPr>
      <w:bookmarkStart w:id="15" w:name="_Toc453923074"/>
      <w:r>
        <w:t>Identify information and service attributes</w:t>
      </w:r>
      <w:bookmarkEnd w:id="15"/>
    </w:p>
    <w:p w:rsidR="00204D98" w:rsidRDefault="00204D98" w:rsidP="00204D98">
      <w:pPr>
        <w:pStyle w:val="Heading2"/>
      </w:pPr>
      <w:bookmarkStart w:id="16" w:name="_Toc453923075"/>
      <w:r>
        <w:t>Business workload and planned service delivery profile</w:t>
      </w:r>
      <w:bookmarkEnd w:id="16"/>
    </w:p>
    <w:p w:rsidR="007B7363" w:rsidRPr="00AA69CC" w:rsidRDefault="043A0D26" w:rsidP="006C3F39">
      <w:pPr>
        <w:pStyle w:val="BodyText1"/>
      </w:pPr>
      <w:r>
        <w:t xml:space="preserve">From a business assurance perspective, the following should be addressed as part of the evaluation and pre-implementation of any ICT </w:t>
      </w:r>
      <w:r w:rsidR="007C4D03">
        <w:t>as-a-service</w:t>
      </w:r>
      <w:r>
        <w:t>.</w:t>
      </w:r>
    </w:p>
    <w:p w:rsidR="007B7363" w:rsidRPr="00AA69CC" w:rsidRDefault="043A0D26" w:rsidP="006C3F39">
      <w:pPr>
        <w:pStyle w:val="BodyText1"/>
      </w:pPr>
      <w:r>
        <w:t>Business workload profile:</w:t>
      </w:r>
    </w:p>
    <w:p w:rsidR="007B7363" w:rsidRPr="00136375" w:rsidRDefault="043A0D26" w:rsidP="006C3F39">
      <w:pPr>
        <w:pStyle w:val="BodyText1"/>
        <w:rPr>
          <w:rFonts w:eastAsia="Arial," w:cs="Arial"/>
        </w:rPr>
      </w:pPr>
      <w:r w:rsidRPr="00136375">
        <w:rPr>
          <w:rFonts w:eastAsia="Arial," w:cs="Arial"/>
        </w:rPr>
        <w:t xml:space="preserve">What is the business driver for this ICT </w:t>
      </w:r>
      <w:r w:rsidR="007C4D03">
        <w:rPr>
          <w:rFonts w:eastAsia="Arial," w:cs="Arial"/>
        </w:rPr>
        <w:t>as-a-service</w:t>
      </w:r>
      <w:r w:rsidRPr="00136375">
        <w:rPr>
          <w:rFonts w:eastAsia="Arial," w:cs="Arial"/>
        </w:rPr>
        <w:t>?</w:t>
      </w:r>
    </w:p>
    <w:p w:rsidR="007B7363" w:rsidRPr="00136375" w:rsidRDefault="043A0D26" w:rsidP="007B7363">
      <w:pPr>
        <w:pStyle w:val="Bullet1"/>
        <w:rPr>
          <w:rFonts w:eastAsia="Arial," w:cs="Arial"/>
        </w:rPr>
      </w:pPr>
      <w:r w:rsidRPr="00136375">
        <w:rPr>
          <w:rFonts w:eastAsia="Arial," w:cs="Arial"/>
        </w:rPr>
        <w:t xml:space="preserve">Is the workload largely standalone or part of a broader tightly integrated and/or complex business process? </w:t>
      </w:r>
    </w:p>
    <w:p w:rsidR="007B7363" w:rsidRPr="00136375" w:rsidRDefault="043A0D26" w:rsidP="007B7363">
      <w:pPr>
        <w:pStyle w:val="Bullet1"/>
        <w:rPr>
          <w:rFonts w:eastAsia="Arial," w:cs="Arial"/>
        </w:rPr>
      </w:pPr>
      <w:r w:rsidRPr="00136375">
        <w:rPr>
          <w:rFonts w:eastAsia="Arial," w:cs="Arial"/>
        </w:rPr>
        <w:t>Does the workload have demanding network data flow requirements to other systems separate from the service provider?</w:t>
      </w:r>
    </w:p>
    <w:p w:rsidR="007B7363" w:rsidRPr="00136375" w:rsidRDefault="043A0D26" w:rsidP="007B7363">
      <w:pPr>
        <w:pStyle w:val="Bullet1"/>
        <w:rPr>
          <w:rFonts w:eastAsia="Arial," w:cs="Arial"/>
        </w:rPr>
      </w:pPr>
      <w:r w:rsidRPr="00136375">
        <w:rPr>
          <w:rFonts w:eastAsia="Arial," w:cs="Arial"/>
        </w:rPr>
        <w:t>Is the workload business critical, does it have high resiliency, recovery point/time or long data retention requirements?</w:t>
      </w:r>
    </w:p>
    <w:p w:rsidR="007B7363" w:rsidRPr="00136375" w:rsidRDefault="043A0D26" w:rsidP="007B7363">
      <w:pPr>
        <w:pStyle w:val="Bullet1"/>
        <w:rPr>
          <w:rFonts w:eastAsia="Arial," w:cs="Arial"/>
        </w:rPr>
      </w:pPr>
      <w:r w:rsidRPr="00136375">
        <w:rPr>
          <w:rFonts w:eastAsia="Arial," w:cs="Arial"/>
        </w:rPr>
        <w:t>Does the workload have high audit or integrity requirements, if so, how will appropriate visibility be achieved and assured?</w:t>
      </w:r>
    </w:p>
    <w:p w:rsidR="007B7363" w:rsidRPr="00136375" w:rsidRDefault="043A0D26" w:rsidP="006C3F39">
      <w:pPr>
        <w:pStyle w:val="BodyText1"/>
      </w:pPr>
      <w:r w:rsidRPr="00136375">
        <w:t>Planned service delivery profile:</w:t>
      </w:r>
    </w:p>
    <w:p w:rsidR="007B7363" w:rsidRPr="00136375" w:rsidRDefault="043A0D26" w:rsidP="007B7363">
      <w:pPr>
        <w:pStyle w:val="Bullet1"/>
        <w:rPr>
          <w:rFonts w:eastAsia="Arial," w:cs="Arial"/>
        </w:rPr>
      </w:pPr>
      <w:r w:rsidRPr="00136375">
        <w:rPr>
          <w:rFonts w:eastAsia="Arial," w:cs="Arial"/>
        </w:rPr>
        <w:t>Will it be totally outsourced and administered under contract?</w:t>
      </w:r>
    </w:p>
    <w:p w:rsidR="007B7363" w:rsidRPr="00136375" w:rsidRDefault="043A0D26" w:rsidP="007B7363">
      <w:pPr>
        <w:pStyle w:val="Bullet1"/>
        <w:rPr>
          <w:rFonts w:eastAsia="Arial," w:cs="Arial"/>
        </w:rPr>
      </w:pPr>
      <w:r w:rsidRPr="00136375">
        <w:rPr>
          <w:rFonts w:eastAsia="Arial," w:cs="Arial"/>
        </w:rPr>
        <w:t xml:space="preserve">Will the solution elements be managed by both the agency and the </w:t>
      </w:r>
      <w:r w:rsidR="007C4D03">
        <w:rPr>
          <w:rFonts w:eastAsia="Arial," w:cs="Arial"/>
        </w:rPr>
        <w:t>as-a-service</w:t>
      </w:r>
      <w:r w:rsidRPr="00136375">
        <w:rPr>
          <w:rFonts w:eastAsia="Arial," w:cs="Arial"/>
        </w:rPr>
        <w:t xml:space="preserve"> provider?</w:t>
      </w:r>
      <w:r w:rsidR="002E48AB">
        <w:rPr>
          <w:rFonts w:eastAsia="Arial," w:cs="Arial"/>
        </w:rPr>
        <w:t xml:space="preserve"> </w:t>
      </w:r>
      <w:r w:rsidRPr="00136375">
        <w:rPr>
          <w:rFonts w:eastAsia="Arial," w:cs="Arial"/>
        </w:rPr>
        <w:t>If so, are the boundaries and touch points well described.</w:t>
      </w:r>
    </w:p>
    <w:p w:rsidR="00204D98" w:rsidRPr="00136375" w:rsidRDefault="043A0D26" w:rsidP="007B7363">
      <w:pPr>
        <w:pStyle w:val="Bullet1"/>
        <w:rPr>
          <w:rFonts w:cs="Arial"/>
        </w:rPr>
      </w:pPr>
      <w:r w:rsidRPr="00136375">
        <w:rPr>
          <w:rFonts w:eastAsia="Arial," w:cs="Arial"/>
        </w:rPr>
        <w:t xml:space="preserve">Are any other third party contracts/providers likely to be a part of the delivery of this </w:t>
      </w:r>
      <w:r w:rsidR="007C4D03">
        <w:rPr>
          <w:rFonts w:eastAsia="Arial," w:cs="Arial"/>
        </w:rPr>
        <w:t>as-a-service</w:t>
      </w:r>
      <w:r w:rsidR="006C3F39">
        <w:rPr>
          <w:rFonts w:eastAsia="Arial," w:cs="Arial"/>
        </w:rPr>
        <w:t>?</w:t>
      </w:r>
    </w:p>
    <w:p w:rsidR="007B7363" w:rsidRDefault="007B7363" w:rsidP="007B7363">
      <w:pPr>
        <w:pStyle w:val="Heading2"/>
      </w:pPr>
      <w:bookmarkStart w:id="17" w:name="_Toc453923076"/>
      <w:r>
        <w:t>Security and governance considerations</w:t>
      </w:r>
      <w:bookmarkEnd w:id="17"/>
    </w:p>
    <w:p w:rsidR="007B7363" w:rsidRPr="00AA69CC" w:rsidRDefault="043A0D26" w:rsidP="006C3F39">
      <w:pPr>
        <w:pStyle w:val="BodyText1"/>
      </w:pPr>
      <w:r w:rsidRPr="043A0D26">
        <w:rPr>
          <w:rFonts w:eastAsia="Arial" w:cs="Arial"/>
        </w:rPr>
        <w:t xml:space="preserve">From a security and governance perspective, the following process and controls should be </w:t>
      </w:r>
      <w:r>
        <w:t xml:space="preserve">evaluated to ensure the integrity of an agency’s ICT security posture, and to meet good practice for the governance of ICT. </w:t>
      </w:r>
    </w:p>
    <w:p w:rsidR="007B7363" w:rsidRPr="00136375" w:rsidRDefault="043A0D26" w:rsidP="007B7363">
      <w:pPr>
        <w:pStyle w:val="Bullet1"/>
        <w:rPr>
          <w:rFonts w:eastAsia="Arial," w:cs="Arial"/>
        </w:rPr>
      </w:pPr>
      <w:r w:rsidRPr="00136375">
        <w:rPr>
          <w:rFonts w:eastAsia="Arial," w:cs="Arial"/>
        </w:rPr>
        <w:t>Compliance:</w:t>
      </w:r>
      <w:r w:rsidR="002E48AB">
        <w:rPr>
          <w:rFonts w:eastAsia="Arial," w:cs="Arial"/>
        </w:rPr>
        <w:t xml:space="preserve"> </w:t>
      </w:r>
      <w:r w:rsidRPr="00136375">
        <w:rPr>
          <w:rFonts w:eastAsia="Arial," w:cs="Arial"/>
        </w:rPr>
        <w:t xml:space="preserve">does the ICT </w:t>
      </w:r>
      <w:r w:rsidR="007C4D03">
        <w:rPr>
          <w:rFonts w:eastAsia="Arial," w:cs="Arial"/>
        </w:rPr>
        <w:t>as-a-service</w:t>
      </w:r>
      <w:r w:rsidRPr="00136375">
        <w:rPr>
          <w:rFonts w:eastAsia="Arial," w:cs="Arial"/>
        </w:rPr>
        <w:t xml:space="preserve"> offering meet all internal and externally applicable laws, regulations and policies, standards? What relevant independent assurance can they offer and/or can be obtained through planned evaluation e</w:t>
      </w:r>
      <w:r w:rsidR="000160B4" w:rsidRPr="00136375">
        <w:rPr>
          <w:rFonts w:eastAsia="Arial," w:cs="Arial"/>
        </w:rPr>
        <w:t>.</w:t>
      </w:r>
      <w:r w:rsidRPr="00136375">
        <w:rPr>
          <w:rFonts w:eastAsia="Arial," w:cs="Arial"/>
        </w:rPr>
        <w:t>g. ISO27000 and other standards based certification, security reviews, and audits.</w:t>
      </w:r>
    </w:p>
    <w:p w:rsidR="007B7363" w:rsidRPr="00136375" w:rsidRDefault="043A0D26" w:rsidP="007B7363">
      <w:pPr>
        <w:pStyle w:val="Bullet1"/>
        <w:rPr>
          <w:rFonts w:eastAsia="Arial," w:cs="Arial"/>
        </w:rPr>
      </w:pPr>
      <w:r w:rsidRPr="00136375">
        <w:rPr>
          <w:rFonts w:eastAsia="Arial," w:cs="Arial"/>
        </w:rPr>
        <w:t>Conformance:</w:t>
      </w:r>
      <w:r w:rsidR="002E48AB">
        <w:rPr>
          <w:rFonts w:eastAsia="Arial," w:cs="Arial"/>
        </w:rPr>
        <w:t xml:space="preserve"> </w:t>
      </w:r>
      <w:r w:rsidRPr="00136375">
        <w:rPr>
          <w:rFonts w:eastAsia="Arial," w:cs="Arial"/>
        </w:rPr>
        <w:t xml:space="preserve">does the ICT </w:t>
      </w:r>
      <w:r w:rsidR="007C4D03">
        <w:rPr>
          <w:rFonts w:eastAsia="Arial," w:cs="Arial"/>
        </w:rPr>
        <w:t>as-a-service</w:t>
      </w:r>
      <w:r w:rsidRPr="00136375">
        <w:rPr>
          <w:rFonts w:eastAsia="Arial," w:cs="Arial"/>
        </w:rPr>
        <w:t xml:space="preserve"> offering meet all privacy laws, commercial confidentiality constraints, acceptable intellectual property contract clauses and other government security standards?</w:t>
      </w:r>
    </w:p>
    <w:p w:rsidR="007B7363" w:rsidRPr="00136375" w:rsidRDefault="043A0D26" w:rsidP="007B7363">
      <w:pPr>
        <w:pStyle w:val="Bullet1"/>
        <w:rPr>
          <w:rFonts w:eastAsia="Arial," w:cs="Arial"/>
        </w:rPr>
      </w:pPr>
      <w:r w:rsidRPr="00136375">
        <w:rPr>
          <w:rFonts w:eastAsia="Arial," w:cs="Arial"/>
        </w:rPr>
        <w:t xml:space="preserve">Have all operational rules/constraints and resiliency provisions for the ICT </w:t>
      </w:r>
      <w:r w:rsidR="007C4D03">
        <w:rPr>
          <w:rFonts w:eastAsia="Arial," w:cs="Arial"/>
        </w:rPr>
        <w:t>as-a-service</w:t>
      </w:r>
      <w:r w:rsidRPr="00136375">
        <w:rPr>
          <w:rFonts w:eastAsia="Arial," w:cs="Arial"/>
        </w:rPr>
        <w:t xml:space="preserve"> offering been fully described?</w:t>
      </w:r>
      <w:r w:rsidR="002E48AB">
        <w:rPr>
          <w:rFonts w:eastAsia="Arial," w:cs="Arial"/>
        </w:rPr>
        <w:t xml:space="preserve"> </w:t>
      </w:r>
      <w:r w:rsidRPr="00136375">
        <w:rPr>
          <w:rFonts w:eastAsia="Arial," w:cs="Arial"/>
        </w:rPr>
        <w:t xml:space="preserve">This would include, but not be limited to: archiving, backups, audit logs, business continuity practices and </w:t>
      </w:r>
      <w:r w:rsidR="007C4D03" w:rsidRPr="00136375">
        <w:rPr>
          <w:rFonts w:eastAsia="Arial," w:cs="Arial"/>
        </w:rPr>
        <w:t xml:space="preserve">service level agreement </w:t>
      </w:r>
      <w:r w:rsidRPr="00136375">
        <w:rPr>
          <w:rFonts w:eastAsia="Arial," w:cs="Arial"/>
        </w:rPr>
        <w:t>(SLA) reporting.</w:t>
      </w:r>
    </w:p>
    <w:p w:rsidR="007B7363" w:rsidRPr="00136375" w:rsidRDefault="043A0D26" w:rsidP="007B7363">
      <w:pPr>
        <w:pStyle w:val="Bullet1"/>
        <w:rPr>
          <w:rFonts w:eastAsia="Arial," w:cs="Arial"/>
        </w:rPr>
      </w:pPr>
      <w:r w:rsidRPr="00136375">
        <w:rPr>
          <w:rFonts w:eastAsia="Arial," w:cs="Arial"/>
        </w:rPr>
        <w:lastRenderedPageBreak/>
        <w:t xml:space="preserve">Will the introduction of this ICT </w:t>
      </w:r>
      <w:r w:rsidR="007C4D03">
        <w:rPr>
          <w:rFonts w:eastAsia="Arial," w:cs="Arial"/>
        </w:rPr>
        <w:t>as-a-service</w:t>
      </w:r>
      <w:r w:rsidRPr="00136375">
        <w:rPr>
          <w:rFonts w:eastAsia="Arial," w:cs="Arial"/>
        </w:rPr>
        <w:t xml:space="preserve"> necessitate a change to the agency structure?</w:t>
      </w:r>
      <w:r w:rsidR="002E48AB">
        <w:rPr>
          <w:rFonts w:eastAsia="Arial," w:cs="Arial"/>
        </w:rPr>
        <w:t xml:space="preserve"> </w:t>
      </w:r>
      <w:r w:rsidRPr="00136375">
        <w:rPr>
          <w:rFonts w:eastAsia="Arial," w:cs="Arial"/>
        </w:rPr>
        <w:t xml:space="preserve">If so, has this change been documented and agreed to by the business owner/s? </w:t>
      </w:r>
    </w:p>
    <w:p w:rsidR="007B7363" w:rsidRPr="00136375" w:rsidRDefault="043A0D26" w:rsidP="007B7363">
      <w:pPr>
        <w:pStyle w:val="Bullet1"/>
        <w:rPr>
          <w:rFonts w:eastAsia="Arial," w:cs="Arial"/>
        </w:rPr>
      </w:pPr>
      <w:r w:rsidRPr="00136375">
        <w:rPr>
          <w:rFonts w:eastAsia="Arial," w:cs="Arial"/>
        </w:rPr>
        <w:t>What is the mix of users and organisations involved in meeting the business driver for this service? How is it envisaged they will interact with and move data in/out of the service?</w:t>
      </w:r>
    </w:p>
    <w:p w:rsidR="007B7363" w:rsidRPr="00136375" w:rsidRDefault="043A0D26" w:rsidP="007B7363">
      <w:pPr>
        <w:pStyle w:val="Bullet1"/>
        <w:rPr>
          <w:rFonts w:eastAsia="Arial," w:cs="Arial"/>
        </w:rPr>
      </w:pPr>
      <w:r w:rsidRPr="00136375">
        <w:rPr>
          <w:rFonts w:eastAsia="Arial," w:cs="Arial"/>
        </w:rPr>
        <w:t>Have both the technical and contractual aspects of transitioning in and out of the service been adequately resolved?</w:t>
      </w:r>
      <w:r w:rsidR="002E48AB">
        <w:rPr>
          <w:rFonts w:eastAsia="Arial," w:cs="Arial"/>
        </w:rPr>
        <w:t xml:space="preserve"> </w:t>
      </w:r>
      <w:r w:rsidRPr="00136375">
        <w:rPr>
          <w:rFonts w:eastAsia="Arial," w:cs="Arial"/>
        </w:rPr>
        <w:t>Specifically, exit criteria, lock in prevention and continued provider support arrangements during the transition out phase should be established at the beginning of the engagement.</w:t>
      </w:r>
    </w:p>
    <w:p w:rsidR="007B7363" w:rsidRPr="00136375" w:rsidRDefault="043A0D26" w:rsidP="007B7363">
      <w:pPr>
        <w:pStyle w:val="Bullet1"/>
        <w:rPr>
          <w:rFonts w:eastAsia="Arial," w:cs="Arial"/>
        </w:rPr>
      </w:pPr>
      <w:r w:rsidRPr="00136375">
        <w:rPr>
          <w:rFonts w:eastAsia="Arial," w:cs="Arial"/>
        </w:rPr>
        <w:t xml:space="preserve">Will the agency require new skills and competences with the introduction of this ICT </w:t>
      </w:r>
      <w:r w:rsidR="007C4D03">
        <w:rPr>
          <w:rFonts w:eastAsia="Arial," w:cs="Arial"/>
        </w:rPr>
        <w:t>as-a-service</w:t>
      </w:r>
      <w:r w:rsidRPr="00136375">
        <w:rPr>
          <w:rFonts w:eastAsia="Arial," w:cs="Arial"/>
        </w:rPr>
        <w:t>?</w:t>
      </w:r>
      <w:r w:rsidR="002E48AB">
        <w:rPr>
          <w:rFonts w:eastAsia="Arial," w:cs="Arial"/>
        </w:rPr>
        <w:t xml:space="preserve"> </w:t>
      </w:r>
      <w:r w:rsidRPr="00136375">
        <w:rPr>
          <w:rFonts w:eastAsia="Arial," w:cs="Arial"/>
        </w:rPr>
        <w:t>If so, have these skills and competences been documented, funded and agreed to by the business owner/s?</w:t>
      </w:r>
    </w:p>
    <w:p w:rsidR="007B7363" w:rsidRPr="00136375" w:rsidRDefault="043A0D26" w:rsidP="007B7363">
      <w:pPr>
        <w:pStyle w:val="Bullet1"/>
        <w:rPr>
          <w:rFonts w:eastAsia="Arial," w:cs="Arial"/>
        </w:rPr>
      </w:pPr>
      <w:r w:rsidRPr="00136375">
        <w:rPr>
          <w:rFonts w:eastAsia="Arial," w:cs="Arial"/>
        </w:rPr>
        <w:t xml:space="preserve">Will the introduction of this ICT </w:t>
      </w:r>
      <w:r w:rsidR="007C4D03">
        <w:rPr>
          <w:rFonts w:eastAsia="Arial," w:cs="Arial"/>
        </w:rPr>
        <w:t>as-a-service</w:t>
      </w:r>
      <w:r w:rsidRPr="00136375">
        <w:rPr>
          <w:rFonts w:eastAsia="Arial," w:cs="Arial"/>
        </w:rPr>
        <w:t xml:space="preserve"> change any business processes (internally or externally) or workflows?</w:t>
      </w:r>
      <w:r w:rsidR="002E48AB">
        <w:rPr>
          <w:rFonts w:eastAsia="Arial," w:cs="Arial"/>
        </w:rPr>
        <w:t xml:space="preserve"> </w:t>
      </w:r>
      <w:r w:rsidRPr="00136375">
        <w:rPr>
          <w:rFonts w:eastAsia="Arial," w:cs="Arial"/>
        </w:rPr>
        <w:t>If so, have any impacts been documented and agreed to by the business owner/s?</w:t>
      </w:r>
      <w:r w:rsidR="002E48AB">
        <w:rPr>
          <w:rFonts w:eastAsia="Arial," w:cs="Arial"/>
        </w:rPr>
        <w:t xml:space="preserve"> </w:t>
      </w:r>
      <w:r w:rsidRPr="00136375">
        <w:rPr>
          <w:rFonts w:eastAsia="Arial," w:cs="Arial"/>
        </w:rPr>
        <w:t xml:space="preserve">What documentation will need to be updated? </w:t>
      </w:r>
    </w:p>
    <w:p w:rsidR="007B7363" w:rsidRDefault="007B7363" w:rsidP="007B7363">
      <w:pPr>
        <w:pStyle w:val="Heading2"/>
      </w:pPr>
      <w:bookmarkStart w:id="18" w:name="_Toc453923077"/>
      <w:r>
        <w:t>Risk profile</w:t>
      </w:r>
      <w:bookmarkEnd w:id="18"/>
    </w:p>
    <w:p w:rsidR="007B7363" w:rsidRPr="006C3F39" w:rsidRDefault="043A0D26" w:rsidP="006C3F39">
      <w:pPr>
        <w:pStyle w:val="BodyText1"/>
      </w:pPr>
      <w:r w:rsidRPr="006C3F39">
        <w:rPr>
          <w:rFonts w:eastAsia="Arial"/>
        </w:rPr>
        <w:t xml:space="preserve">Certain services and information have an inherently higher risk profile than others. </w:t>
      </w:r>
    </w:p>
    <w:p w:rsidR="007B7363" w:rsidRPr="006C3F39" w:rsidRDefault="043A0D26" w:rsidP="006C3F39">
      <w:pPr>
        <w:pStyle w:val="BodyText1"/>
      </w:pPr>
      <w:r w:rsidRPr="006C3F39">
        <w:rPr>
          <w:rFonts w:eastAsia="Arial"/>
        </w:rPr>
        <w:t>The profile can vary in part due to potential for malicious actors to make money either directly or indirectly, for example: stealing identity information, corrupting approvals and licenses, early access to business information, redirecting refunds and medical script fraud. Additionally, due to the nature of the service being provided some services will have broader exposure to attacks, for example: lots of untrusted users, the need to handle a variety of untrusted data, and exposure to the internet when high availability is important.</w:t>
      </w:r>
    </w:p>
    <w:p w:rsidR="007B7363" w:rsidRPr="006C3F39" w:rsidRDefault="043A0D26" w:rsidP="006C3F39">
      <w:pPr>
        <w:pStyle w:val="BodyText1"/>
      </w:pPr>
      <w:r w:rsidRPr="006C3F39">
        <w:rPr>
          <w:rFonts w:eastAsia="Arial"/>
        </w:rPr>
        <w:t>Where a service has a particularly low risk profile, less rigour is likely to be required to meet an agency’s risk appetite. An example might be limited use cloud service, to support an optional business activity such as generating graphs that are copied into presentations using near public information.</w:t>
      </w:r>
    </w:p>
    <w:p w:rsidR="007B7363" w:rsidRPr="006C3F39" w:rsidRDefault="043A0D26" w:rsidP="006C3F39">
      <w:pPr>
        <w:pStyle w:val="BodyText1"/>
      </w:pPr>
      <w:r w:rsidRPr="006C3F39">
        <w:rPr>
          <w:rFonts w:eastAsia="Arial"/>
        </w:rPr>
        <w:t>Where a service has a high risk profile, involvement of technical and process expertise is important from early on in the process through to the validation of a final production environment.</w:t>
      </w:r>
    </w:p>
    <w:p w:rsidR="007B7363" w:rsidRPr="006C3F39" w:rsidRDefault="043A0D26" w:rsidP="006C3F39">
      <w:pPr>
        <w:pStyle w:val="BodyText1"/>
      </w:pPr>
      <w:r w:rsidRPr="006C3F39">
        <w:rPr>
          <w:rFonts w:eastAsia="Arial"/>
        </w:rPr>
        <w:t>Legal risk should be considered as part of establishing the risk profile. Specific information or agency attributes may prescribe limitations on how and where data can legally be transmitted or stored.</w:t>
      </w:r>
      <w:r w:rsidR="002E48AB" w:rsidRPr="006C3F39">
        <w:rPr>
          <w:rFonts w:eastAsia="Arial"/>
        </w:rPr>
        <w:t xml:space="preserve"> </w:t>
      </w:r>
      <w:r w:rsidRPr="006C3F39">
        <w:rPr>
          <w:rFonts w:eastAsia="Arial"/>
        </w:rPr>
        <w:t>These include but are not limited to personally identifiable information (PII), financial information, heath information, legal/police and child safety information.</w:t>
      </w:r>
      <w:r w:rsidR="002E48AB" w:rsidRPr="006C3F39">
        <w:rPr>
          <w:rFonts w:eastAsia="Arial"/>
        </w:rPr>
        <w:t xml:space="preserve"> </w:t>
      </w:r>
      <w:r w:rsidRPr="006C3F39">
        <w:rPr>
          <w:rFonts w:eastAsia="Arial"/>
        </w:rPr>
        <w:t xml:space="preserve">These types of data need to be individually assessed against the ICT </w:t>
      </w:r>
      <w:r w:rsidR="007C4D03" w:rsidRPr="006C3F39">
        <w:rPr>
          <w:rFonts w:eastAsia="Arial"/>
        </w:rPr>
        <w:t>as-a-service</w:t>
      </w:r>
      <w:r w:rsidRPr="006C3F39">
        <w:rPr>
          <w:rFonts w:eastAsia="Arial"/>
        </w:rPr>
        <w:t xml:space="preserve"> offering and relevant domain specific legal drivers.</w:t>
      </w:r>
    </w:p>
    <w:p w:rsidR="00E95786" w:rsidRPr="00E95786" w:rsidRDefault="00E95786" w:rsidP="00E95786">
      <w:pPr>
        <w:pStyle w:val="BodyText1"/>
      </w:pPr>
      <w:r w:rsidRPr="00E95786">
        <w:br w:type="page"/>
      </w:r>
    </w:p>
    <w:p w:rsidR="007B7363" w:rsidRDefault="007B7363" w:rsidP="007B7363">
      <w:pPr>
        <w:pStyle w:val="Heading1"/>
      </w:pPr>
      <w:bookmarkStart w:id="19" w:name="_Toc453923078"/>
      <w:r>
        <w:lastRenderedPageBreak/>
        <w:t>Shortcuts</w:t>
      </w:r>
      <w:bookmarkEnd w:id="19"/>
    </w:p>
    <w:p w:rsidR="007B7363" w:rsidRDefault="043A0D26" w:rsidP="006C3F39">
      <w:pPr>
        <w:pStyle w:val="BodyText1"/>
      </w:pPr>
      <w:r w:rsidRPr="043A0D26">
        <w:rPr>
          <w:rFonts w:eastAsia="Arial"/>
        </w:rPr>
        <w:t>The Queensland Government is committed to leveraging assurances where possible and appropriate to reduce the impact on vendors through streamlining the assessment process.</w:t>
      </w:r>
    </w:p>
    <w:p w:rsidR="007B7363" w:rsidRDefault="007B7363" w:rsidP="007B7363">
      <w:pPr>
        <w:pStyle w:val="Heading2"/>
      </w:pPr>
      <w:bookmarkStart w:id="20" w:name="_Toc453923079"/>
      <w:r>
        <w:t>Compliance</w:t>
      </w:r>
      <w:bookmarkEnd w:id="20"/>
    </w:p>
    <w:p w:rsidR="007B7363" w:rsidRDefault="043A0D26" w:rsidP="006C3F39">
      <w:pPr>
        <w:pStyle w:val="BodyText1"/>
      </w:pPr>
      <w:r w:rsidRPr="043A0D26">
        <w:rPr>
          <w:rFonts w:eastAsia="Arial"/>
        </w:rPr>
        <w:t xml:space="preserve">While </w:t>
      </w:r>
      <w:r w:rsidR="007C4D03">
        <w:rPr>
          <w:rFonts w:eastAsia="Arial"/>
        </w:rPr>
        <w:t>as-a-service</w:t>
      </w:r>
      <w:r w:rsidRPr="043A0D26">
        <w:rPr>
          <w:rFonts w:eastAsia="Arial"/>
        </w:rPr>
        <w:t xml:space="preserve"> providers may comply with industry standards and gain common industry accreditations, it is important to verify what specific systems or processes were assessed in gaining the certification, and whether those systems or processes are the ones being procured as the agency’s intended </w:t>
      </w:r>
      <w:r w:rsidR="007C4D03">
        <w:rPr>
          <w:rFonts w:eastAsia="Arial"/>
        </w:rPr>
        <w:t>as-a-service</w:t>
      </w:r>
      <w:r w:rsidRPr="043A0D26">
        <w:rPr>
          <w:rFonts w:eastAsia="Arial"/>
        </w:rPr>
        <w:t xml:space="preserve"> implementation.</w:t>
      </w:r>
    </w:p>
    <w:p w:rsidR="007B7363" w:rsidRDefault="007B7363" w:rsidP="007B7363">
      <w:pPr>
        <w:pStyle w:val="Heading2"/>
      </w:pPr>
      <w:bookmarkStart w:id="21" w:name="_Toc453923080"/>
      <w:r>
        <w:t>Industry accreditations</w:t>
      </w:r>
      <w:bookmarkEnd w:id="21"/>
    </w:p>
    <w:p w:rsidR="007B7363" w:rsidRDefault="043A0D26" w:rsidP="006C3F39">
      <w:pPr>
        <w:pStyle w:val="BodyText1"/>
      </w:pPr>
      <w:r w:rsidRPr="043A0D26">
        <w:rPr>
          <w:rFonts w:eastAsia="Arial"/>
        </w:rPr>
        <w:t>The following industry accepted security standards, regulations, and control frameworks</w:t>
      </w:r>
      <w:r w:rsidRPr="043A0D26">
        <w:rPr>
          <w:rFonts w:ascii="Arial,Open Sans,Helvetica" w:eastAsia="Arial,Open Sans,Helvetica" w:hAnsi="Arial,Open Sans,Helvetica" w:cs="Arial,Open Sans,Helvetica"/>
        </w:rPr>
        <w:t xml:space="preserve"> </w:t>
      </w:r>
      <w:r w:rsidRPr="043A0D26">
        <w:rPr>
          <w:rFonts w:eastAsia="Arial"/>
        </w:rPr>
        <w:t xml:space="preserve">may be useful in shortlisting ICT </w:t>
      </w:r>
      <w:r w:rsidR="007C4D03">
        <w:rPr>
          <w:rFonts w:eastAsia="Arial"/>
        </w:rPr>
        <w:t>as-a-service</w:t>
      </w:r>
      <w:r w:rsidRPr="043A0D26">
        <w:rPr>
          <w:rFonts w:eastAsia="Arial"/>
        </w:rPr>
        <w:t xml:space="preserve"> providers. The evaluation may be streamlined by requesting the full prior assessment material and reports associated with certifications/accreditations when these are directly relevant to the planned service implementation.</w:t>
      </w:r>
    </w:p>
    <w:p w:rsidR="007B7363" w:rsidRDefault="007B7363" w:rsidP="007B7363">
      <w:pPr>
        <w:pStyle w:val="Blankline"/>
      </w:pPr>
    </w:p>
    <w:tbl>
      <w:tblPr>
        <w:tblStyle w:val="Table-LowInk"/>
        <w:tblW w:w="0" w:type="auto"/>
        <w:tblInd w:w="704" w:type="dxa"/>
        <w:tblLook w:val="04A0" w:firstRow="1" w:lastRow="0" w:firstColumn="1" w:lastColumn="0" w:noHBand="0" w:noVBand="1"/>
      </w:tblPr>
      <w:tblGrid>
        <w:gridCol w:w="3402"/>
        <w:gridCol w:w="5522"/>
      </w:tblGrid>
      <w:tr w:rsidR="007B7363" w:rsidRPr="007B7363" w:rsidTr="043A0D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rsidR="007B7363" w:rsidRPr="007B7363" w:rsidRDefault="043A0D26" w:rsidP="007B7363">
            <w:pPr>
              <w:ind w:left="23"/>
              <w:rPr>
                <w:rFonts w:cs="Arial"/>
              </w:rPr>
            </w:pPr>
            <w:r w:rsidRPr="043A0D26">
              <w:rPr>
                <w:rFonts w:eastAsia="Arial" w:cs="Arial"/>
              </w:rPr>
              <w:t>Standard/Framework</w:t>
            </w:r>
          </w:p>
        </w:tc>
        <w:tc>
          <w:tcPr>
            <w:tcW w:w="5522" w:type="dxa"/>
          </w:tcPr>
          <w:p w:rsidR="007B7363" w:rsidRPr="007B7363" w:rsidRDefault="043A0D26" w:rsidP="007B7363">
            <w:pPr>
              <w:ind w:left="29"/>
              <w:cnfStyle w:val="100000000000" w:firstRow="1" w:lastRow="0" w:firstColumn="0" w:lastColumn="0" w:oddVBand="0" w:evenVBand="0" w:oddHBand="0" w:evenHBand="0" w:firstRowFirstColumn="0" w:firstRowLastColumn="0" w:lastRowFirstColumn="0" w:lastRowLastColumn="0"/>
              <w:rPr>
                <w:rFonts w:cs="Arial"/>
              </w:rPr>
            </w:pPr>
            <w:r w:rsidRPr="043A0D26">
              <w:rPr>
                <w:rFonts w:eastAsia="Arial" w:cs="Arial"/>
              </w:rPr>
              <w:t>Description</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515C49" w:rsidRDefault="043A0D26" w:rsidP="007B7363">
            <w:pPr>
              <w:ind w:left="48"/>
              <w:rPr>
                <w:rFonts w:cs="Arial"/>
                <w:sz w:val="20"/>
              </w:rPr>
            </w:pPr>
            <w:r w:rsidRPr="043A0D26">
              <w:rPr>
                <w:rFonts w:eastAsia="Arial" w:cs="Arial"/>
                <w:sz w:val="20"/>
              </w:rPr>
              <w:t>ISO/IEC 27001:2013</w:t>
            </w:r>
            <w:r w:rsidR="002E48AB">
              <w:rPr>
                <w:rFonts w:eastAsia="Arial" w:cs="Arial"/>
                <w:sz w:val="20"/>
              </w:rPr>
              <w:t xml:space="preserve"> </w:t>
            </w:r>
          </w:p>
        </w:tc>
        <w:tc>
          <w:tcPr>
            <w:tcW w:w="5522" w:type="dxa"/>
          </w:tcPr>
          <w:p w:rsidR="007B7363" w:rsidRPr="00515C49" w:rsidRDefault="043A0D26" w:rsidP="007B7363">
            <w:pPr>
              <w:ind w:left="4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Information technology – Security techniques - Information security management systems - Requirements</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515C49" w:rsidRDefault="043A0D26" w:rsidP="007B7363">
            <w:pPr>
              <w:ind w:left="48"/>
              <w:rPr>
                <w:rFonts w:cs="Arial"/>
                <w:sz w:val="20"/>
              </w:rPr>
            </w:pPr>
            <w:r w:rsidRPr="043A0D26">
              <w:rPr>
                <w:rFonts w:eastAsia="Arial" w:cs="Arial"/>
                <w:sz w:val="20"/>
              </w:rPr>
              <w:t>ISO/IEC 27002</w:t>
            </w:r>
          </w:p>
        </w:tc>
        <w:tc>
          <w:tcPr>
            <w:tcW w:w="5522" w:type="dxa"/>
          </w:tcPr>
          <w:p w:rsidR="007B7363" w:rsidRPr="00515C49" w:rsidRDefault="043A0D26" w:rsidP="007B7363">
            <w:pPr>
              <w:ind w:left="4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Information technology – Security techniques – Code of practice for information security management</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515C49" w:rsidRDefault="043A0D26" w:rsidP="007B7363">
            <w:pPr>
              <w:ind w:left="48"/>
              <w:rPr>
                <w:rFonts w:cs="Arial"/>
                <w:sz w:val="20"/>
              </w:rPr>
            </w:pPr>
            <w:r w:rsidRPr="043A0D26">
              <w:rPr>
                <w:rFonts w:eastAsia="Arial" w:cs="Arial"/>
                <w:sz w:val="20"/>
              </w:rPr>
              <w:t>CCM 3.01</w:t>
            </w:r>
          </w:p>
          <w:p w:rsidR="007B7363" w:rsidRPr="00515C49" w:rsidRDefault="007B7363" w:rsidP="007B7363">
            <w:pPr>
              <w:ind w:left="48"/>
              <w:rPr>
                <w:rFonts w:cs="Arial"/>
                <w:sz w:val="20"/>
              </w:rPr>
            </w:pPr>
          </w:p>
        </w:tc>
        <w:tc>
          <w:tcPr>
            <w:tcW w:w="5522" w:type="dxa"/>
          </w:tcPr>
          <w:p w:rsidR="007B7363" w:rsidRPr="00515C49" w:rsidRDefault="043A0D26" w:rsidP="007B7363">
            <w:pPr>
              <w:ind w:left="4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Cloud Controls Matrix – Cloud Security Alliance</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515C49" w:rsidRDefault="043A0D26" w:rsidP="007B7363">
            <w:pPr>
              <w:ind w:left="48"/>
              <w:rPr>
                <w:rFonts w:cs="Arial"/>
                <w:sz w:val="20"/>
              </w:rPr>
            </w:pPr>
            <w:r w:rsidRPr="043A0D26">
              <w:rPr>
                <w:rFonts w:eastAsia="Arial" w:cs="Arial"/>
                <w:sz w:val="20"/>
              </w:rPr>
              <w:t>SSAE16 SOC-1 Type II, SSAE16 SOC-2 Type II</w:t>
            </w:r>
          </w:p>
        </w:tc>
        <w:tc>
          <w:tcPr>
            <w:tcW w:w="5522" w:type="dxa"/>
          </w:tcPr>
          <w:p w:rsidR="007B7363" w:rsidRPr="00515C49" w:rsidRDefault="043A0D26" w:rsidP="007B7363">
            <w:pPr>
              <w:ind w:left="4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Statement on Standards for Attestation Engagements (SSAE) No. 16, Reporting on Controls at a Service Organization</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515C49" w:rsidRDefault="043A0D26" w:rsidP="007B7363">
            <w:pPr>
              <w:ind w:left="48"/>
              <w:rPr>
                <w:rFonts w:cs="Arial"/>
                <w:sz w:val="20"/>
              </w:rPr>
            </w:pPr>
            <w:r w:rsidRPr="043A0D26">
              <w:rPr>
                <w:rFonts w:eastAsia="Arial" w:cs="Arial"/>
                <w:sz w:val="20"/>
              </w:rPr>
              <w:t>ISO/IEC 38500</w:t>
            </w:r>
          </w:p>
          <w:p w:rsidR="007B7363" w:rsidRPr="00515C49" w:rsidRDefault="007B7363" w:rsidP="007B7363">
            <w:pPr>
              <w:ind w:left="48"/>
              <w:rPr>
                <w:rFonts w:cs="Arial"/>
                <w:sz w:val="20"/>
              </w:rPr>
            </w:pPr>
          </w:p>
        </w:tc>
        <w:tc>
          <w:tcPr>
            <w:tcW w:w="5522" w:type="dxa"/>
          </w:tcPr>
          <w:p w:rsidR="007B7363" w:rsidRPr="00515C49" w:rsidRDefault="043A0D26" w:rsidP="007B7363">
            <w:pPr>
              <w:ind w:left="4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ICT Governance – International Standards Organisation (ISO)</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515C49" w:rsidRDefault="043A0D26" w:rsidP="007B7363">
            <w:pPr>
              <w:ind w:left="48"/>
              <w:rPr>
                <w:rFonts w:cs="Arial"/>
                <w:sz w:val="20"/>
              </w:rPr>
            </w:pPr>
            <w:r w:rsidRPr="043A0D26">
              <w:rPr>
                <w:rFonts w:eastAsia="Arial" w:cs="Arial"/>
                <w:sz w:val="20"/>
              </w:rPr>
              <w:t xml:space="preserve">COBIT5 </w:t>
            </w:r>
          </w:p>
        </w:tc>
        <w:tc>
          <w:tcPr>
            <w:tcW w:w="5522" w:type="dxa"/>
          </w:tcPr>
          <w:p w:rsidR="007B7363" w:rsidRPr="00515C49" w:rsidRDefault="043A0D26" w:rsidP="007B7363">
            <w:pPr>
              <w:ind w:left="4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Framework for IT Governance and Management – Information Systems Audit and Control Association (ISACA)</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515C49" w:rsidRDefault="043A0D26" w:rsidP="007B7363">
            <w:pPr>
              <w:ind w:left="48"/>
              <w:rPr>
                <w:rFonts w:cs="Arial"/>
                <w:sz w:val="20"/>
              </w:rPr>
            </w:pPr>
            <w:r w:rsidRPr="043A0D26">
              <w:rPr>
                <w:rFonts w:eastAsia="Arial" w:cs="Arial"/>
                <w:sz w:val="20"/>
              </w:rPr>
              <w:t xml:space="preserve">IT Audit and Assurance Program for Cloud Computing </w:t>
            </w:r>
          </w:p>
        </w:tc>
        <w:tc>
          <w:tcPr>
            <w:tcW w:w="5522" w:type="dxa"/>
          </w:tcPr>
          <w:p w:rsidR="007B7363" w:rsidRPr="00515C49" w:rsidRDefault="007B7363" w:rsidP="007B7363">
            <w:pPr>
              <w:ind w:left="48"/>
              <w:cnfStyle w:val="000000000000" w:firstRow="0" w:lastRow="0" w:firstColumn="0" w:lastColumn="0" w:oddVBand="0" w:evenVBand="0" w:oddHBand="0" w:evenHBand="0" w:firstRowFirstColumn="0" w:firstRowLastColumn="0" w:lastRowFirstColumn="0" w:lastRowLastColumn="0"/>
              <w:rPr>
                <w:rFonts w:cs="Arial"/>
                <w:sz w:val="20"/>
              </w:rPr>
            </w:pPr>
            <w:bookmarkStart w:id="22" w:name="_Toc380050503"/>
            <w:r w:rsidRPr="043A0D26">
              <w:rPr>
                <w:rFonts w:eastAsia="Arial" w:cs="Arial"/>
                <w:sz w:val="20"/>
              </w:rPr>
              <w:t>Cloud Computing Assurance Program</w:t>
            </w:r>
            <w:bookmarkEnd w:id="22"/>
            <w:r w:rsidRPr="043A0D26">
              <w:rPr>
                <w:rFonts w:eastAsia="Arial" w:cs="Arial"/>
                <w:sz w:val="20"/>
              </w:rPr>
              <w:t xml:space="preserve"> – Information Systems Audit and Control Association (ISACA)</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6C3F39" w:rsidRDefault="043A0D26" w:rsidP="007B7363">
            <w:pPr>
              <w:ind w:left="48"/>
              <w:rPr>
                <w:rFonts w:cs="Arial"/>
                <w:sz w:val="20"/>
              </w:rPr>
            </w:pPr>
            <w:r w:rsidRPr="006C3F39">
              <w:rPr>
                <w:rFonts w:eastAsia="Arial,Arial,Arial," w:cs="Arial"/>
                <w:sz w:val="20"/>
              </w:rPr>
              <w:t>Cloud Computing Information Assurance Framework</w:t>
            </w:r>
          </w:p>
        </w:tc>
        <w:tc>
          <w:tcPr>
            <w:tcW w:w="5522" w:type="dxa"/>
          </w:tcPr>
          <w:p w:rsidR="007B7363" w:rsidRPr="00515C49" w:rsidRDefault="00F8550A" w:rsidP="007B7363">
            <w:pPr>
              <w:ind w:left="48"/>
              <w:cnfStyle w:val="000000000000" w:firstRow="0" w:lastRow="0" w:firstColumn="0" w:lastColumn="0" w:oddVBand="0" w:evenVBand="0" w:oddHBand="0" w:evenHBand="0" w:firstRowFirstColumn="0" w:firstRowLastColumn="0" w:lastRowFirstColumn="0" w:lastRowLastColumn="0"/>
              <w:rPr>
                <w:rFonts w:eastAsiaTheme="minorHAnsi" w:cs="Arial"/>
                <w:sz w:val="20"/>
              </w:rPr>
            </w:pPr>
            <w:hyperlink r:id="rId32">
              <w:r w:rsidR="043A0D26" w:rsidRPr="043A0D26">
                <w:rPr>
                  <w:rFonts w:ascii="Arial,Arial,Arial," w:eastAsia="Arial,Arial,Arial," w:hAnsi="Arial,Arial,Arial," w:cs="Arial,Arial,Arial,"/>
                  <w:sz w:val="20"/>
                </w:rPr>
                <w:t>European Union Agency for Network and Information Security</w:t>
              </w:r>
            </w:hyperlink>
            <w:r w:rsidR="043A0D26" w:rsidRPr="043A0D26">
              <w:rPr>
                <w:rFonts w:ascii="Arial,Arial,Arial," w:eastAsia="Arial,Arial,Arial," w:hAnsi="Arial,Arial,Arial," w:cs="Arial,Arial,Arial,"/>
                <w:sz w:val="20"/>
              </w:rPr>
              <w:t xml:space="preserve"> (ENISA)</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515C49" w:rsidRDefault="043A0D26" w:rsidP="007B7363">
            <w:pPr>
              <w:ind w:left="48"/>
              <w:rPr>
                <w:rFonts w:cs="Arial"/>
                <w:sz w:val="20"/>
              </w:rPr>
            </w:pPr>
            <w:r w:rsidRPr="043A0D26">
              <w:rPr>
                <w:rFonts w:eastAsia="Arial" w:cs="Arial"/>
                <w:sz w:val="20"/>
              </w:rPr>
              <w:t>Cloud Computing Risk Assessment</w:t>
            </w:r>
          </w:p>
        </w:tc>
        <w:tc>
          <w:tcPr>
            <w:tcW w:w="5522" w:type="dxa"/>
          </w:tcPr>
          <w:p w:rsidR="007B7363" w:rsidRPr="00515C49" w:rsidRDefault="00F8550A" w:rsidP="007B7363">
            <w:pPr>
              <w:ind w:left="48"/>
              <w:cnfStyle w:val="000000000000" w:firstRow="0" w:lastRow="0" w:firstColumn="0" w:lastColumn="0" w:oddVBand="0" w:evenVBand="0" w:oddHBand="0" w:evenHBand="0" w:firstRowFirstColumn="0" w:firstRowLastColumn="0" w:lastRowFirstColumn="0" w:lastRowLastColumn="0"/>
              <w:rPr>
                <w:rFonts w:cs="Arial"/>
                <w:sz w:val="20"/>
              </w:rPr>
            </w:pPr>
            <w:hyperlink r:id="rId33">
              <w:r w:rsidR="043A0D26" w:rsidRPr="043A0D26">
                <w:rPr>
                  <w:rFonts w:eastAsia="Arial" w:cs="Arial"/>
                  <w:sz w:val="20"/>
                </w:rPr>
                <w:t>European Union Agency for Network and Information Security</w:t>
              </w:r>
            </w:hyperlink>
            <w:r w:rsidR="043A0D26" w:rsidRPr="043A0D26">
              <w:rPr>
                <w:rFonts w:eastAsia="Arial" w:cs="Arial"/>
                <w:sz w:val="20"/>
              </w:rPr>
              <w:t xml:space="preserve"> (ENISA)</w:t>
            </w:r>
          </w:p>
        </w:tc>
      </w:tr>
      <w:tr w:rsidR="007B7363"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7B7363" w:rsidRPr="00515C49" w:rsidRDefault="043A0D26" w:rsidP="007B7363">
            <w:pPr>
              <w:ind w:left="48"/>
              <w:rPr>
                <w:rFonts w:cs="Arial"/>
                <w:sz w:val="20"/>
              </w:rPr>
            </w:pPr>
            <w:r w:rsidRPr="043A0D26">
              <w:rPr>
                <w:rFonts w:eastAsia="Arial" w:cs="Arial"/>
                <w:sz w:val="20"/>
              </w:rPr>
              <w:t>AS/NZS ISO 31000:2009</w:t>
            </w:r>
          </w:p>
          <w:p w:rsidR="007B7363" w:rsidRPr="00515C49" w:rsidRDefault="007B7363" w:rsidP="007B7363">
            <w:pPr>
              <w:ind w:left="48"/>
              <w:rPr>
                <w:rFonts w:cs="Arial"/>
                <w:sz w:val="20"/>
              </w:rPr>
            </w:pPr>
          </w:p>
        </w:tc>
        <w:tc>
          <w:tcPr>
            <w:tcW w:w="5522" w:type="dxa"/>
          </w:tcPr>
          <w:p w:rsidR="007B7363" w:rsidRPr="00515C49" w:rsidRDefault="043A0D26" w:rsidP="007B7363">
            <w:pPr>
              <w:ind w:left="48"/>
              <w:cnfStyle w:val="000000000000" w:firstRow="0" w:lastRow="0" w:firstColumn="0" w:lastColumn="0" w:oddVBand="0" w:evenVBand="0" w:oddHBand="0" w:evenHBand="0" w:firstRowFirstColumn="0" w:firstRowLastColumn="0" w:lastRowFirstColumn="0" w:lastRowLastColumn="0"/>
              <w:rPr>
                <w:rFonts w:cs="Arial"/>
                <w:sz w:val="20"/>
              </w:rPr>
            </w:pPr>
            <w:r w:rsidRPr="043A0D26">
              <w:rPr>
                <w:rFonts w:eastAsia="Arial" w:cs="Arial"/>
                <w:sz w:val="20"/>
              </w:rPr>
              <w:t>Risk Management – Principles and guidelines</w:t>
            </w:r>
          </w:p>
        </w:tc>
      </w:tr>
      <w:tr w:rsidR="0019205A" w:rsidTr="043A0D26">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3402" w:type="dxa"/>
          </w:tcPr>
          <w:p w:rsidR="0019205A" w:rsidRPr="345F88C1" w:rsidRDefault="043A0D26" w:rsidP="007B7363">
            <w:pPr>
              <w:ind w:left="48"/>
              <w:rPr>
                <w:rFonts w:eastAsia="Arial" w:cs="Arial"/>
                <w:sz w:val="20"/>
              </w:rPr>
            </w:pPr>
            <w:r w:rsidRPr="043A0D26">
              <w:rPr>
                <w:rFonts w:eastAsia="Arial" w:cs="Arial"/>
                <w:sz w:val="20"/>
              </w:rPr>
              <w:lastRenderedPageBreak/>
              <w:t>NIST SP 800 and 1800 series</w:t>
            </w:r>
          </w:p>
        </w:tc>
        <w:tc>
          <w:tcPr>
            <w:tcW w:w="5522" w:type="dxa"/>
          </w:tcPr>
          <w:p w:rsidR="0019205A" w:rsidRPr="345F88C1" w:rsidRDefault="043A0D26" w:rsidP="007B7363">
            <w:pPr>
              <w:ind w:left="48"/>
              <w:cnfStyle w:val="000000000000" w:firstRow="0" w:lastRow="0" w:firstColumn="0" w:lastColumn="0" w:oddVBand="0" w:evenVBand="0" w:oddHBand="0" w:evenHBand="0" w:firstRowFirstColumn="0" w:firstRowLastColumn="0" w:lastRowFirstColumn="0" w:lastRowLastColumn="0"/>
              <w:rPr>
                <w:rFonts w:eastAsia="Arial" w:cs="Arial"/>
                <w:sz w:val="20"/>
              </w:rPr>
            </w:pPr>
            <w:r w:rsidRPr="043A0D26">
              <w:rPr>
                <w:rFonts w:eastAsia="Arial" w:cs="Arial"/>
                <w:sz w:val="20"/>
              </w:rPr>
              <w:t xml:space="preserve">NIST computer security and cyber security practice guides. </w:t>
            </w:r>
          </w:p>
        </w:tc>
      </w:tr>
    </w:tbl>
    <w:p w:rsidR="007B7363" w:rsidRDefault="043A0D26" w:rsidP="006C3F39">
      <w:pPr>
        <w:pStyle w:val="BodyText1"/>
      </w:pPr>
      <w:r w:rsidRPr="043A0D26">
        <w:rPr>
          <w:rFonts w:eastAsia="Arial"/>
        </w:rPr>
        <w:t xml:space="preserve">Depending on the specific application of the </w:t>
      </w:r>
      <w:r w:rsidR="007C4D03">
        <w:rPr>
          <w:rFonts w:eastAsia="Arial"/>
        </w:rPr>
        <w:t>as-a-service</w:t>
      </w:r>
      <w:r w:rsidRPr="043A0D26">
        <w:rPr>
          <w:rFonts w:eastAsia="Arial"/>
        </w:rPr>
        <w:t>, agencies may require suppliers to comply with the following policies:</w:t>
      </w:r>
    </w:p>
    <w:p w:rsidR="007B7363" w:rsidRDefault="007B7363" w:rsidP="007B7363">
      <w:pPr>
        <w:pStyle w:val="Blankline"/>
      </w:pPr>
    </w:p>
    <w:tbl>
      <w:tblPr>
        <w:tblW w:w="8930" w:type="dxa"/>
        <w:tblInd w:w="70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113" w:type="dxa"/>
          <w:bottom w:w="28" w:type="dxa"/>
          <w:right w:w="113" w:type="dxa"/>
        </w:tblCellMar>
        <w:tblLook w:val="01E0" w:firstRow="1" w:lastRow="1" w:firstColumn="1" w:lastColumn="1" w:noHBand="0" w:noVBand="0"/>
      </w:tblPr>
      <w:tblGrid>
        <w:gridCol w:w="3827"/>
        <w:gridCol w:w="5103"/>
      </w:tblGrid>
      <w:tr w:rsidR="007B7363" w:rsidRPr="00515C49" w:rsidTr="043A0D26">
        <w:trPr>
          <w:tblHeader/>
        </w:trPr>
        <w:tc>
          <w:tcPr>
            <w:tcW w:w="3827" w:type="dxa"/>
            <w:tcBorders>
              <w:bottom w:val="single" w:sz="12" w:space="0" w:color="C0C0C0"/>
            </w:tcBorders>
            <w:shd w:val="clear" w:color="auto" w:fill="FFFFFF" w:themeFill="background1"/>
          </w:tcPr>
          <w:p w:rsidR="007B7363" w:rsidRPr="00515C49" w:rsidRDefault="043A0D26" w:rsidP="00A64BFD">
            <w:pPr>
              <w:ind w:left="23"/>
              <w:rPr>
                <w:rFonts w:cs="Arial"/>
                <w:b/>
              </w:rPr>
            </w:pPr>
            <w:r w:rsidRPr="043A0D26">
              <w:rPr>
                <w:rFonts w:eastAsia="Arial" w:cs="Arial"/>
                <w:b/>
                <w:bCs/>
              </w:rPr>
              <w:t>Policy Compliance Requirements</w:t>
            </w:r>
          </w:p>
        </w:tc>
        <w:tc>
          <w:tcPr>
            <w:tcW w:w="5103" w:type="dxa"/>
            <w:tcBorders>
              <w:bottom w:val="single" w:sz="12" w:space="0" w:color="C0C0C0"/>
            </w:tcBorders>
            <w:shd w:val="clear" w:color="auto" w:fill="FFFFFF" w:themeFill="background1"/>
          </w:tcPr>
          <w:p w:rsidR="007B7363" w:rsidRPr="00515C49" w:rsidRDefault="043A0D26" w:rsidP="00A64BFD">
            <w:pPr>
              <w:ind w:left="29"/>
              <w:rPr>
                <w:rFonts w:cs="Arial"/>
                <w:b/>
              </w:rPr>
            </w:pPr>
            <w:r w:rsidRPr="043A0D26">
              <w:rPr>
                <w:rFonts w:eastAsia="Arial" w:cs="Arial"/>
                <w:b/>
                <w:bCs/>
              </w:rPr>
              <w:t>Source</w:t>
            </w:r>
          </w:p>
        </w:tc>
      </w:tr>
      <w:tr w:rsidR="007B7363" w:rsidRPr="00515C49" w:rsidTr="043A0D26">
        <w:tblPrEx>
          <w:tblCellMar>
            <w:top w:w="57" w:type="dxa"/>
            <w:left w:w="119" w:type="dxa"/>
            <w:right w:w="119" w:type="dxa"/>
          </w:tblCellMar>
        </w:tblPrEx>
        <w:tc>
          <w:tcPr>
            <w:tcW w:w="3827" w:type="dxa"/>
            <w:tcBorders>
              <w:top w:val="single" w:sz="12" w:space="0" w:color="C0C0C0"/>
            </w:tcBorders>
            <w:shd w:val="clear" w:color="auto" w:fill="E6E6E6"/>
          </w:tcPr>
          <w:p w:rsidR="007B7363" w:rsidRPr="00515C49" w:rsidRDefault="043A0D26" w:rsidP="00A64BFD">
            <w:pPr>
              <w:ind w:left="48"/>
              <w:rPr>
                <w:rFonts w:cs="Arial"/>
                <w:sz w:val="20"/>
              </w:rPr>
            </w:pPr>
            <w:r w:rsidRPr="043A0D26">
              <w:rPr>
                <w:rFonts w:eastAsia="Arial" w:cs="Arial"/>
                <w:sz w:val="20"/>
              </w:rPr>
              <w:t xml:space="preserve">ICT </w:t>
            </w:r>
            <w:r w:rsidR="007C4D03">
              <w:rPr>
                <w:rFonts w:eastAsia="Arial" w:cs="Arial"/>
                <w:sz w:val="20"/>
              </w:rPr>
              <w:t>as-a-service</w:t>
            </w:r>
            <w:r w:rsidRPr="043A0D26">
              <w:rPr>
                <w:rFonts w:eastAsia="Arial" w:cs="Arial"/>
                <w:sz w:val="20"/>
              </w:rPr>
              <w:t xml:space="preserve"> offshore data storage and processing policy</w:t>
            </w:r>
          </w:p>
        </w:tc>
        <w:tc>
          <w:tcPr>
            <w:tcW w:w="5103" w:type="dxa"/>
            <w:tcBorders>
              <w:top w:val="single" w:sz="12" w:space="0" w:color="C0C0C0"/>
            </w:tcBorders>
            <w:shd w:val="clear" w:color="auto" w:fill="auto"/>
          </w:tcPr>
          <w:p w:rsidR="007B7363" w:rsidRPr="00515C49" w:rsidRDefault="043A0D26" w:rsidP="00A64BFD">
            <w:pPr>
              <w:ind w:left="48"/>
              <w:rPr>
                <w:rFonts w:cs="Arial"/>
                <w:sz w:val="20"/>
              </w:rPr>
            </w:pPr>
            <w:r w:rsidRPr="043A0D26">
              <w:rPr>
                <w:rFonts w:eastAsia="Arial" w:cs="Arial"/>
                <w:sz w:val="20"/>
              </w:rPr>
              <w:t>Queensland Government Chief Information Office</w:t>
            </w:r>
          </w:p>
        </w:tc>
      </w:tr>
      <w:tr w:rsidR="007B7363" w:rsidRPr="00515C49" w:rsidTr="043A0D26">
        <w:tblPrEx>
          <w:tblCellMar>
            <w:top w:w="57" w:type="dxa"/>
            <w:left w:w="119" w:type="dxa"/>
            <w:right w:w="119" w:type="dxa"/>
          </w:tblCellMar>
        </w:tblPrEx>
        <w:tc>
          <w:tcPr>
            <w:tcW w:w="3827" w:type="dxa"/>
            <w:shd w:val="clear" w:color="auto" w:fill="E6E6E6"/>
          </w:tcPr>
          <w:p w:rsidR="007B7363" w:rsidRPr="00515C49" w:rsidRDefault="043A0D26" w:rsidP="00A64BFD">
            <w:pPr>
              <w:ind w:left="48"/>
              <w:rPr>
                <w:rFonts w:cs="Arial"/>
                <w:sz w:val="20"/>
              </w:rPr>
            </w:pPr>
            <w:r w:rsidRPr="043A0D26">
              <w:rPr>
                <w:rFonts w:eastAsia="Arial" w:cs="Arial"/>
                <w:sz w:val="20"/>
              </w:rPr>
              <w:t>Queensland Government Information Security Classification Framework</w:t>
            </w:r>
            <w:r w:rsidR="00E95786">
              <w:rPr>
                <w:rFonts w:eastAsia="Arial" w:cs="Arial"/>
                <w:sz w:val="20"/>
              </w:rPr>
              <w:t xml:space="preserve"> </w:t>
            </w:r>
            <w:r w:rsidRPr="043A0D26">
              <w:rPr>
                <w:rFonts w:eastAsia="Arial" w:cs="Arial"/>
                <w:sz w:val="20"/>
              </w:rPr>
              <w:t>(QGISCF)</w:t>
            </w:r>
          </w:p>
        </w:tc>
        <w:tc>
          <w:tcPr>
            <w:tcW w:w="5103" w:type="dxa"/>
            <w:shd w:val="clear" w:color="auto" w:fill="auto"/>
          </w:tcPr>
          <w:p w:rsidR="007B7363" w:rsidRPr="00515C49" w:rsidRDefault="043A0D26" w:rsidP="00A64BFD">
            <w:pPr>
              <w:ind w:left="48"/>
              <w:rPr>
                <w:rFonts w:cs="Arial"/>
                <w:sz w:val="20"/>
              </w:rPr>
            </w:pPr>
            <w:r w:rsidRPr="043A0D26">
              <w:rPr>
                <w:rFonts w:eastAsia="Arial" w:cs="Arial"/>
                <w:sz w:val="20"/>
              </w:rPr>
              <w:t>Queensland Government Chief Information Office</w:t>
            </w:r>
          </w:p>
        </w:tc>
      </w:tr>
      <w:tr w:rsidR="007B7363" w:rsidRPr="00515C49" w:rsidTr="043A0D26">
        <w:tblPrEx>
          <w:tblCellMar>
            <w:top w:w="57" w:type="dxa"/>
            <w:left w:w="119" w:type="dxa"/>
            <w:right w:w="119" w:type="dxa"/>
          </w:tblCellMar>
        </w:tblPrEx>
        <w:tc>
          <w:tcPr>
            <w:tcW w:w="3827" w:type="dxa"/>
            <w:shd w:val="clear" w:color="auto" w:fill="E6E6E6"/>
          </w:tcPr>
          <w:p w:rsidR="007B7363" w:rsidRPr="00515C49" w:rsidRDefault="043A0D26" w:rsidP="00A64BFD">
            <w:pPr>
              <w:ind w:left="48"/>
              <w:rPr>
                <w:rFonts w:cs="Arial"/>
                <w:sz w:val="20"/>
              </w:rPr>
            </w:pPr>
            <w:r w:rsidRPr="043A0D26">
              <w:rPr>
                <w:rFonts w:eastAsia="Arial" w:cs="Arial"/>
                <w:sz w:val="20"/>
              </w:rPr>
              <w:t>Queensland Government Network Transmission Security Assurance Framework</w:t>
            </w:r>
          </w:p>
        </w:tc>
        <w:tc>
          <w:tcPr>
            <w:tcW w:w="5103" w:type="dxa"/>
            <w:shd w:val="clear" w:color="auto" w:fill="auto"/>
          </w:tcPr>
          <w:p w:rsidR="007B7363" w:rsidRPr="00515C49" w:rsidRDefault="043A0D26" w:rsidP="00A64BFD">
            <w:pPr>
              <w:ind w:left="48"/>
              <w:rPr>
                <w:rFonts w:cs="Arial"/>
                <w:sz w:val="20"/>
              </w:rPr>
            </w:pPr>
            <w:r w:rsidRPr="043A0D26">
              <w:rPr>
                <w:rFonts w:eastAsia="Arial" w:cs="Arial"/>
                <w:sz w:val="20"/>
              </w:rPr>
              <w:t>Queensland Government Chief Information Office</w:t>
            </w:r>
          </w:p>
        </w:tc>
      </w:tr>
      <w:tr w:rsidR="007B7363" w:rsidRPr="00515C49" w:rsidTr="043A0D26">
        <w:tblPrEx>
          <w:tblCellMar>
            <w:top w:w="57" w:type="dxa"/>
            <w:left w:w="119" w:type="dxa"/>
            <w:right w:w="119" w:type="dxa"/>
          </w:tblCellMar>
        </w:tblPrEx>
        <w:tc>
          <w:tcPr>
            <w:tcW w:w="3827" w:type="dxa"/>
            <w:shd w:val="clear" w:color="auto" w:fill="E6E6E6"/>
          </w:tcPr>
          <w:p w:rsidR="007B7363" w:rsidRPr="00515C49" w:rsidRDefault="043A0D26" w:rsidP="00A64BFD">
            <w:pPr>
              <w:ind w:left="48"/>
              <w:rPr>
                <w:rFonts w:cs="Arial"/>
                <w:sz w:val="20"/>
              </w:rPr>
            </w:pPr>
            <w:r w:rsidRPr="043A0D26">
              <w:rPr>
                <w:rFonts w:eastAsia="Arial" w:cs="Arial"/>
                <w:sz w:val="20"/>
              </w:rPr>
              <w:t xml:space="preserve">Information Security - IS18 </w:t>
            </w:r>
          </w:p>
          <w:p w:rsidR="007B7363" w:rsidRPr="00515C49" w:rsidRDefault="007B7363" w:rsidP="00A64BFD">
            <w:pPr>
              <w:ind w:left="48"/>
              <w:rPr>
                <w:rFonts w:cs="Arial"/>
                <w:sz w:val="20"/>
              </w:rPr>
            </w:pPr>
          </w:p>
        </w:tc>
        <w:tc>
          <w:tcPr>
            <w:tcW w:w="5103" w:type="dxa"/>
            <w:shd w:val="clear" w:color="auto" w:fill="auto"/>
          </w:tcPr>
          <w:p w:rsidR="007B7363" w:rsidRPr="00515C49" w:rsidRDefault="043A0D26" w:rsidP="00A64BFD">
            <w:pPr>
              <w:ind w:left="48"/>
              <w:rPr>
                <w:rFonts w:cs="Arial"/>
                <w:sz w:val="20"/>
              </w:rPr>
            </w:pPr>
            <w:r w:rsidRPr="043A0D26">
              <w:rPr>
                <w:rFonts w:eastAsia="Arial" w:cs="Arial"/>
                <w:sz w:val="20"/>
              </w:rPr>
              <w:t>Queensland Government Chief Information Office</w:t>
            </w:r>
          </w:p>
        </w:tc>
      </w:tr>
      <w:tr w:rsidR="007B7363" w:rsidRPr="00515C49" w:rsidTr="043A0D26">
        <w:tblPrEx>
          <w:tblCellMar>
            <w:top w:w="57" w:type="dxa"/>
            <w:left w:w="119" w:type="dxa"/>
            <w:right w:w="119" w:type="dxa"/>
          </w:tblCellMar>
        </w:tblPrEx>
        <w:tc>
          <w:tcPr>
            <w:tcW w:w="3827" w:type="dxa"/>
            <w:shd w:val="clear" w:color="auto" w:fill="E6E6E6"/>
          </w:tcPr>
          <w:p w:rsidR="007B7363" w:rsidRPr="00515C49" w:rsidRDefault="043A0D26" w:rsidP="00A64BFD">
            <w:pPr>
              <w:ind w:left="48"/>
              <w:rPr>
                <w:rFonts w:cs="Arial"/>
                <w:sz w:val="20"/>
              </w:rPr>
            </w:pPr>
            <w:r w:rsidRPr="043A0D26">
              <w:rPr>
                <w:rFonts w:eastAsia="Arial" w:cs="Arial"/>
                <w:sz w:val="20"/>
              </w:rPr>
              <w:t>AISEP Policy Manual</w:t>
            </w:r>
          </w:p>
          <w:p w:rsidR="007B7363" w:rsidRPr="00515C49" w:rsidRDefault="043A0D26" w:rsidP="00A64BFD">
            <w:pPr>
              <w:ind w:left="48"/>
              <w:rPr>
                <w:rFonts w:cs="Arial"/>
                <w:sz w:val="20"/>
              </w:rPr>
            </w:pPr>
            <w:r w:rsidRPr="043A0D26">
              <w:rPr>
                <w:rFonts w:eastAsia="Arial" w:cs="Arial"/>
                <w:sz w:val="20"/>
              </w:rPr>
              <w:t>AISEP Certifier Policy</w:t>
            </w:r>
          </w:p>
          <w:p w:rsidR="007B7363" w:rsidRPr="00515C49" w:rsidRDefault="043A0D26" w:rsidP="00A64BFD">
            <w:pPr>
              <w:ind w:left="48"/>
              <w:rPr>
                <w:rFonts w:cs="Arial"/>
                <w:sz w:val="20"/>
              </w:rPr>
            </w:pPr>
            <w:r w:rsidRPr="043A0D26">
              <w:rPr>
                <w:rFonts w:eastAsia="Arial" w:cs="Arial"/>
                <w:sz w:val="20"/>
              </w:rPr>
              <w:t>AISEP Evaluator Policy</w:t>
            </w:r>
          </w:p>
        </w:tc>
        <w:tc>
          <w:tcPr>
            <w:tcW w:w="5103" w:type="dxa"/>
            <w:shd w:val="clear" w:color="auto" w:fill="auto"/>
          </w:tcPr>
          <w:p w:rsidR="007B7363" w:rsidRPr="00E95786" w:rsidRDefault="043A0D26" w:rsidP="00A64BFD">
            <w:pPr>
              <w:ind w:left="48"/>
              <w:rPr>
                <w:rFonts w:eastAsiaTheme="minorHAnsi" w:cs="Arial"/>
                <w:sz w:val="20"/>
              </w:rPr>
            </w:pPr>
            <w:r w:rsidRPr="00E95786">
              <w:rPr>
                <w:rFonts w:eastAsia="Arial," w:cs="Arial"/>
                <w:sz w:val="20"/>
              </w:rPr>
              <w:t>Australasian Information Security Evaluation Program (AISEP) - Australian Signals Directorate</w:t>
            </w:r>
          </w:p>
        </w:tc>
      </w:tr>
      <w:tr w:rsidR="007B7363" w:rsidRPr="00515C49" w:rsidTr="043A0D26">
        <w:tblPrEx>
          <w:tblCellMar>
            <w:top w:w="57" w:type="dxa"/>
            <w:left w:w="119" w:type="dxa"/>
            <w:right w:w="119" w:type="dxa"/>
          </w:tblCellMar>
        </w:tblPrEx>
        <w:tc>
          <w:tcPr>
            <w:tcW w:w="3827" w:type="dxa"/>
            <w:shd w:val="clear" w:color="auto" w:fill="E6E6E6"/>
          </w:tcPr>
          <w:p w:rsidR="007B7363" w:rsidRPr="00515C49" w:rsidRDefault="043A0D26" w:rsidP="00A64BFD">
            <w:pPr>
              <w:ind w:left="48"/>
              <w:rPr>
                <w:rFonts w:cs="Arial"/>
                <w:sz w:val="20"/>
              </w:rPr>
            </w:pPr>
            <w:r w:rsidRPr="043A0D26">
              <w:rPr>
                <w:rFonts w:eastAsia="Arial" w:cs="Arial"/>
                <w:sz w:val="20"/>
              </w:rPr>
              <w:t>ASD Certified Cloud Services List</w:t>
            </w:r>
          </w:p>
        </w:tc>
        <w:tc>
          <w:tcPr>
            <w:tcW w:w="5103" w:type="dxa"/>
            <w:shd w:val="clear" w:color="auto" w:fill="auto"/>
          </w:tcPr>
          <w:p w:rsidR="007B7363" w:rsidRPr="00E95786" w:rsidRDefault="043A0D26" w:rsidP="00A64BFD">
            <w:pPr>
              <w:ind w:left="48"/>
              <w:rPr>
                <w:rFonts w:cs="Arial"/>
                <w:sz w:val="20"/>
              </w:rPr>
            </w:pPr>
            <w:r w:rsidRPr="00E95786">
              <w:rPr>
                <w:rFonts w:eastAsia="Arial," w:cs="Arial"/>
                <w:sz w:val="20"/>
              </w:rPr>
              <w:t>Information Security Registered Assessors Program - Australian Signals Directorate</w:t>
            </w:r>
          </w:p>
        </w:tc>
      </w:tr>
      <w:tr w:rsidR="007B7363" w:rsidRPr="00515C49" w:rsidTr="043A0D26">
        <w:tblPrEx>
          <w:tblCellMar>
            <w:top w:w="57" w:type="dxa"/>
            <w:left w:w="119" w:type="dxa"/>
            <w:right w:w="119" w:type="dxa"/>
          </w:tblCellMar>
        </w:tblPrEx>
        <w:tc>
          <w:tcPr>
            <w:tcW w:w="3827" w:type="dxa"/>
            <w:shd w:val="clear" w:color="auto" w:fill="E6E6E6"/>
          </w:tcPr>
          <w:p w:rsidR="007B7363" w:rsidRPr="00515C49" w:rsidRDefault="043A0D26" w:rsidP="00A64BFD">
            <w:pPr>
              <w:ind w:left="48"/>
              <w:rPr>
                <w:rFonts w:cs="Arial"/>
                <w:sz w:val="20"/>
              </w:rPr>
            </w:pPr>
            <w:r w:rsidRPr="043A0D26">
              <w:rPr>
                <w:rFonts w:eastAsia="Arial" w:cs="Arial"/>
                <w:sz w:val="20"/>
              </w:rPr>
              <w:t>Cloud Computing Security Considerations</w:t>
            </w:r>
          </w:p>
        </w:tc>
        <w:tc>
          <w:tcPr>
            <w:tcW w:w="5103" w:type="dxa"/>
            <w:shd w:val="clear" w:color="auto" w:fill="auto"/>
          </w:tcPr>
          <w:p w:rsidR="007B7363" w:rsidRPr="00E95786" w:rsidRDefault="043A0D26" w:rsidP="00A64BFD">
            <w:pPr>
              <w:ind w:left="48"/>
              <w:rPr>
                <w:rFonts w:cs="Arial"/>
                <w:sz w:val="20"/>
              </w:rPr>
            </w:pPr>
            <w:r w:rsidRPr="00E95786">
              <w:rPr>
                <w:rFonts w:eastAsia="Arial," w:cs="Arial"/>
                <w:sz w:val="20"/>
              </w:rPr>
              <w:t>Cyber Security Operations Centre - Australian Signals Directorate</w:t>
            </w:r>
          </w:p>
        </w:tc>
      </w:tr>
    </w:tbl>
    <w:p w:rsidR="007B7363" w:rsidRDefault="007B7363" w:rsidP="007B7363">
      <w:pPr>
        <w:pStyle w:val="Heading2"/>
      </w:pPr>
      <w:bookmarkStart w:id="23" w:name="_Toc453923081"/>
      <w:r>
        <w:t>Profiling available service offerings</w:t>
      </w:r>
      <w:bookmarkEnd w:id="23"/>
    </w:p>
    <w:p w:rsidR="007B7363" w:rsidRPr="00515C49" w:rsidRDefault="043A0D26" w:rsidP="006C3F39">
      <w:pPr>
        <w:pStyle w:val="BodyText1"/>
      </w:pPr>
      <w:r w:rsidRPr="043A0D26">
        <w:rPr>
          <w:rFonts w:eastAsia="Arial"/>
        </w:rPr>
        <w:t xml:space="preserve">Agencies may wish to procure </w:t>
      </w:r>
      <w:r w:rsidR="00E95786" w:rsidRPr="043A0D26">
        <w:rPr>
          <w:rFonts w:eastAsia="Arial"/>
        </w:rPr>
        <w:t xml:space="preserve">cloud access security brokerage </w:t>
      </w:r>
      <w:r w:rsidRPr="043A0D26">
        <w:rPr>
          <w:rFonts w:eastAsia="Arial"/>
        </w:rPr>
        <w:t>(CASB) services to assist in vetting cloud service providers.</w:t>
      </w:r>
      <w:r w:rsidR="002E48AB">
        <w:rPr>
          <w:rFonts w:eastAsia="Arial"/>
        </w:rPr>
        <w:t xml:space="preserve"> </w:t>
      </w:r>
      <w:r w:rsidRPr="043A0D26">
        <w:rPr>
          <w:rFonts w:eastAsia="Arial"/>
        </w:rPr>
        <w:t>For instance, services are available that process all published terms, conditions and provide security commitments to provide vendor/service report cards.</w:t>
      </w:r>
      <w:r w:rsidR="002E48AB">
        <w:rPr>
          <w:rFonts w:eastAsia="Arial"/>
        </w:rPr>
        <w:t xml:space="preserve"> </w:t>
      </w:r>
      <w:r w:rsidRPr="043A0D26">
        <w:rPr>
          <w:rFonts w:eastAsia="Arial"/>
        </w:rPr>
        <w:t>These report cards could be used to quickly rule out selected services and/or arrive at a list of services with suitable conditions.</w:t>
      </w:r>
    </w:p>
    <w:p w:rsidR="007B7363" w:rsidRPr="00515C49" w:rsidRDefault="043A0D26" w:rsidP="006C3F39">
      <w:pPr>
        <w:pStyle w:val="BodyText1"/>
      </w:pPr>
      <w:r w:rsidRPr="043A0D26">
        <w:rPr>
          <w:rFonts w:eastAsia="Arial"/>
        </w:rPr>
        <w:t>Where a service is low risk (information is not sensitive, low business impact) with alternative data recovery options, little additional assurance may be required beyond a report card. Changes to the use of a service, threat environment or service provider’s practices and hosting may necessitate future reassessment.</w:t>
      </w:r>
    </w:p>
    <w:p w:rsidR="007B7363" w:rsidRDefault="043A0D26" w:rsidP="006C3F39">
      <w:pPr>
        <w:pStyle w:val="BodyText1"/>
      </w:pPr>
      <w:r w:rsidRPr="043A0D26">
        <w:rPr>
          <w:rFonts w:eastAsia="Arial"/>
        </w:rPr>
        <w:t>Additional CASB services (e.g. policy enforcement, monitoring, integration) can be used to enable an organisation to gain visibility into cloud usage, access cloud services, review risk profiles, enforce security policies, and detect/respond to potential threats.</w:t>
      </w:r>
    </w:p>
    <w:p w:rsidR="007B7363" w:rsidRDefault="007B7363" w:rsidP="007B7363">
      <w:pPr>
        <w:pStyle w:val="Heading2"/>
      </w:pPr>
      <w:bookmarkStart w:id="24" w:name="_Toc453923082"/>
      <w:r>
        <w:t>Other shortcuts</w:t>
      </w:r>
      <w:bookmarkEnd w:id="24"/>
    </w:p>
    <w:p w:rsidR="007B7363" w:rsidRDefault="043A0D26" w:rsidP="006C3F39">
      <w:pPr>
        <w:pStyle w:val="BodyText1"/>
        <w:rPr>
          <w:rFonts w:cs="Arial"/>
        </w:rPr>
      </w:pPr>
      <w:r w:rsidRPr="043A0D26">
        <w:rPr>
          <w:rFonts w:eastAsia="Arial" w:cs="Arial"/>
        </w:rPr>
        <w:t>Other shortcuts may arise from the sharing of information between agencies (</w:t>
      </w:r>
      <w:hyperlink w:anchor="_Information_sharing" w:history="1">
        <w:r w:rsidRPr="00E95786">
          <w:rPr>
            <w:rStyle w:val="Hyperlink"/>
            <w:rFonts w:eastAsia="Arial"/>
          </w:rPr>
          <w:t>Section 7 Information Sharing</w:t>
        </w:r>
      </w:hyperlink>
      <w:r w:rsidRPr="043A0D26">
        <w:rPr>
          <w:rFonts w:eastAsia="Arial" w:cs="Arial"/>
        </w:rPr>
        <w:t>).</w:t>
      </w:r>
      <w:hyperlink w:anchor="_Information_sharing" w:history="1"/>
    </w:p>
    <w:p w:rsidR="007B7363" w:rsidRDefault="007B7363" w:rsidP="007B7363">
      <w:pPr>
        <w:pStyle w:val="Heading1"/>
      </w:pPr>
      <w:bookmarkStart w:id="25" w:name="_Checklist_and_business"/>
      <w:bookmarkStart w:id="26" w:name="_Toc453923083"/>
      <w:bookmarkEnd w:id="25"/>
      <w:r>
        <w:lastRenderedPageBreak/>
        <w:t>Checklist and business security considerations</w:t>
      </w:r>
      <w:bookmarkEnd w:id="26"/>
    </w:p>
    <w:p w:rsidR="007B7363" w:rsidRDefault="007B7363" w:rsidP="007B7363">
      <w:pPr>
        <w:pStyle w:val="Heading2"/>
      </w:pPr>
      <w:bookmarkStart w:id="27" w:name="_Toc453923084"/>
      <w:r>
        <w:t>Questions for use during sourcing and procurement</w:t>
      </w:r>
      <w:bookmarkEnd w:id="27"/>
    </w:p>
    <w:p w:rsidR="007B7363" w:rsidRPr="00515C49" w:rsidRDefault="043A0D26" w:rsidP="007B7363">
      <w:pPr>
        <w:pStyle w:val="BodyText1"/>
        <w:rPr>
          <w:rFonts w:cs="Arial"/>
        </w:rPr>
      </w:pPr>
      <w:r w:rsidRPr="043A0D26">
        <w:rPr>
          <w:rFonts w:eastAsia="Arial" w:cs="Arial"/>
        </w:rPr>
        <w:t xml:space="preserve">The questions below are to provide criteria and guidance for Queensland Government agencies to consider during sourcing and procurement of services from an </w:t>
      </w:r>
      <w:r w:rsidR="007C4D03">
        <w:rPr>
          <w:rFonts w:eastAsia="Arial" w:cs="Arial"/>
        </w:rPr>
        <w:t>as-a-service</w:t>
      </w:r>
      <w:r w:rsidRPr="043A0D26">
        <w:rPr>
          <w:rFonts w:eastAsia="Arial" w:cs="Arial"/>
        </w:rPr>
        <w:t xml:space="preserve"> provider.</w:t>
      </w:r>
    </w:p>
    <w:p w:rsidR="007B7363" w:rsidRPr="00515C49" w:rsidRDefault="043A0D26" w:rsidP="007B7363">
      <w:pPr>
        <w:pStyle w:val="BodyText1"/>
        <w:rPr>
          <w:rFonts w:cs="Arial"/>
        </w:rPr>
      </w:pPr>
      <w:r w:rsidRPr="043A0D26">
        <w:rPr>
          <w:rFonts w:eastAsia="Arial" w:cs="Arial"/>
        </w:rPr>
        <w:t xml:space="preserve">The questions have a security focus and the list is meant to be indicative rather than comprehensive i.e. there are many more considerations, both technical and business related, when making a decision to transition an ICT workload to an </w:t>
      </w:r>
      <w:r w:rsidR="007C4D03">
        <w:rPr>
          <w:rFonts w:eastAsia="Arial" w:cs="Arial"/>
        </w:rPr>
        <w:t>as-a-service</w:t>
      </w:r>
      <w:r w:rsidRPr="043A0D26">
        <w:rPr>
          <w:rFonts w:eastAsia="Arial" w:cs="Arial"/>
        </w:rPr>
        <w:t xml:space="preserve"> model or selecting a service provider.</w:t>
      </w:r>
      <w:r w:rsidR="002E48AB">
        <w:rPr>
          <w:rFonts w:eastAsia="Arial" w:cs="Arial"/>
        </w:rPr>
        <w:t xml:space="preserve"> </w:t>
      </w:r>
      <w:r w:rsidRPr="043A0D26">
        <w:rPr>
          <w:rFonts w:eastAsia="Arial" w:cs="Arial"/>
        </w:rPr>
        <w:t xml:space="preserve">There are many documents published to assist agencies in this process, some of which can be found </w:t>
      </w:r>
      <w:r w:rsidR="00E95786">
        <w:rPr>
          <w:rFonts w:eastAsia="Arial" w:cs="Arial"/>
        </w:rPr>
        <w:t xml:space="preserve">on the </w:t>
      </w:r>
      <w:hyperlink r:id="rId34" w:history="1">
        <w:r w:rsidR="00E95786" w:rsidRPr="00E95786">
          <w:rPr>
            <w:rStyle w:val="Hyperlink"/>
            <w:rFonts w:eastAsia="Arial" w:cs="Arial"/>
          </w:rPr>
          <w:t>Queensland Government Information Office website</w:t>
        </w:r>
      </w:hyperlink>
      <w:r w:rsidRPr="043A0D26">
        <w:rPr>
          <w:rFonts w:eastAsia="Arial" w:cs="Arial"/>
        </w:rPr>
        <w:t xml:space="preserve">. </w:t>
      </w:r>
    </w:p>
    <w:p w:rsidR="007B7363" w:rsidRPr="00515C49" w:rsidRDefault="043A0D26" w:rsidP="007B7363">
      <w:pPr>
        <w:pStyle w:val="BodyText1"/>
        <w:rPr>
          <w:rFonts w:cs="Arial"/>
        </w:rPr>
      </w:pPr>
      <w:r w:rsidRPr="043A0D26">
        <w:rPr>
          <w:rFonts w:eastAsia="Arial" w:cs="Arial"/>
        </w:rPr>
        <w:t>The responses from service providers will provide input to the final risk assessment for the service being considered.</w:t>
      </w:r>
      <w:r w:rsidR="002E48AB">
        <w:rPr>
          <w:rFonts w:eastAsia="Arial" w:cs="Arial"/>
        </w:rPr>
        <w:t xml:space="preserve"> </w:t>
      </w:r>
      <w:r w:rsidRPr="043A0D26">
        <w:rPr>
          <w:rFonts w:eastAsia="Arial" w:cs="Arial"/>
        </w:rPr>
        <w:t>Risk treatment controls can be applied to the final assessment which will guide the solution decision.</w:t>
      </w:r>
      <w:r w:rsidR="002E48AB">
        <w:rPr>
          <w:rFonts w:eastAsia="Arial" w:cs="Arial"/>
        </w:rPr>
        <w:t xml:space="preserve"> </w:t>
      </w:r>
      <w:r w:rsidRPr="043A0D26">
        <w:rPr>
          <w:rFonts w:eastAsia="Arial" w:cs="Arial"/>
        </w:rPr>
        <w:t xml:space="preserve">The Cloud Controls Matrix from the Cloud Security Alliance provides a controls framework which is cross referenced to industry accepted security standards and regulations which will assist agencies in developing internal controls that align with industry standards. </w:t>
      </w:r>
    </w:p>
    <w:p w:rsidR="007B7363" w:rsidRPr="00515C49" w:rsidRDefault="043A0D26" w:rsidP="007B7363">
      <w:pPr>
        <w:pStyle w:val="BodyText1"/>
        <w:rPr>
          <w:rFonts w:cs="Arial"/>
        </w:rPr>
      </w:pPr>
      <w:r w:rsidRPr="043A0D26">
        <w:rPr>
          <w:rFonts w:eastAsia="Arial" w:cs="Arial"/>
        </w:rPr>
        <w:t xml:space="preserve">The column title </w:t>
      </w:r>
      <w:r w:rsidR="009B67C1">
        <w:rPr>
          <w:rFonts w:eastAsia="Arial" w:cs="Arial"/>
        </w:rPr>
        <w:t>‘</w:t>
      </w:r>
      <w:r w:rsidRPr="043A0D26">
        <w:rPr>
          <w:rFonts w:eastAsia="Arial" w:cs="Arial"/>
        </w:rPr>
        <w:t>Sample responses and risk</w:t>
      </w:r>
      <w:r w:rsidR="009B67C1">
        <w:rPr>
          <w:rFonts w:eastAsia="Arial" w:cs="Arial"/>
        </w:rPr>
        <w:t>’</w:t>
      </w:r>
      <w:r w:rsidRPr="043A0D26">
        <w:rPr>
          <w:rFonts w:eastAsia="Arial" w:cs="Arial"/>
        </w:rPr>
        <w:t xml:space="preserve"> is to assist agencies in selecting the appropriate questions for the solution in question. It is not prescriptive.</w:t>
      </w:r>
      <w:r w:rsidR="002E48AB">
        <w:rPr>
          <w:rFonts w:eastAsia="Arial" w:cs="Arial"/>
        </w:rPr>
        <w:t xml:space="preserve"> </w:t>
      </w:r>
      <w:r w:rsidRPr="043A0D26">
        <w:rPr>
          <w:rFonts w:eastAsia="Arial" w:cs="Arial"/>
        </w:rPr>
        <w:t>By example, if a solution is of low risk and low dollar value and deals with only unclassified or public information it may not be important as to the location of the service provider’s data centres or the country where the data is resident.</w:t>
      </w:r>
      <w:r w:rsidR="002E48AB">
        <w:rPr>
          <w:rFonts w:eastAsia="Arial" w:cs="Arial"/>
        </w:rPr>
        <w:t xml:space="preserve"> </w:t>
      </w:r>
    </w:p>
    <w:p w:rsidR="007B7363" w:rsidRPr="00515C49" w:rsidRDefault="043A0D26" w:rsidP="007B7363">
      <w:pPr>
        <w:pStyle w:val="BodyText1"/>
        <w:rPr>
          <w:rFonts w:cs="Arial"/>
        </w:rPr>
      </w:pPr>
      <w:r w:rsidRPr="043A0D26">
        <w:rPr>
          <w:rFonts w:eastAsia="Arial" w:cs="Arial"/>
        </w:rPr>
        <w:t>Use the following questions to assess the security posture of potential service offerings whether sought through tender or via a direct purchase in the case of low dollar value offerings.</w:t>
      </w:r>
    </w:p>
    <w:p w:rsidR="007B7363" w:rsidRPr="00515C49" w:rsidRDefault="043A0D26" w:rsidP="007B7363">
      <w:pPr>
        <w:pStyle w:val="BodyText1"/>
        <w:rPr>
          <w:rFonts w:cs="Arial"/>
        </w:rPr>
      </w:pPr>
      <w:r w:rsidRPr="043A0D26">
        <w:rPr>
          <w:rFonts w:eastAsia="Arial" w:cs="Arial"/>
        </w:rPr>
        <w:t>Public information will typically have no confidentiality risk. While risk profile will generally increase in line with information security classification due to the associated impact (PROTECTED implies higher impact than IN-CONFIDENCE), this is not always the case. Attacker motivation and other factors can impact likelihood e.g. platform, solution design, denial of service susceptibility, political/protest motivators, service profile and the potential for malicious actors to achieve financial gain.</w:t>
      </w:r>
    </w:p>
    <w:p w:rsidR="007B7363" w:rsidRPr="00515C49" w:rsidRDefault="043A0D26" w:rsidP="007B7363">
      <w:pPr>
        <w:pStyle w:val="BodyText1"/>
        <w:rPr>
          <w:rFonts w:cs="Arial"/>
        </w:rPr>
      </w:pPr>
      <w:r w:rsidRPr="043A0D26">
        <w:rPr>
          <w:rFonts w:eastAsia="Arial" w:cs="Arial"/>
        </w:rPr>
        <w:t>The following checklist is designed to guide the user through a range of threshold questions to allow for the overall evaluation of various ICT services.</w:t>
      </w:r>
      <w:r w:rsidR="002E48AB">
        <w:rPr>
          <w:rFonts w:eastAsia="Arial" w:cs="Arial"/>
        </w:rPr>
        <w:t xml:space="preserve"> </w:t>
      </w:r>
      <w:r w:rsidRPr="043A0D26">
        <w:rPr>
          <w:rFonts w:eastAsia="Arial" w:cs="Arial"/>
        </w:rPr>
        <w:t>It is not a complete or authoritative set of questions, however it is based on a variety of Australian and international standards and industry best practice at the time of writing. It allows the user to understand when an activity may require access to a subject matter expert for further input and to continue with evaluation ensuring a high degree in confidence in the execution and due diligence for each activity.</w:t>
      </w:r>
      <w:r w:rsidR="002E48AB">
        <w:rPr>
          <w:rFonts w:eastAsia="Arial" w:cs="Arial"/>
        </w:rPr>
        <w:t xml:space="preserve"> </w:t>
      </w:r>
      <w:r w:rsidRPr="043A0D26">
        <w:rPr>
          <w:rFonts w:eastAsia="Arial" w:cs="Arial"/>
        </w:rPr>
        <w:t>Note that the checklist in this section is to be used as a guideline and not all questions/considerations will be applicable under all circumstances.</w:t>
      </w:r>
      <w:r w:rsidR="002E48AB">
        <w:rPr>
          <w:rFonts w:eastAsia="Arial" w:cs="Arial"/>
        </w:rPr>
        <w:t xml:space="preserve"> </w:t>
      </w:r>
      <w:r w:rsidRPr="043A0D26">
        <w:rPr>
          <w:rFonts w:eastAsia="Arial" w:cs="Arial"/>
        </w:rPr>
        <w:t>Where the guidance isn’t relevant it should be ignored.</w:t>
      </w:r>
      <w:r w:rsidR="002E48AB">
        <w:rPr>
          <w:rFonts w:eastAsia="Arial" w:cs="Arial"/>
        </w:rPr>
        <w:t xml:space="preserve"> </w:t>
      </w:r>
      <w:r w:rsidRPr="043A0D26">
        <w:rPr>
          <w:rFonts w:eastAsia="Arial" w:cs="Arial"/>
        </w:rPr>
        <w:t>Where it is applied and the risk is seen as moderate or above, additional guidance may be required to supplement and extend the list.</w:t>
      </w:r>
    </w:p>
    <w:p w:rsidR="007B7363" w:rsidRPr="00515C49" w:rsidRDefault="043A0D26" w:rsidP="007B7363">
      <w:pPr>
        <w:pStyle w:val="BodyText1"/>
        <w:rPr>
          <w:rFonts w:cs="Arial"/>
        </w:rPr>
      </w:pPr>
      <w:r w:rsidRPr="043A0D26">
        <w:rPr>
          <w:rFonts w:eastAsia="Arial" w:cs="Arial"/>
        </w:rPr>
        <w:t>The following guidance provides typical questions and anticipated answers/responses with colour coded consideration guidance.</w:t>
      </w:r>
      <w:r w:rsidR="002E48AB">
        <w:rPr>
          <w:rFonts w:eastAsia="Arial" w:cs="Arial"/>
        </w:rPr>
        <w:t xml:space="preserve"> </w:t>
      </w:r>
    </w:p>
    <w:p w:rsidR="007B7363" w:rsidRPr="00515C49" w:rsidRDefault="043A0D26" w:rsidP="006C3F39">
      <w:pPr>
        <w:pStyle w:val="BodyText1"/>
      </w:pPr>
      <w:r w:rsidRPr="043A0D26">
        <w:rPr>
          <w:rFonts w:eastAsia="Arial"/>
          <w:b/>
          <w:bCs/>
          <w:color w:val="FF0000"/>
        </w:rPr>
        <w:lastRenderedPageBreak/>
        <w:t>Red</w:t>
      </w:r>
      <w:r w:rsidRPr="043A0D26">
        <w:rPr>
          <w:rFonts w:eastAsia="Arial"/>
        </w:rPr>
        <w:t>.</w:t>
      </w:r>
      <w:r w:rsidR="002E48AB">
        <w:rPr>
          <w:rFonts w:eastAsia="Arial"/>
        </w:rPr>
        <w:t xml:space="preserve"> </w:t>
      </w:r>
      <w:r w:rsidRPr="043A0D26">
        <w:rPr>
          <w:rFonts w:eastAsia="Arial"/>
        </w:rPr>
        <w:t xml:space="preserve">This usually indicates a </w:t>
      </w:r>
      <w:r w:rsidR="00D214E2">
        <w:rPr>
          <w:rFonts w:eastAsia="Arial"/>
        </w:rPr>
        <w:t>‘</w:t>
      </w:r>
      <w:r w:rsidRPr="043A0D26">
        <w:rPr>
          <w:rFonts w:eastAsia="Arial"/>
        </w:rPr>
        <w:t>showstopper</w:t>
      </w:r>
      <w:r w:rsidR="00D214E2">
        <w:rPr>
          <w:rFonts w:eastAsia="Arial"/>
        </w:rPr>
        <w:t>’</w:t>
      </w:r>
      <w:r w:rsidRPr="043A0D26">
        <w:rPr>
          <w:rFonts w:eastAsia="Arial"/>
        </w:rPr>
        <w:t xml:space="preserve"> when the answer is poor, omitted or substantiation is omitted for an apparent strong response.</w:t>
      </w:r>
      <w:r w:rsidR="002E48AB">
        <w:rPr>
          <w:rFonts w:eastAsia="Arial"/>
        </w:rPr>
        <w:t xml:space="preserve"> </w:t>
      </w:r>
      <w:r w:rsidRPr="043A0D26">
        <w:rPr>
          <w:rFonts w:eastAsia="Arial"/>
        </w:rPr>
        <w:t>Cease all activity and seek out subject matter expert input or informed executive sign off to proceed.</w:t>
      </w:r>
      <w:r w:rsidR="002E48AB">
        <w:rPr>
          <w:rFonts w:eastAsia="Arial"/>
        </w:rPr>
        <w:t xml:space="preserve"> </w:t>
      </w:r>
    </w:p>
    <w:p w:rsidR="007B7363" w:rsidRPr="00515C49" w:rsidRDefault="043A0D26" w:rsidP="006C3F39">
      <w:pPr>
        <w:pStyle w:val="BodyText1"/>
      </w:pPr>
      <w:r w:rsidRPr="00D214E2">
        <w:rPr>
          <w:rFonts w:eastAsia="Arial,Arial Bold"/>
          <w:b/>
          <w:bCs/>
          <w:color w:val="FF9900"/>
        </w:rPr>
        <w:t>Amber</w:t>
      </w:r>
      <w:r w:rsidRPr="043A0D26">
        <w:rPr>
          <w:rFonts w:eastAsia="Arial"/>
        </w:rPr>
        <w:t>.</w:t>
      </w:r>
      <w:r w:rsidR="002E48AB">
        <w:rPr>
          <w:rFonts w:eastAsia="Arial"/>
        </w:rPr>
        <w:t xml:space="preserve"> </w:t>
      </w:r>
      <w:r w:rsidRPr="043A0D26">
        <w:rPr>
          <w:rFonts w:eastAsia="Arial"/>
        </w:rPr>
        <w:t>Generally, this would indicate that detailed expertise is probably required.</w:t>
      </w:r>
      <w:r w:rsidR="002E48AB">
        <w:rPr>
          <w:rFonts w:eastAsia="Arial"/>
        </w:rPr>
        <w:t xml:space="preserve"> </w:t>
      </w:r>
      <w:r w:rsidRPr="043A0D26">
        <w:rPr>
          <w:rFonts w:eastAsia="Arial"/>
        </w:rPr>
        <w:t>Proceed with caution and consider input from subject matter expert.</w:t>
      </w:r>
      <w:r w:rsidR="002E48AB">
        <w:rPr>
          <w:rFonts w:eastAsia="Arial"/>
        </w:rPr>
        <w:t xml:space="preserve"> </w:t>
      </w:r>
    </w:p>
    <w:p w:rsidR="007B7363" w:rsidRDefault="043A0D26" w:rsidP="006C3F39">
      <w:pPr>
        <w:pStyle w:val="BodyText1"/>
      </w:pPr>
      <w:r w:rsidRPr="043A0D26">
        <w:rPr>
          <w:rFonts w:eastAsia="Arial"/>
          <w:b/>
          <w:bCs/>
          <w:color w:val="00B050"/>
        </w:rPr>
        <w:t>Green</w:t>
      </w:r>
      <w:r w:rsidRPr="043A0D26">
        <w:rPr>
          <w:rFonts w:eastAsia="Arial"/>
        </w:rPr>
        <w:t>.</w:t>
      </w:r>
      <w:r w:rsidR="002E48AB">
        <w:rPr>
          <w:rFonts w:eastAsia="Arial"/>
        </w:rPr>
        <w:t xml:space="preserve"> </w:t>
      </w:r>
      <w:r w:rsidRPr="043A0D26">
        <w:rPr>
          <w:rFonts w:eastAsia="Arial"/>
        </w:rPr>
        <w:t>Proceed after providing business level documentation around the context of the decision.</w:t>
      </w:r>
      <w:r w:rsidR="002E48AB">
        <w:rPr>
          <w:rFonts w:eastAsia="Arial"/>
        </w:rPr>
        <w:t xml:space="preserve"> </w:t>
      </w:r>
      <w:r w:rsidRPr="043A0D26">
        <w:rPr>
          <w:rFonts w:eastAsia="Arial"/>
        </w:rPr>
        <w:t>This relates to any non-security/ICT technical specialised attributes that are being considered.</w:t>
      </w:r>
    </w:p>
    <w:p w:rsidR="007B7363" w:rsidRDefault="007B7363" w:rsidP="006C3F39">
      <w:pPr>
        <w:pStyle w:val="BodyText1"/>
        <w:sectPr w:rsidR="007B7363" w:rsidSect="00B5132B">
          <w:headerReference w:type="even" r:id="rId35"/>
          <w:pgSz w:w="11906" w:h="16838" w:code="9"/>
          <w:pgMar w:top="1134" w:right="1134" w:bottom="1134" w:left="1134" w:header="397" w:footer="284" w:gutter="0"/>
          <w:cols w:space="708"/>
          <w:docGrid w:linePitch="360"/>
        </w:sectPr>
      </w:pPr>
    </w:p>
    <w:p w:rsidR="00EF48A4" w:rsidRPr="00515C49" w:rsidRDefault="00EF48A4" w:rsidP="00EF48A4">
      <w:pPr>
        <w:rPr>
          <w:rFonts w:cs="Arial"/>
        </w:rPr>
      </w:pPr>
    </w:p>
    <w:tbl>
      <w:tblPr>
        <w:tblW w:w="21790" w:type="dxa"/>
        <w:tblLayout w:type="fixed"/>
        <w:tblLook w:val="04A0" w:firstRow="1" w:lastRow="0" w:firstColumn="1" w:lastColumn="0" w:noHBand="0" w:noVBand="1"/>
      </w:tblPr>
      <w:tblGrid>
        <w:gridCol w:w="2793"/>
        <w:gridCol w:w="7159"/>
        <w:gridCol w:w="1339"/>
        <w:gridCol w:w="7732"/>
        <w:gridCol w:w="1327"/>
        <w:gridCol w:w="1440"/>
      </w:tblGrid>
      <w:tr w:rsidR="00EF48A4" w:rsidRPr="00515C49" w:rsidTr="00CF2664">
        <w:trPr>
          <w:trHeight w:val="240"/>
          <w:tblHeader/>
        </w:trPr>
        <w:tc>
          <w:tcPr>
            <w:tcW w:w="2793" w:type="dxa"/>
            <w:tcBorders>
              <w:top w:val="single" w:sz="8" w:space="0" w:color="auto"/>
              <w:left w:val="single" w:sz="8" w:space="0" w:color="auto"/>
              <w:bottom w:val="single" w:sz="8" w:space="0" w:color="auto"/>
              <w:right w:val="single" w:sz="8" w:space="0" w:color="auto"/>
            </w:tcBorders>
            <w:shd w:val="clear" w:color="auto" w:fill="0070C0"/>
            <w:hideMark/>
          </w:tcPr>
          <w:p w:rsidR="00EF48A4" w:rsidRPr="00515C49" w:rsidRDefault="043A0D26" w:rsidP="00EF48A4">
            <w:pPr>
              <w:spacing w:before="0" w:line="240" w:lineRule="auto"/>
              <w:ind w:left="0"/>
              <w:rPr>
                <w:rFonts w:cs="Arial"/>
                <w:b/>
                <w:bCs/>
                <w:color w:val="FFFFFF"/>
                <w:sz w:val="16"/>
                <w:szCs w:val="16"/>
              </w:rPr>
            </w:pPr>
            <w:r w:rsidRPr="043A0D26">
              <w:rPr>
                <w:rFonts w:eastAsia="Arial" w:cs="Arial"/>
                <w:b/>
                <w:bCs/>
                <w:color w:val="FFFFFF" w:themeColor="background1"/>
                <w:sz w:val="16"/>
                <w:szCs w:val="16"/>
              </w:rPr>
              <w:t>Question</w:t>
            </w:r>
          </w:p>
        </w:tc>
        <w:tc>
          <w:tcPr>
            <w:tcW w:w="7159" w:type="dxa"/>
            <w:tcBorders>
              <w:top w:val="single" w:sz="8" w:space="0" w:color="auto"/>
              <w:left w:val="nil"/>
              <w:bottom w:val="single" w:sz="8" w:space="0" w:color="auto"/>
              <w:right w:val="single" w:sz="8" w:space="0" w:color="auto"/>
            </w:tcBorders>
            <w:shd w:val="clear" w:color="auto" w:fill="0070C0"/>
            <w:hideMark/>
          </w:tcPr>
          <w:p w:rsidR="00EF48A4" w:rsidRPr="00515C49" w:rsidRDefault="043A0D26" w:rsidP="00EF48A4">
            <w:pPr>
              <w:spacing w:before="0" w:line="240" w:lineRule="auto"/>
              <w:ind w:left="0"/>
              <w:rPr>
                <w:rFonts w:cs="Arial"/>
                <w:b/>
                <w:bCs/>
                <w:color w:val="FFFFFF"/>
                <w:sz w:val="16"/>
                <w:szCs w:val="16"/>
              </w:rPr>
            </w:pPr>
            <w:r w:rsidRPr="043A0D26">
              <w:rPr>
                <w:rFonts w:eastAsia="Arial" w:cs="Arial"/>
                <w:b/>
                <w:bCs/>
                <w:color w:val="FFFFFF" w:themeColor="background1"/>
                <w:sz w:val="16"/>
                <w:szCs w:val="16"/>
              </w:rPr>
              <w:t>Guidance</w:t>
            </w:r>
          </w:p>
        </w:tc>
        <w:tc>
          <w:tcPr>
            <w:tcW w:w="1339" w:type="dxa"/>
            <w:tcBorders>
              <w:top w:val="single" w:sz="8" w:space="0" w:color="auto"/>
              <w:left w:val="nil"/>
              <w:bottom w:val="single" w:sz="8" w:space="0" w:color="auto"/>
              <w:right w:val="single" w:sz="8" w:space="0" w:color="auto"/>
            </w:tcBorders>
            <w:shd w:val="clear" w:color="auto" w:fill="0070C0"/>
            <w:hideMark/>
          </w:tcPr>
          <w:p w:rsidR="00EF48A4" w:rsidRPr="00515C49" w:rsidRDefault="00EF48A4" w:rsidP="00EF48A4">
            <w:pPr>
              <w:spacing w:before="0" w:line="240" w:lineRule="auto"/>
              <w:ind w:left="0"/>
              <w:jc w:val="center"/>
              <w:rPr>
                <w:rFonts w:cs="Arial"/>
                <w:b/>
                <w:bCs/>
                <w:color w:val="FFFFFF"/>
                <w:sz w:val="16"/>
                <w:szCs w:val="16"/>
              </w:rPr>
            </w:pPr>
          </w:p>
        </w:tc>
        <w:tc>
          <w:tcPr>
            <w:tcW w:w="7732" w:type="dxa"/>
            <w:tcBorders>
              <w:top w:val="single" w:sz="8" w:space="0" w:color="auto"/>
              <w:left w:val="nil"/>
              <w:bottom w:val="single" w:sz="8" w:space="0" w:color="auto"/>
              <w:right w:val="single" w:sz="8" w:space="0" w:color="auto"/>
            </w:tcBorders>
            <w:shd w:val="clear" w:color="auto" w:fill="0070C0"/>
            <w:hideMark/>
          </w:tcPr>
          <w:p w:rsidR="00EF48A4" w:rsidRPr="00515C49" w:rsidRDefault="043A0D26" w:rsidP="00EF48A4">
            <w:pPr>
              <w:spacing w:before="0" w:line="240" w:lineRule="auto"/>
              <w:ind w:left="0"/>
              <w:rPr>
                <w:rFonts w:cs="Arial"/>
                <w:b/>
                <w:bCs/>
                <w:color w:val="FFFFFF"/>
                <w:sz w:val="16"/>
                <w:szCs w:val="16"/>
              </w:rPr>
            </w:pPr>
            <w:r w:rsidRPr="043A0D26">
              <w:rPr>
                <w:rFonts w:eastAsia="Arial" w:cs="Arial"/>
                <w:b/>
                <w:bCs/>
                <w:color w:val="FFFFFF" w:themeColor="background1"/>
                <w:sz w:val="16"/>
                <w:szCs w:val="16"/>
              </w:rPr>
              <w:t>Sample responses and risk</w:t>
            </w:r>
          </w:p>
        </w:tc>
        <w:tc>
          <w:tcPr>
            <w:tcW w:w="1327" w:type="dxa"/>
            <w:tcBorders>
              <w:top w:val="single" w:sz="8" w:space="0" w:color="auto"/>
              <w:left w:val="nil"/>
              <w:bottom w:val="single" w:sz="8" w:space="0" w:color="auto"/>
              <w:right w:val="nil"/>
            </w:tcBorders>
            <w:shd w:val="clear" w:color="auto" w:fill="0070C0"/>
          </w:tcPr>
          <w:p w:rsidR="00EF48A4" w:rsidRPr="00515C49" w:rsidRDefault="043A0D26" w:rsidP="00EF48A4">
            <w:pPr>
              <w:spacing w:before="0" w:line="240" w:lineRule="auto"/>
              <w:ind w:left="0"/>
              <w:rPr>
                <w:rFonts w:eastAsia="Calibri" w:cs="Arial"/>
                <w:b/>
                <w:color w:val="FFFFFF" w:themeColor="background1"/>
                <w:sz w:val="16"/>
                <w:szCs w:val="16"/>
              </w:rPr>
            </w:pPr>
            <w:r w:rsidRPr="043A0D26">
              <w:rPr>
                <w:rFonts w:ascii="Arial,Calibri" w:eastAsia="Arial,Calibri" w:hAnsi="Arial,Calibri" w:cs="Arial,Calibri"/>
                <w:b/>
                <w:bCs/>
                <w:color w:val="FFFFFF" w:themeColor="background1"/>
                <w:sz w:val="16"/>
                <w:szCs w:val="16"/>
              </w:rPr>
              <w:t>Level of risk</w:t>
            </w:r>
          </w:p>
        </w:tc>
        <w:tc>
          <w:tcPr>
            <w:tcW w:w="1440" w:type="dxa"/>
            <w:tcBorders>
              <w:top w:val="single" w:sz="8" w:space="0" w:color="auto"/>
              <w:left w:val="nil"/>
              <w:bottom w:val="single" w:sz="8" w:space="0" w:color="auto"/>
              <w:right w:val="single" w:sz="8" w:space="0" w:color="auto"/>
            </w:tcBorders>
            <w:shd w:val="clear" w:color="auto" w:fill="0070C0"/>
            <w:noWrap/>
            <w:hideMark/>
          </w:tcPr>
          <w:p w:rsidR="00EF48A4" w:rsidRPr="00515C49" w:rsidRDefault="043A0D26" w:rsidP="00EF48A4">
            <w:pPr>
              <w:spacing w:before="0" w:line="240" w:lineRule="auto"/>
              <w:ind w:left="0"/>
              <w:rPr>
                <w:rFonts w:cs="Arial"/>
                <w:b/>
                <w:bCs/>
                <w:color w:val="FFFFFF"/>
                <w:sz w:val="16"/>
                <w:szCs w:val="16"/>
              </w:rPr>
            </w:pPr>
            <w:r w:rsidRPr="043A0D26">
              <w:rPr>
                <w:rFonts w:ascii="Arial,Calibri" w:eastAsia="Arial,Calibri" w:hAnsi="Arial,Calibri" w:cs="Arial,Calibri"/>
                <w:b/>
                <w:bCs/>
                <w:color w:val="FFFFFF" w:themeColor="background1"/>
                <w:sz w:val="16"/>
                <w:szCs w:val="16"/>
              </w:rPr>
              <w:t>CSA_CSM Control ID</w:t>
            </w:r>
          </w:p>
        </w:tc>
      </w:tr>
      <w:tr w:rsidR="00EF48A4" w:rsidRPr="00515C49" w:rsidTr="043A0D26">
        <w:trPr>
          <w:trHeight w:val="340"/>
        </w:trPr>
        <w:tc>
          <w:tcPr>
            <w:tcW w:w="21790" w:type="dxa"/>
            <w:gridSpan w:val="6"/>
            <w:tcBorders>
              <w:top w:val="single" w:sz="8" w:space="0" w:color="auto"/>
              <w:left w:val="single" w:sz="8" w:space="0" w:color="auto"/>
              <w:bottom w:val="single" w:sz="8" w:space="0" w:color="auto"/>
              <w:right w:val="single" w:sz="8" w:space="0" w:color="auto"/>
            </w:tcBorders>
            <w:shd w:val="clear" w:color="auto" w:fill="0070C0"/>
            <w:hideMark/>
          </w:tcPr>
          <w:p w:rsidR="00EF48A4" w:rsidRPr="00515C49" w:rsidRDefault="043A0D26" w:rsidP="00EF48A4">
            <w:pPr>
              <w:spacing w:before="0" w:line="240" w:lineRule="auto"/>
              <w:ind w:left="0"/>
              <w:rPr>
                <w:rFonts w:cs="Arial"/>
                <w:b/>
                <w:bCs/>
                <w:color w:val="FFFFFF"/>
                <w:sz w:val="16"/>
                <w:szCs w:val="16"/>
              </w:rPr>
            </w:pPr>
            <w:r w:rsidRPr="043A0D26">
              <w:rPr>
                <w:rFonts w:eastAsia="Arial" w:cs="Arial"/>
                <w:b/>
                <w:bCs/>
                <w:color w:val="FFFFFF" w:themeColor="background1"/>
                <w:sz w:val="16"/>
                <w:szCs w:val="16"/>
              </w:rPr>
              <w:t>Section1: Data sovereignty and hosting services</w:t>
            </w:r>
          </w:p>
          <w:p w:rsidR="00EF48A4" w:rsidRPr="00515C49" w:rsidRDefault="00EF48A4" w:rsidP="00EF48A4">
            <w:pPr>
              <w:spacing w:before="0" w:line="240" w:lineRule="auto"/>
              <w:ind w:left="0"/>
              <w:rPr>
                <w:rFonts w:cs="Arial"/>
                <w:color w:val="FFFFFF"/>
                <w:sz w:val="16"/>
                <w:szCs w:val="16"/>
              </w:rPr>
            </w:pPr>
          </w:p>
        </w:tc>
      </w:tr>
      <w:tr w:rsidR="0060148A" w:rsidRPr="00515C49" w:rsidTr="043A0D26">
        <w:trPr>
          <w:trHeight w:val="660"/>
        </w:trPr>
        <w:tc>
          <w:tcPr>
            <w:tcW w:w="2793" w:type="dxa"/>
            <w:vMerge w:val="restart"/>
            <w:tcBorders>
              <w:top w:val="nil"/>
              <w:left w:val="single" w:sz="8" w:space="0" w:color="auto"/>
              <w:bottom w:val="nil"/>
              <w:right w:val="single" w:sz="4" w:space="0" w:color="auto"/>
            </w:tcBorders>
            <w:shd w:val="clear" w:color="auto" w:fill="auto"/>
            <w:hideMark/>
          </w:tcPr>
          <w:p w:rsidR="0060148A" w:rsidRPr="00515C49" w:rsidRDefault="043A0D26" w:rsidP="0060148A">
            <w:pPr>
              <w:spacing w:before="0" w:line="240" w:lineRule="auto"/>
              <w:ind w:left="0"/>
              <w:rPr>
                <w:rFonts w:cs="Arial"/>
                <w:color w:val="000000"/>
                <w:sz w:val="16"/>
                <w:szCs w:val="16"/>
              </w:rPr>
            </w:pPr>
            <w:r w:rsidRPr="043A0D26">
              <w:rPr>
                <w:rFonts w:eastAsia="Arial" w:cs="Arial"/>
                <w:color w:val="000000" w:themeColor="text1"/>
                <w:sz w:val="16"/>
                <w:szCs w:val="16"/>
              </w:rPr>
              <w:t>Are all data centres in Australia?</w:t>
            </w:r>
          </w:p>
        </w:tc>
        <w:tc>
          <w:tcPr>
            <w:tcW w:w="7159" w:type="dxa"/>
            <w:vMerge w:val="restart"/>
            <w:tcBorders>
              <w:top w:val="single" w:sz="4" w:space="0" w:color="auto"/>
              <w:left w:val="single" w:sz="4" w:space="0" w:color="auto"/>
              <w:right w:val="single" w:sz="4" w:space="0" w:color="auto"/>
            </w:tcBorders>
            <w:shd w:val="clear" w:color="auto" w:fill="auto"/>
            <w:vAlign w:val="center"/>
            <w:hideMark/>
          </w:tcPr>
          <w:p w:rsidR="0060148A" w:rsidRPr="00515C49" w:rsidRDefault="043A0D26" w:rsidP="0060148A">
            <w:pPr>
              <w:spacing w:before="0" w:line="240" w:lineRule="auto"/>
              <w:ind w:left="0"/>
              <w:rPr>
                <w:rFonts w:eastAsia="Arial" w:cs="Arial"/>
                <w:color w:val="000000"/>
                <w:sz w:val="16"/>
                <w:szCs w:val="16"/>
              </w:rPr>
            </w:pPr>
            <w:r w:rsidRPr="043A0D26">
              <w:rPr>
                <w:rFonts w:eastAsia="Arial" w:cs="Arial"/>
                <w:color w:val="000000" w:themeColor="text1"/>
                <w:sz w:val="16"/>
                <w:szCs w:val="16"/>
              </w:rPr>
              <w:t>Data classification, domain specific legislation or other sensitives may limit or render unsuitable offshore data transfer, storage and analysis services.</w:t>
            </w:r>
            <w:r w:rsidR="002E48AB">
              <w:rPr>
                <w:rFonts w:eastAsia="Arial" w:cs="Arial"/>
                <w:color w:val="000000" w:themeColor="text1"/>
                <w:sz w:val="16"/>
                <w:szCs w:val="16"/>
              </w:rPr>
              <w:t xml:space="preserve"> </w:t>
            </w:r>
          </w:p>
          <w:p w:rsidR="0060148A" w:rsidRPr="00515C49" w:rsidRDefault="0060148A" w:rsidP="0060148A">
            <w:pPr>
              <w:spacing w:before="0" w:line="240" w:lineRule="auto"/>
              <w:ind w:left="0"/>
              <w:rPr>
                <w:rFonts w:eastAsia="Arial" w:cs="Arial"/>
                <w:color w:val="000000"/>
                <w:sz w:val="16"/>
                <w:szCs w:val="16"/>
              </w:rPr>
            </w:pPr>
          </w:p>
          <w:p w:rsidR="0060148A" w:rsidRPr="00515C49" w:rsidRDefault="043A0D26" w:rsidP="0060148A">
            <w:pPr>
              <w:spacing w:before="0" w:line="240" w:lineRule="auto"/>
              <w:ind w:left="0"/>
              <w:rPr>
                <w:rFonts w:eastAsia="Arial" w:cs="Arial"/>
                <w:color w:val="000000"/>
                <w:sz w:val="16"/>
                <w:szCs w:val="16"/>
              </w:rPr>
            </w:pPr>
            <w:r w:rsidRPr="043A0D26">
              <w:rPr>
                <w:rFonts w:eastAsia="Arial" w:cs="Arial"/>
                <w:color w:val="000000" w:themeColor="text1"/>
                <w:sz w:val="16"/>
                <w:szCs w:val="16"/>
              </w:rPr>
              <w:t xml:space="preserve">The </w:t>
            </w:r>
            <w:hyperlink r:id="rId36">
              <w:r w:rsidRPr="043A0D26">
                <w:rPr>
                  <w:rStyle w:val="Hyperlink"/>
                  <w:rFonts w:eastAsia="Arial" w:cs="Arial"/>
                  <w:sz w:val="16"/>
                  <w:szCs w:val="16"/>
                </w:rPr>
                <w:t xml:space="preserve">ICT </w:t>
              </w:r>
              <w:r w:rsidR="007C4D03">
                <w:rPr>
                  <w:rStyle w:val="Hyperlink"/>
                  <w:rFonts w:eastAsia="Arial" w:cs="Arial"/>
                  <w:sz w:val="16"/>
                  <w:szCs w:val="16"/>
                </w:rPr>
                <w:t>as-a-service</w:t>
              </w:r>
              <w:r w:rsidRPr="043A0D26">
                <w:rPr>
                  <w:rStyle w:val="Hyperlink"/>
                  <w:rFonts w:eastAsia="Arial" w:cs="Arial"/>
                  <w:sz w:val="16"/>
                  <w:szCs w:val="16"/>
                </w:rPr>
                <w:t xml:space="preserve"> offshore data storage and processing policy</w:t>
              </w:r>
            </w:hyperlink>
            <w:r w:rsidRPr="043A0D26">
              <w:rPr>
                <w:rFonts w:eastAsia="Arial" w:cs="Arial"/>
                <w:color w:val="000000" w:themeColor="text1"/>
                <w:sz w:val="16"/>
                <w:szCs w:val="16"/>
              </w:rPr>
              <w:t xml:space="preserve"> includes the following policy requirements:</w:t>
            </w:r>
            <w:r w:rsidR="0060148A">
              <w:br/>
            </w:r>
            <w:r w:rsidRPr="043A0D26">
              <w:rPr>
                <w:rFonts w:eastAsia="Arial" w:cs="Arial"/>
                <w:color w:val="000000" w:themeColor="text1"/>
                <w:sz w:val="16"/>
                <w:szCs w:val="16"/>
              </w:rPr>
              <w:t>• PR1: Offshoring data must be subject to an information security classification assessment</w:t>
            </w:r>
          </w:p>
          <w:p w:rsidR="0060148A" w:rsidRPr="00515C49" w:rsidRDefault="043A0D26" w:rsidP="0060148A">
            <w:pPr>
              <w:spacing w:before="0" w:line="240" w:lineRule="auto"/>
              <w:ind w:left="0"/>
              <w:rPr>
                <w:rFonts w:eastAsia="Arial" w:cs="Arial"/>
                <w:color w:val="000000"/>
                <w:sz w:val="16"/>
                <w:szCs w:val="16"/>
              </w:rPr>
            </w:pPr>
            <w:r w:rsidRPr="043A0D26">
              <w:rPr>
                <w:rFonts w:eastAsia="Arial" w:cs="Arial"/>
                <w:color w:val="000000" w:themeColor="text1"/>
                <w:sz w:val="16"/>
                <w:szCs w:val="16"/>
              </w:rPr>
              <w:t>- data classified above PROTECTED must not be stored offshore</w:t>
            </w:r>
            <w:r w:rsidR="0060148A">
              <w:br/>
            </w:r>
            <w:r w:rsidRPr="043A0D26">
              <w:rPr>
                <w:rFonts w:eastAsia="Arial" w:cs="Arial"/>
                <w:color w:val="000000" w:themeColor="text1"/>
                <w:sz w:val="16"/>
                <w:szCs w:val="16"/>
              </w:rPr>
              <w:t>• PR2: A risk assessment must be conducted prior to offshoring information</w:t>
            </w:r>
          </w:p>
          <w:p w:rsidR="0060148A" w:rsidRPr="00515C49" w:rsidRDefault="043A0D26" w:rsidP="0060148A">
            <w:pPr>
              <w:spacing w:before="0" w:line="240" w:lineRule="auto"/>
              <w:ind w:left="0"/>
              <w:rPr>
                <w:rFonts w:eastAsia="Arial" w:cs="Arial"/>
                <w:color w:val="000000"/>
                <w:sz w:val="16"/>
                <w:szCs w:val="16"/>
              </w:rPr>
            </w:pPr>
            <w:r w:rsidRPr="043A0D26">
              <w:rPr>
                <w:rFonts w:eastAsia="Arial" w:cs="Arial"/>
                <w:color w:val="000000" w:themeColor="text1"/>
                <w:sz w:val="16"/>
                <w:szCs w:val="16"/>
              </w:rPr>
              <w:t>- a range of specific issues that must be included in the risk assessment are identified</w:t>
            </w:r>
            <w:r w:rsidR="0060148A">
              <w:br/>
            </w:r>
            <w:r w:rsidRPr="043A0D26">
              <w:rPr>
                <w:rFonts w:eastAsia="Arial" w:cs="Arial"/>
                <w:color w:val="000000" w:themeColor="text1"/>
                <w:sz w:val="16"/>
                <w:szCs w:val="16"/>
              </w:rPr>
              <w:t>• PR3: Offshored data must be adequately protected through contractual arrangements</w:t>
            </w:r>
          </w:p>
          <w:p w:rsidR="0060148A" w:rsidRPr="00515C49" w:rsidRDefault="043A0D26" w:rsidP="0060148A">
            <w:pPr>
              <w:spacing w:before="0" w:line="240" w:lineRule="auto"/>
              <w:ind w:left="0"/>
              <w:rPr>
                <w:rFonts w:eastAsia="Arial" w:cs="Arial"/>
                <w:color w:val="000000"/>
                <w:sz w:val="16"/>
                <w:szCs w:val="16"/>
              </w:rPr>
            </w:pPr>
            <w:r w:rsidRPr="043A0D26">
              <w:rPr>
                <w:rFonts w:eastAsia="Arial" w:cs="Arial"/>
                <w:color w:val="000000" w:themeColor="text1"/>
                <w:sz w:val="16"/>
                <w:szCs w:val="16"/>
              </w:rPr>
              <w:t>- a range of key areas that must be addressed and contract templates are identified</w:t>
            </w:r>
            <w:r w:rsidR="0060148A">
              <w:br/>
            </w:r>
            <w:r w:rsidRPr="043A0D26">
              <w:rPr>
                <w:rFonts w:eastAsia="Arial" w:cs="Arial"/>
                <w:color w:val="000000" w:themeColor="text1"/>
                <w:sz w:val="16"/>
                <w:szCs w:val="16"/>
              </w:rPr>
              <w:t xml:space="preserve">• PR4: Decisions to use offshore ICT </w:t>
            </w:r>
            <w:r w:rsidR="007C4D03">
              <w:rPr>
                <w:rFonts w:eastAsia="Arial" w:cs="Arial"/>
                <w:color w:val="000000" w:themeColor="text1"/>
                <w:sz w:val="16"/>
                <w:szCs w:val="16"/>
              </w:rPr>
              <w:t>as-a-service</w:t>
            </w:r>
            <w:r w:rsidRPr="043A0D26">
              <w:rPr>
                <w:rFonts w:eastAsia="Arial" w:cs="Arial"/>
                <w:color w:val="000000" w:themeColor="text1"/>
                <w:sz w:val="16"/>
                <w:szCs w:val="16"/>
              </w:rPr>
              <w:t xml:space="preserve"> must be approved by the appropriate authority</w:t>
            </w:r>
          </w:p>
          <w:p w:rsidR="0060148A" w:rsidRPr="00515C49" w:rsidRDefault="043A0D26" w:rsidP="0060148A">
            <w:pPr>
              <w:spacing w:before="0" w:line="240" w:lineRule="auto"/>
              <w:ind w:left="0"/>
              <w:rPr>
                <w:rFonts w:eastAsia="Arial" w:cs="Arial"/>
                <w:color w:val="000000"/>
                <w:sz w:val="16"/>
                <w:szCs w:val="16"/>
              </w:rPr>
            </w:pPr>
            <w:r w:rsidRPr="043A0D26">
              <w:rPr>
                <w:rFonts w:eastAsia="Arial" w:cs="Arial"/>
                <w:color w:val="000000" w:themeColor="text1"/>
                <w:sz w:val="16"/>
                <w:szCs w:val="16"/>
              </w:rPr>
              <w:t>- PROTECTED requires Departmental CEO and Whole of government approval</w:t>
            </w:r>
          </w:p>
          <w:p w:rsidR="0060148A" w:rsidRPr="00515C49" w:rsidRDefault="043A0D26" w:rsidP="0060148A">
            <w:pPr>
              <w:spacing w:before="0" w:line="240" w:lineRule="auto"/>
              <w:ind w:left="0"/>
              <w:rPr>
                <w:rFonts w:eastAsia="Arial" w:cs="Arial"/>
                <w:color w:val="000000"/>
                <w:sz w:val="16"/>
                <w:szCs w:val="16"/>
              </w:rPr>
            </w:pPr>
            <w:r w:rsidRPr="043A0D26">
              <w:rPr>
                <w:rFonts w:eastAsia="Arial" w:cs="Arial"/>
                <w:color w:val="000000" w:themeColor="text1"/>
                <w:sz w:val="16"/>
                <w:szCs w:val="16"/>
              </w:rPr>
              <w:t>- below PROTECTED requires Departmental CEO or nominated delegate</w:t>
            </w:r>
          </w:p>
        </w:tc>
        <w:sdt>
          <w:sdtPr>
            <w:rPr>
              <w:rStyle w:val="Style9"/>
              <w:color w:val="auto"/>
              <w:sz w:val="96"/>
              <w:szCs w:val="96"/>
            </w:rPr>
            <w:id w:val="-217822863"/>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60148A" w:rsidRDefault="0060148A" w:rsidP="0060148A">
                <w:pPr>
                  <w:ind w:left="0"/>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48A" w:rsidRPr="00515C49" w:rsidRDefault="043A0D26" w:rsidP="0060148A">
            <w:pPr>
              <w:spacing w:before="0" w:line="240" w:lineRule="auto"/>
              <w:ind w:left="0"/>
              <w:rPr>
                <w:rFonts w:cs="Arial"/>
                <w:sz w:val="16"/>
                <w:szCs w:val="16"/>
              </w:rPr>
            </w:pPr>
            <w:r w:rsidRPr="043A0D26">
              <w:rPr>
                <w:rFonts w:eastAsia="Arial" w:cs="Arial"/>
                <w:sz w:val="16"/>
                <w:szCs w:val="16"/>
              </w:rPr>
              <w:t>Yes.</w:t>
            </w:r>
            <w:r w:rsidR="002E48AB">
              <w:rPr>
                <w:rFonts w:eastAsia="Arial" w:cs="Arial"/>
                <w:sz w:val="16"/>
                <w:szCs w:val="16"/>
              </w:rPr>
              <w:t xml:space="preserve"> </w:t>
            </w:r>
            <w:r w:rsidRPr="043A0D26">
              <w:rPr>
                <w:rFonts w:eastAsia="Arial" w:cs="Arial"/>
                <w:sz w:val="16"/>
                <w:szCs w:val="16"/>
              </w:rPr>
              <w:t>All data centres and service operators are located within Australian sovereign territories</w:t>
            </w:r>
          </w:p>
        </w:tc>
        <w:tc>
          <w:tcPr>
            <w:tcW w:w="1327" w:type="dxa"/>
            <w:tcBorders>
              <w:top w:val="nil"/>
              <w:left w:val="single" w:sz="4" w:space="0" w:color="auto"/>
              <w:right w:val="single" w:sz="4" w:space="0" w:color="auto"/>
            </w:tcBorders>
            <w:shd w:val="clear" w:color="auto" w:fill="00B050"/>
          </w:tcPr>
          <w:p w:rsidR="0060148A" w:rsidRPr="00515C49" w:rsidRDefault="043A0D26" w:rsidP="0060148A">
            <w:pPr>
              <w:spacing w:before="0" w:line="240" w:lineRule="auto"/>
              <w:ind w:left="0"/>
              <w:rPr>
                <w:rFonts w:eastAsia="Arial" w:cs="Arial"/>
                <w:color w:val="FFFFFF" w:themeColor="background1"/>
                <w:sz w:val="16"/>
                <w:szCs w:val="16"/>
              </w:rPr>
            </w:pPr>
            <w:r w:rsidRPr="043A0D26">
              <w:rPr>
                <w:rFonts w:eastAsia="Arial" w:cs="Arial"/>
                <w:color w:val="FFFFFF" w:themeColor="background1"/>
                <w:sz w:val="16"/>
                <w:szCs w:val="16"/>
              </w:rPr>
              <w:t>Low</w:t>
            </w:r>
          </w:p>
        </w:tc>
        <w:tc>
          <w:tcPr>
            <w:tcW w:w="1440" w:type="dxa"/>
            <w:tcBorders>
              <w:top w:val="nil"/>
              <w:left w:val="single" w:sz="4" w:space="0" w:color="auto"/>
              <w:right w:val="single" w:sz="8" w:space="0" w:color="auto"/>
            </w:tcBorders>
            <w:shd w:val="clear" w:color="auto" w:fill="auto"/>
            <w:hideMark/>
          </w:tcPr>
          <w:p w:rsidR="0060148A" w:rsidRPr="00515C49" w:rsidRDefault="043A0D26" w:rsidP="0060148A">
            <w:pPr>
              <w:spacing w:before="0" w:line="240" w:lineRule="auto"/>
              <w:ind w:left="0"/>
              <w:rPr>
                <w:rFonts w:cs="Arial"/>
                <w:color w:val="000000"/>
                <w:sz w:val="16"/>
                <w:szCs w:val="16"/>
              </w:rPr>
            </w:pPr>
            <w:r w:rsidRPr="043A0D26">
              <w:rPr>
                <w:rFonts w:eastAsia="Arial" w:cs="Arial"/>
                <w:color w:val="000000" w:themeColor="text1"/>
                <w:sz w:val="16"/>
                <w:szCs w:val="16"/>
              </w:rPr>
              <w:t>DSI-02</w:t>
            </w:r>
          </w:p>
        </w:tc>
      </w:tr>
      <w:tr w:rsidR="0060148A" w:rsidRPr="00515C49" w:rsidTr="043A0D26">
        <w:trPr>
          <w:trHeight w:val="240"/>
        </w:trPr>
        <w:tc>
          <w:tcPr>
            <w:tcW w:w="2793" w:type="dxa"/>
            <w:vMerge/>
            <w:tcBorders>
              <w:top w:val="nil"/>
              <w:left w:val="single" w:sz="8" w:space="0" w:color="auto"/>
              <w:bottom w:val="nil"/>
              <w:right w:val="single" w:sz="4" w:space="0" w:color="auto"/>
            </w:tcBorders>
            <w:hideMark/>
          </w:tcPr>
          <w:p w:rsidR="0060148A" w:rsidRPr="00515C49" w:rsidRDefault="0060148A" w:rsidP="0060148A">
            <w:pPr>
              <w:spacing w:before="0" w:line="240" w:lineRule="auto"/>
              <w:ind w:left="0"/>
              <w:rPr>
                <w:rFonts w:cs="Arial"/>
                <w:color w:val="000000"/>
                <w:sz w:val="16"/>
                <w:szCs w:val="16"/>
              </w:rPr>
            </w:pPr>
          </w:p>
        </w:tc>
        <w:tc>
          <w:tcPr>
            <w:tcW w:w="7159" w:type="dxa"/>
            <w:vMerge/>
            <w:tcBorders>
              <w:left w:val="single" w:sz="4" w:space="0" w:color="auto"/>
              <w:right w:val="single" w:sz="4" w:space="0" w:color="auto"/>
            </w:tcBorders>
            <w:shd w:val="clear" w:color="auto" w:fill="auto"/>
            <w:vAlign w:val="center"/>
            <w:hideMark/>
          </w:tcPr>
          <w:p w:rsidR="0060148A" w:rsidRPr="00515C49" w:rsidRDefault="0060148A" w:rsidP="0060148A">
            <w:pPr>
              <w:spacing w:before="0" w:line="240" w:lineRule="auto"/>
              <w:ind w:left="0"/>
              <w:rPr>
                <w:rFonts w:cs="Arial"/>
                <w:color w:val="000000"/>
                <w:sz w:val="16"/>
                <w:szCs w:val="16"/>
              </w:rPr>
            </w:pPr>
          </w:p>
        </w:tc>
        <w:sdt>
          <w:sdtPr>
            <w:rPr>
              <w:rStyle w:val="Style9"/>
              <w:color w:val="auto"/>
              <w:sz w:val="96"/>
              <w:szCs w:val="96"/>
            </w:rPr>
            <w:id w:val="809360441"/>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60148A" w:rsidRDefault="0060148A" w:rsidP="0060148A">
                <w:pPr>
                  <w:ind w:left="0"/>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48A" w:rsidRPr="00515C49" w:rsidRDefault="043A0D26" w:rsidP="0060148A">
            <w:pPr>
              <w:spacing w:before="0" w:line="240" w:lineRule="auto"/>
              <w:ind w:left="0"/>
              <w:rPr>
                <w:rFonts w:eastAsia="Arial" w:cs="Arial"/>
                <w:sz w:val="16"/>
                <w:szCs w:val="16"/>
              </w:rPr>
            </w:pPr>
            <w:r w:rsidRPr="043A0D26">
              <w:rPr>
                <w:rFonts w:eastAsia="Arial" w:cs="Arial"/>
                <w:sz w:val="16"/>
                <w:szCs w:val="16"/>
              </w:rPr>
              <w:t>No.</w:t>
            </w:r>
            <w:r w:rsidR="002E48AB">
              <w:rPr>
                <w:rFonts w:eastAsia="Arial" w:cs="Arial"/>
                <w:sz w:val="16"/>
                <w:szCs w:val="16"/>
              </w:rPr>
              <w:t xml:space="preserve"> </w:t>
            </w:r>
            <w:r w:rsidRPr="043A0D26">
              <w:rPr>
                <w:rFonts w:eastAsia="Arial" w:cs="Arial"/>
                <w:sz w:val="16"/>
                <w:szCs w:val="16"/>
              </w:rPr>
              <w:t xml:space="preserve">Our data centres are located outside of Australia. </w:t>
            </w:r>
          </w:p>
          <w:p w:rsidR="0060148A" w:rsidRPr="00515C49" w:rsidRDefault="0060148A" w:rsidP="0060148A">
            <w:pPr>
              <w:spacing w:before="0" w:line="240" w:lineRule="auto"/>
              <w:ind w:left="0"/>
              <w:rPr>
                <w:rFonts w:eastAsia="Arial" w:cs="Arial"/>
                <w:sz w:val="16"/>
                <w:szCs w:val="16"/>
              </w:rPr>
            </w:pPr>
          </w:p>
          <w:p w:rsidR="0060148A" w:rsidRPr="00515C49" w:rsidRDefault="043A0D26" w:rsidP="0060148A">
            <w:pPr>
              <w:spacing w:before="0" w:line="240" w:lineRule="auto"/>
              <w:ind w:left="0"/>
              <w:rPr>
                <w:rFonts w:cs="Arial"/>
                <w:i/>
                <w:sz w:val="16"/>
                <w:szCs w:val="16"/>
              </w:rPr>
            </w:pPr>
            <w:r w:rsidRPr="043A0D26">
              <w:rPr>
                <w:rFonts w:eastAsia="Arial" w:cs="Arial"/>
                <w:i/>
                <w:iCs/>
                <w:sz w:val="16"/>
                <w:szCs w:val="16"/>
              </w:rPr>
              <w:t xml:space="preserve">[Agency has reason to believe they can meet obligations of ICT </w:t>
            </w:r>
            <w:r w:rsidR="007C4D03">
              <w:rPr>
                <w:rFonts w:eastAsia="Arial" w:cs="Arial"/>
                <w:i/>
                <w:iCs/>
                <w:sz w:val="16"/>
                <w:szCs w:val="16"/>
              </w:rPr>
              <w:t>as-a-service</w:t>
            </w:r>
            <w:r w:rsidRPr="043A0D26">
              <w:rPr>
                <w:rFonts w:eastAsia="Arial" w:cs="Arial"/>
                <w:i/>
                <w:iCs/>
                <w:sz w:val="16"/>
                <w:szCs w:val="16"/>
              </w:rPr>
              <w:t xml:space="preserve"> offshore data storage and processing policy, at an acceptable level of risk and service assurance]</w:t>
            </w:r>
          </w:p>
        </w:tc>
        <w:tc>
          <w:tcPr>
            <w:tcW w:w="1327" w:type="dxa"/>
            <w:tcBorders>
              <w:left w:val="single" w:sz="4" w:space="0" w:color="auto"/>
              <w:right w:val="single" w:sz="4" w:space="0" w:color="auto"/>
            </w:tcBorders>
            <w:shd w:val="clear" w:color="auto" w:fill="FF9900"/>
          </w:tcPr>
          <w:p w:rsidR="0060148A" w:rsidRPr="00515C49" w:rsidRDefault="043A0D26" w:rsidP="0060148A">
            <w:pPr>
              <w:spacing w:before="0" w:line="240" w:lineRule="auto"/>
              <w:ind w:left="0"/>
              <w:rPr>
                <w:rFonts w:cs="Arial"/>
                <w:color w:val="FFFFFF" w:themeColor="background1"/>
                <w:sz w:val="16"/>
                <w:szCs w:val="16"/>
              </w:rPr>
            </w:pPr>
            <w:r w:rsidRPr="043A0D26">
              <w:rPr>
                <w:rFonts w:eastAsia="Arial" w:cs="Arial"/>
                <w:color w:val="FFFFFF" w:themeColor="background1"/>
                <w:sz w:val="16"/>
                <w:szCs w:val="16"/>
              </w:rPr>
              <w:t>Medium</w:t>
            </w:r>
          </w:p>
        </w:tc>
        <w:tc>
          <w:tcPr>
            <w:tcW w:w="1440" w:type="dxa"/>
            <w:tcBorders>
              <w:left w:val="single" w:sz="4" w:space="0" w:color="auto"/>
              <w:right w:val="single" w:sz="8" w:space="0" w:color="auto"/>
            </w:tcBorders>
            <w:shd w:val="clear" w:color="auto" w:fill="auto"/>
            <w:hideMark/>
          </w:tcPr>
          <w:p w:rsidR="0060148A" w:rsidRPr="00515C49" w:rsidRDefault="0060148A" w:rsidP="0060148A">
            <w:pPr>
              <w:spacing w:before="0" w:line="240" w:lineRule="auto"/>
              <w:ind w:left="0"/>
              <w:rPr>
                <w:rFonts w:cs="Arial"/>
                <w:color w:val="000000"/>
                <w:sz w:val="16"/>
                <w:szCs w:val="16"/>
              </w:rPr>
            </w:pPr>
          </w:p>
        </w:tc>
      </w:tr>
      <w:tr w:rsidR="0060148A" w:rsidRPr="00515C49" w:rsidTr="043A0D26">
        <w:trPr>
          <w:trHeight w:val="480"/>
        </w:trPr>
        <w:tc>
          <w:tcPr>
            <w:tcW w:w="2793" w:type="dxa"/>
            <w:tcBorders>
              <w:top w:val="nil"/>
              <w:left w:val="single" w:sz="8" w:space="0" w:color="auto"/>
              <w:bottom w:val="single" w:sz="8" w:space="0" w:color="auto"/>
              <w:right w:val="single" w:sz="4" w:space="0" w:color="auto"/>
            </w:tcBorders>
            <w:shd w:val="clear" w:color="auto" w:fill="auto"/>
            <w:hideMark/>
          </w:tcPr>
          <w:p w:rsidR="0060148A" w:rsidRPr="00515C49" w:rsidRDefault="043A0D26" w:rsidP="0060148A">
            <w:pPr>
              <w:spacing w:before="0" w:line="240" w:lineRule="auto"/>
              <w:ind w:left="0"/>
              <w:rPr>
                <w:rFonts w:cs="Arial"/>
                <w:color w:val="000000"/>
                <w:sz w:val="16"/>
                <w:szCs w:val="16"/>
              </w:rPr>
            </w:pPr>
            <w:r w:rsidRPr="043A0D26">
              <w:rPr>
                <w:rFonts w:eastAsia="Arial" w:cs="Arial"/>
                <w:color w:val="000000" w:themeColor="text1"/>
                <w:sz w:val="16"/>
                <w:szCs w:val="16"/>
              </w:rPr>
              <w:t> </w:t>
            </w:r>
          </w:p>
        </w:tc>
        <w:tc>
          <w:tcPr>
            <w:tcW w:w="7159" w:type="dxa"/>
            <w:tcBorders>
              <w:left w:val="single" w:sz="4" w:space="0" w:color="auto"/>
              <w:bottom w:val="single" w:sz="4" w:space="0" w:color="auto"/>
              <w:right w:val="single" w:sz="4" w:space="0" w:color="auto"/>
            </w:tcBorders>
            <w:shd w:val="clear" w:color="auto" w:fill="auto"/>
            <w:hideMark/>
          </w:tcPr>
          <w:p w:rsidR="0060148A" w:rsidRPr="00515C49" w:rsidRDefault="0060148A" w:rsidP="0060148A">
            <w:pPr>
              <w:spacing w:before="0" w:line="240" w:lineRule="auto"/>
              <w:ind w:left="0"/>
              <w:rPr>
                <w:rFonts w:eastAsia="Arial" w:cs="Arial"/>
                <w:color w:val="000000"/>
                <w:sz w:val="16"/>
                <w:szCs w:val="16"/>
              </w:rPr>
            </w:pPr>
          </w:p>
          <w:p w:rsidR="0060148A" w:rsidRPr="00515C49" w:rsidRDefault="043A0D26" w:rsidP="0060148A">
            <w:pPr>
              <w:spacing w:before="0" w:line="240" w:lineRule="auto"/>
              <w:ind w:left="0"/>
              <w:rPr>
                <w:rFonts w:eastAsia="Arial" w:cs="Arial"/>
                <w:color w:val="000000" w:themeColor="text1"/>
                <w:sz w:val="16"/>
                <w:szCs w:val="16"/>
              </w:rPr>
            </w:pPr>
            <w:r w:rsidRPr="043A0D26">
              <w:rPr>
                <w:rFonts w:eastAsia="Arial" w:cs="Arial"/>
                <w:color w:val="000000" w:themeColor="text1"/>
                <w:sz w:val="16"/>
                <w:szCs w:val="16"/>
              </w:rPr>
              <w:t>In addition to the above, be sure to understand the following:</w:t>
            </w:r>
          </w:p>
          <w:p w:rsidR="0060148A" w:rsidRPr="00515C49" w:rsidRDefault="043A0D26" w:rsidP="043A0D26">
            <w:pPr>
              <w:pStyle w:val="ListParagraph"/>
              <w:numPr>
                <w:ilvl w:val="0"/>
                <w:numId w:val="37"/>
              </w:numPr>
              <w:rPr>
                <w:rFonts w:eastAsia="Arial" w:cs="Arial"/>
                <w:color w:val="000000"/>
                <w:sz w:val="16"/>
                <w:szCs w:val="16"/>
              </w:rPr>
            </w:pPr>
            <w:r w:rsidRPr="043A0D26">
              <w:rPr>
                <w:rFonts w:eastAsia="Arial" w:cs="Arial"/>
                <w:color w:val="000000" w:themeColor="text1"/>
                <w:sz w:val="16"/>
                <w:szCs w:val="16"/>
              </w:rPr>
              <w:t>primary and backup locations</w:t>
            </w:r>
          </w:p>
          <w:p w:rsidR="0060148A" w:rsidRPr="00515C49" w:rsidRDefault="043A0D26" w:rsidP="043A0D26">
            <w:pPr>
              <w:pStyle w:val="ListParagraph"/>
              <w:numPr>
                <w:ilvl w:val="0"/>
                <w:numId w:val="37"/>
              </w:numPr>
              <w:rPr>
                <w:rFonts w:eastAsia="Arial" w:cs="Arial"/>
                <w:color w:val="000000"/>
                <w:sz w:val="16"/>
                <w:szCs w:val="16"/>
              </w:rPr>
            </w:pPr>
            <w:r w:rsidRPr="043A0D26">
              <w:rPr>
                <w:rFonts w:eastAsia="Arial" w:cs="Arial"/>
                <w:color w:val="000000" w:themeColor="text1"/>
                <w:sz w:val="16"/>
                <w:szCs w:val="16"/>
              </w:rPr>
              <w:t>any cross border service administration arrangements which may allow uncontrolled access to the data from unexpected jurisdictions.</w:t>
            </w:r>
          </w:p>
        </w:tc>
        <w:sdt>
          <w:sdtPr>
            <w:rPr>
              <w:rStyle w:val="Style9"/>
              <w:color w:val="auto"/>
              <w:sz w:val="96"/>
              <w:szCs w:val="96"/>
            </w:rPr>
            <w:id w:val="665444198"/>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60148A" w:rsidRDefault="0060148A" w:rsidP="0060148A">
                <w:pPr>
                  <w:ind w:left="0"/>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48A" w:rsidRPr="00515C49" w:rsidRDefault="043A0D26" w:rsidP="0060148A">
            <w:pPr>
              <w:spacing w:before="0" w:line="240" w:lineRule="auto"/>
              <w:ind w:left="0"/>
              <w:rPr>
                <w:rFonts w:eastAsia="Arial" w:cs="Arial"/>
                <w:sz w:val="16"/>
                <w:szCs w:val="16"/>
              </w:rPr>
            </w:pPr>
            <w:r w:rsidRPr="043A0D26">
              <w:rPr>
                <w:rFonts w:eastAsia="Arial" w:cs="Arial"/>
                <w:sz w:val="16"/>
                <w:szCs w:val="16"/>
              </w:rPr>
              <w:t>No.</w:t>
            </w:r>
            <w:r w:rsidR="002E48AB">
              <w:rPr>
                <w:rFonts w:eastAsia="Arial" w:cs="Arial"/>
                <w:sz w:val="16"/>
                <w:szCs w:val="16"/>
              </w:rPr>
              <w:t xml:space="preserve"> </w:t>
            </w:r>
            <w:r w:rsidRPr="043A0D26">
              <w:rPr>
                <w:rFonts w:eastAsia="Arial" w:cs="Arial"/>
                <w:sz w:val="16"/>
                <w:szCs w:val="16"/>
              </w:rPr>
              <w:t xml:space="preserve">Our data centres are located outside of Australia. </w:t>
            </w:r>
          </w:p>
          <w:p w:rsidR="0060148A" w:rsidRPr="00515C49" w:rsidRDefault="0060148A" w:rsidP="0060148A">
            <w:pPr>
              <w:spacing w:before="0" w:line="240" w:lineRule="auto"/>
              <w:ind w:left="0"/>
              <w:rPr>
                <w:rFonts w:eastAsia="Arial" w:cs="Arial"/>
                <w:sz w:val="16"/>
                <w:szCs w:val="16"/>
              </w:rPr>
            </w:pPr>
          </w:p>
          <w:p w:rsidR="0060148A" w:rsidRPr="00515C49" w:rsidRDefault="043A0D26" w:rsidP="0060148A">
            <w:pPr>
              <w:spacing w:before="0" w:line="240" w:lineRule="auto"/>
              <w:ind w:left="0"/>
              <w:rPr>
                <w:rFonts w:cs="Arial"/>
                <w:sz w:val="16"/>
                <w:szCs w:val="16"/>
              </w:rPr>
            </w:pPr>
            <w:r w:rsidRPr="043A0D26">
              <w:rPr>
                <w:rFonts w:eastAsia="Arial" w:cs="Arial"/>
                <w:sz w:val="16"/>
                <w:szCs w:val="16"/>
              </w:rPr>
              <w:t>[</w:t>
            </w:r>
            <w:r w:rsidRPr="043A0D26">
              <w:rPr>
                <w:rFonts w:eastAsia="Arial" w:cs="Arial"/>
                <w:i/>
                <w:iCs/>
                <w:sz w:val="16"/>
                <w:szCs w:val="16"/>
              </w:rPr>
              <w:t xml:space="preserve">Agency has not completed all obligations of ICT </w:t>
            </w:r>
            <w:r w:rsidR="007C4D03">
              <w:rPr>
                <w:rFonts w:eastAsia="Arial" w:cs="Arial"/>
                <w:i/>
                <w:iCs/>
                <w:sz w:val="16"/>
                <w:szCs w:val="16"/>
              </w:rPr>
              <w:t>as-a-service</w:t>
            </w:r>
            <w:r w:rsidRPr="043A0D26">
              <w:rPr>
                <w:rFonts w:eastAsia="Arial" w:cs="Arial"/>
                <w:i/>
                <w:iCs/>
                <w:sz w:val="16"/>
                <w:szCs w:val="16"/>
              </w:rPr>
              <w:t xml:space="preserve"> offshore data storage and processing policy, or there is concern about the information in the service, inability to gain assurance and/or vendor willingness to provide contractual assurances such as compliance with privacy legislation]</w:t>
            </w:r>
          </w:p>
        </w:tc>
        <w:tc>
          <w:tcPr>
            <w:tcW w:w="1327" w:type="dxa"/>
            <w:tcBorders>
              <w:left w:val="single" w:sz="4" w:space="0" w:color="auto"/>
              <w:bottom w:val="single" w:sz="4" w:space="0" w:color="auto"/>
              <w:right w:val="single" w:sz="4" w:space="0" w:color="auto"/>
            </w:tcBorders>
            <w:shd w:val="clear" w:color="auto" w:fill="FF0000"/>
          </w:tcPr>
          <w:p w:rsidR="0060148A" w:rsidRPr="00515C49" w:rsidRDefault="0060148A" w:rsidP="0060148A">
            <w:pPr>
              <w:spacing w:before="0" w:line="240" w:lineRule="auto"/>
              <w:ind w:left="0"/>
              <w:rPr>
                <w:rFonts w:cs="Arial"/>
                <w:color w:val="FFFFFF" w:themeColor="background1"/>
                <w:sz w:val="16"/>
                <w:szCs w:val="16"/>
                <w:shd w:val="clear" w:color="auto" w:fill="FF0000"/>
              </w:rPr>
            </w:pPr>
            <w:r w:rsidRPr="043A0D26">
              <w:rPr>
                <w:rFonts w:eastAsia="Arial" w:cs="Arial"/>
                <w:color w:val="FFFFFF" w:themeColor="background1"/>
                <w:sz w:val="16"/>
                <w:szCs w:val="16"/>
                <w:shd w:val="clear" w:color="auto" w:fill="FF0000"/>
              </w:rPr>
              <w:t>High</w:t>
            </w:r>
          </w:p>
        </w:tc>
        <w:tc>
          <w:tcPr>
            <w:tcW w:w="1440" w:type="dxa"/>
            <w:tcBorders>
              <w:left w:val="single" w:sz="4" w:space="0" w:color="auto"/>
              <w:bottom w:val="single" w:sz="4" w:space="0" w:color="auto"/>
              <w:right w:val="single" w:sz="8" w:space="0" w:color="auto"/>
            </w:tcBorders>
            <w:shd w:val="clear" w:color="auto" w:fill="auto"/>
            <w:hideMark/>
          </w:tcPr>
          <w:p w:rsidR="0060148A" w:rsidRPr="00515C49" w:rsidRDefault="0060148A" w:rsidP="0060148A">
            <w:pPr>
              <w:spacing w:before="0" w:line="240" w:lineRule="auto"/>
              <w:ind w:left="0"/>
              <w:rPr>
                <w:rFonts w:cs="Arial"/>
                <w:color w:val="000000"/>
                <w:sz w:val="16"/>
                <w:szCs w:val="16"/>
              </w:rPr>
            </w:pPr>
          </w:p>
        </w:tc>
      </w:tr>
      <w:tr w:rsidR="00371BD2" w:rsidRPr="00515C49" w:rsidTr="043A0D26">
        <w:trPr>
          <w:trHeight w:val="660"/>
        </w:trPr>
        <w:tc>
          <w:tcPr>
            <w:tcW w:w="2793" w:type="dxa"/>
            <w:vMerge w:val="restart"/>
            <w:tcBorders>
              <w:top w:val="nil"/>
              <w:left w:val="single" w:sz="8" w:space="0" w:color="auto"/>
              <w:bottom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What is the nature of the data to be stored on this service</w:t>
            </w:r>
          </w:p>
        </w:tc>
        <w:tc>
          <w:tcPr>
            <w:tcW w:w="7159" w:type="dxa"/>
            <w:tcBorders>
              <w:top w:val="single" w:sz="4" w:space="0" w:color="auto"/>
              <w:left w:val="single" w:sz="4" w:space="0" w:color="auto"/>
              <w:right w:val="single" w:sz="4" w:space="0" w:color="auto"/>
            </w:tcBorders>
            <w:shd w:val="clear" w:color="auto" w:fill="auto"/>
            <w:vAlign w:val="center"/>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Services that contain personal information are subject to national privacy obligations and the </w:t>
            </w:r>
            <w:r w:rsidRPr="043A0D26">
              <w:rPr>
                <w:rFonts w:eastAsia="Arial" w:cs="Arial"/>
                <w:i/>
                <w:iCs/>
                <w:color w:val="000000" w:themeColor="text1"/>
                <w:sz w:val="16"/>
                <w:szCs w:val="16"/>
              </w:rPr>
              <w:t>Information Privacy Act 2009 (QLD)</w:t>
            </w:r>
            <w:r w:rsidRPr="043A0D26">
              <w:rPr>
                <w:rFonts w:eastAsia="Arial" w:cs="Arial"/>
                <w:color w:val="000000" w:themeColor="text1"/>
                <w:sz w:val="16"/>
                <w:szCs w:val="16"/>
              </w:rPr>
              <w:t xml:space="preserve"> (the IP Act).</w:t>
            </w:r>
            <w:r w:rsidR="002E48AB">
              <w:rPr>
                <w:rFonts w:eastAsia="Arial" w:cs="Arial"/>
                <w:color w:val="000000" w:themeColor="text1"/>
                <w:sz w:val="16"/>
                <w:szCs w:val="16"/>
              </w:rPr>
              <w:t xml:space="preserve"> </w:t>
            </w:r>
            <w:r w:rsidRPr="043A0D26">
              <w:rPr>
                <w:rFonts w:eastAsia="Arial" w:cs="Arial"/>
                <w:color w:val="000000" w:themeColor="text1"/>
                <w:sz w:val="16"/>
                <w:szCs w:val="16"/>
              </w:rPr>
              <w:t>Additional legislation may also need to be considered. For example the following areas have additional legislation to be considered: child protection, law enforcement and the health sector.</w:t>
            </w:r>
          </w:p>
        </w:tc>
        <w:sdt>
          <w:sdtPr>
            <w:rPr>
              <w:rStyle w:val="Style9"/>
              <w:color w:val="auto"/>
              <w:sz w:val="96"/>
              <w:szCs w:val="96"/>
            </w:rPr>
            <w:id w:val="-164518851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hideMark/>
              </w:tcPr>
              <w:p w:rsidR="00371BD2" w:rsidRPr="00245492" w:rsidRDefault="00371BD2" w:rsidP="00371BD2">
                <w:pPr>
                  <w:spacing w:before="0" w:line="240" w:lineRule="auto"/>
                  <w:ind w:left="0"/>
                  <w:rPr>
                    <w:rStyle w:val="Style9"/>
                    <w:rFonts w:cs="Arial"/>
                    <w:b w:val="0"/>
                    <w:color w:val="FFFFFF" w:themeColor="background1"/>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8" w:space="0" w:color="000000" w:themeColor="text1"/>
              <w:right w:val="single" w:sz="8" w:space="0" w:color="auto"/>
            </w:tcBorders>
            <w:shd w:val="clear" w:color="auto" w:fill="auto"/>
            <w:vAlign w:val="center"/>
            <w:hideMark/>
          </w:tcPr>
          <w:p w:rsidR="00371BD2" w:rsidRPr="00515C49" w:rsidRDefault="043A0D26" w:rsidP="00371BD2">
            <w:pPr>
              <w:spacing w:before="0" w:line="240" w:lineRule="auto"/>
              <w:ind w:left="0"/>
              <w:rPr>
                <w:rFonts w:cs="Arial"/>
                <w:i/>
                <w:sz w:val="16"/>
                <w:szCs w:val="16"/>
              </w:rPr>
            </w:pPr>
            <w:r w:rsidRPr="043A0D26">
              <w:rPr>
                <w:rFonts w:eastAsia="Arial" w:cs="Arial"/>
                <w:i/>
                <w:iCs/>
                <w:sz w:val="16"/>
                <w:szCs w:val="16"/>
              </w:rPr>
              <w:t>[Agency has completed a data and privacy assessment. No PII or information otherwise sensitive to location will be part of the data retained within or exposed to risk via the service.]</w:t>
            </w:r>
          </w:p>
        </w:tc>
        <w:tc>
          <w:tcPr>
            <w:tcW w:w="1327" w:type="dxa"/>
            <w:tcBorders>
              <w:top w:val="single" w:sz="4" w:space="0" w:color="auto"/>
              <w:left w:val="single" w:sz="8" w:space="0" w:color="auto"/>
              <w:bottom w:val="nil"/>
              <w:right w:val="single" w:sz="8" w:space="0" w:color="auto"/>
            </w:tcBorders>
            <w:shd w:val="clear" w:color="auto" w:fill="00B05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Low</w:t>
            </w:r>
          </w:p>
        </w:tc>
        <w:tc>
          <w:tcPr>
            <w:tcW w:w="1440" w:type="dxa"/>
            <w:tcBorders>
              <w:top w:val="single" w:sz="4" w:space="0" w:color="auto"/>
              <w:left w:val="single" w:sz="8" w:space="0" w:color="auto"/>
              <w:bottom w:val="nil"/>
              <w:right w:val="single" w:sz="8" w:space="0" w:color="auto"/>
            </w:tcBorders>
            <w:shd w:val="clear" w:color="auto" w:fill="auto"/>
            <w:vAlign w:val="center"/>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GRM-01</w:t>
            </w:r>
          </w:p>
        </w:tc>
      </w:tr>
      <w:tr w:rsidR="00371BD2" w:rsidRPr="00515C49" w:rsidTr="043A0D26">
        <w:trPr>
          <w:trHeight w:val="220"/>
        </w:trPr>
        <w:tc>
          <w:tcPr>
            <w:tcW w:w="2793" w:type="dxa"/>
            <w:vMerge/>
            <w:tcBorders>
              <w:top w:val="nil"/>
              <w:left w:val="single" w:sz="8" w:space="0" w:color="auto"/>
              <w:bottom w:val="nil"/>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left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lang w:eastAsia="en-AU"/>
              </w:rPr>
            </w:pPr>
            <w:r w:rsidRPr="043A0D26">
              <w:rPr>
                <w:rFonts w:eastAsia="Arial" w:cs="Arial"/>
                <w:color w:val="000000" w:themeColor="text1"/>
                <w:sz w:val="16"/>
                <w:szCs w:val="16"/>
              </w:rPr>
              <w:t>The IP Act only permits personal information to be sent out of Australia in the circumstances set out in section 33.</w:t>
            </w:r>
            <w:r w:rsidR="002E48AB">
              <w:rPr>
                <w:rFonts w:eastAsia="Arial" w:cs="Arial"/>
                <w:color w:val="000000" w:themeColor="text1"/>
                <w:sz w:val="16"/>
                <w:szCs w:val="16"/>
              </w:rPr>
              <w:t xml:space="preserve"> </w:t>
            </w:r>
            <w:r w:rsidRPr="043A0D26">
              <w:rPr>
                <w:rFonts w:eastAsia="Arial" w:cs="Arial"/>
                <w:color w:val="000000" w:themeColor="text1"/>
                <w:sz w:val="16"/>
                <w:szCs w:val="16"/>
              </w:rPr>
              <w:t>Agencies should check where a cloud provider operates from, even when dealing with an Australian company. If the provider, or the hardware used by that provider, is not located in Australia, agencies will need to ensure they comply with section 33 for any personal information sent to the cloud.</w:t>
            </w:r>
          </w:p>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13074087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Pr="0060148A" w:rsidRDefault="00371BD2" w:rsidP="00371BD2">
                <w:pPr>
                  <w:ind w:left="0"/>
                  <w:rPr>
                    <w:rStyle w:val="Style10"/>
                    <w:rFonts w:cs="Arial"/>
                    <w:b w:val="0"/>
                    <w:color w:val="auto"/>
                    <w:sz w:val="22"/>
                    <w:szCs w:val="22"/>
                  </w:rPr>
                </w:pPr>
                <w:r>
                  <w:rPr>
                    <w:rStyle w:val="Style9"/>
                    <w:color w:val="auto"/>
                    <w:sz w:val="96"/>
                    <w:szCs w:val="96"/>
                  </w:rPr>
                  <w:sym w:font="Wingdings 2" w:char="F02A"/>
                </w:r>
              </w:p>
            </w:tc>
          </w:sdtContent>
        </w:sdt>
        <w:tc>
          <w:tcPr>
            <w:tcW w:w="7732" w:type="dxa"/>
            <w:tcBorders>
              <w:top w:val="single" w:sz="8" w:space="0" w:color="auto"/>
              <w:left w:val="single" w:sz="4" w:space="0" w:color="auto"/>
              <w:bottom w:val="single" w:sz="8" w:space="0" w:color="000000" w:themeColor="text1"/>
              <w:right w:val="single" w:sz="8" w:space="0" w:color="auto"/>
            </w:tcBorders>
            <w:shd w:val="clear" w:color="auto" w:fill="auto"/>
            <w:vAlign w:val="center"/>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 xml:space="preserve">Our solution is designed to hold your transaction data within our system. Independent assurance of and contractual commitment to meeting Australian and Queensland Privacy legislation obligations will be provided. </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i/>
                <w:sz w:val="16"/>
                <w:szCs w:val="16"/>
                <w:lang w:eastAsia="en-AU"/>
              </w:rPr>
            </w:pPr>
            <w:r w:rsidRPr="043A0D26">
              <w:rPr>
                <w:rFonts w:eastAsia="Arial" w:cs="Arial"/>
                <w:i/>
                <w:iCs/>
                <w:sz w:val="16"/>
                <w:szCs w:val="16"/>
              </w:rPr>
              <w:t>[Agency to satisfy itself of the adequacy and applicability of assurances available and to ensure privacy provisions are adequately reflected in the contractual arrangements]</w:t>
            </w:r>
          </w:p>
          <w:p w:rsidR="00371BD2" w:rsidRPr="00515C49" w:rsidRDefault="00371BD2" w:rsidP="00371BD2">
            <w:pPr>
              <w:spacing w:before="0" w:line="240" w:lineRule="auto"/>
              <w:ind w:left="0"/>
              <w:rPr>
                <w:rFonts w:cs="Arial"/>
                <w:sz w:val="16"/>
                <w:szCs w:val="16"/>
              </w:rPr>
            </w:pPr>
          </w:p>
        </w:tc>
        <w:tc>
          <w:tcPr>
            <w:tcW w:w="1327" w:type="dxa"/>
            <w:tcBorders>
              <w:top w:val="nil"/>
              <w:left w:val="single" w:sz="8" w:space="0" w:color="auto"/>
              <w:bottom w:val="nil"/>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tcBorders>
              <w:top w:val="nil"/>
              <w:left w:val="single" w:sz="8" w:space="0" w:color="auto"/>
              <w:bottom w:val="nil"/>
              <w:right w:val="single" w:sz="8" w:space="0" w:color="auto"/>
            </w:tcBorders>
            <w:vAlign w:val="center"/>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60"/>
        </w:trPr>
        <w:tc>
          <w:tcPr>
            <w:tcW w:w="2793" w:type="dxa"/>
            <w:vMerge/>
            <w:tcBorders>
              <w:top w:val="nil"/>
              <w:left w:val="single" w:sz="8"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When moving to cloud services, agencies may be able to comply with the obligations in section 33, at least in part, by entering into a contract with the cloud services vendor which provides for the same level of privacy protections as are in the IP Act.</w:t>
            </w:r>
            <w:r w:rsidR="00371BD2">
              <w:br/>
            </w:r>
            <w:r w:rsidRPr="043A0D26">
              <w:rPr>
                <w:rFonts w:eastAsia="Arial" w:cs="Arial"/>
                <w:color w:val="000000" w:themeColor="text1"/>
                <w:sz w:val="16"/>
                <w:szCs w:val="16"/>
              </w:rPr>
              <w:t xml:space="preserve">See: </w:t>
            </w:r>
            <w:hyperlink r:id="rId37">
              <w:r w:rsidRPr="043A0D26">
                <w:rPr>
                  <w:rStyle w:val="Hyperlink"/>
                  <w:rFonts w:eastAsia="Arial" w:cs="Arial"/>
                  <w:sz w:val="16"/>
                  <w:szCs w:val="16"/>
                </w:rPr>
                <w:t>https://www.oic.qld.gov.au/guidelines/for-government/guidelines-privacy-principles/applying-the-privacy-principles/cloud-computing-and-the-privacy-principles</w:t>
              </w:r>
            </w:hyperlink>
            <w:r w:rsidRPr="043A0D26">
              <w:rPr>
                <w:rFonts w:eastAsia="Arial" w:cs="Arial"/>
                <w:color w:val="000000" w:themeColor="text1"/>
                <w:sz w:val="16"/>
                <w:szCs w:val="16"/>
              </w:rPr>
              <w:t xml:space="preserve"> </w:t>
            </w:r>
          </w:p>
        </w:tc>
        <w:sdt>
          <w:sdtPr>
            <w:rPr>
              <w:rStyle w:val="Style9"/>
              <w:color w:val="auto"/>
              <w:sz w:val="96"/>
              <w:szCs w:val="96"/>
            </w:rPr>
            <w:id w:val="-439454587"/>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Pr="0060148A" w:rsidRDefault="00371BD2" w:rsidP="00371BD2">
                <w:pPr>
                  <w:spacing w:before="0" w:line="240" w:lineRule="auto"/>
                  <w:ind w:left="0"/>
                  <w:rPr>
                    <w:rStyle w:val="Style11"/>
                    <w:rFonts w:cs="Arial"/>
                    <w:b w:val="0"/>
                    <w:color w:val="auto"/>
                    <w:sz w:val="22"/>
                    <w:szCs w:val="22"/>
                  </w:rPr>
                </w:pPr>
                <w:r>
                  <w:rPr>
                    <w:rStyle w:val="Style9"/>
                    <w:color w:val="auto"/>
                    <w:sz w:val="96"/>
                    <w:szCs w:val="96"/>
                  </w:rPr>
                  <w:sym w:font="Wingdings 2" w:char="F02A"/>
                </w:r>
              </w:p>
            </w:tc>
          </w:sdtContent>
        </w:sdt>
        <w:tc>
          <w:tcPr>
            <w:tcW w:w="7732" w:type="dxa"/>
            <w:tcBorders>
              <w:left w:val="single" w:sz="4" w:space="0" w:color="auto"/>
              <w:bottom w:val="single" w:sz="4" w:space="0" w:color="auto"/>
              <w:right w:val="single" w:sz="8" w:space="0" w:color="auto"/>
            </w:tcBorders>
            <w:shd w:val="clear" w:color="auto" w:fill="auto"/>
            <w:hideMark/>
          </w:tcPr>
          <w:p w:rsidR="00371BD2" w:rsidRDefault="00371BD2" w:rsidP="00371BD2">
            <w:pPr>
              <w:spacing w:before="0" w:line="240" w:lineRule="auto"/>
              <w:ind w:left="0"/>
              <w:rPr>
                <w:rFonts w:eastAsia="Arial" w:cs="Arial"/>
                <w:sz w:val="16"/>
                <w:szCs w:val="16"/>
              </w:rPr>
            </w:pPr>
          </w:p>
          <w:p w:rsidR="00371BD2" w:rsidRPr="003522BE" w:rsidRDefault="043A0D26" w:rsidP="00371BD2">
            <w:pPr>
              <w:spacing w:before="0" w:line="240" w:lineRule="auto"/>
              <w:ind w:left="0"/>
              <w:rPr>
                <w:rFonts w:cs="Arial"/>
                <w:i/>
                <w:sz w:val="16"/>
                <w:szCs w:val="16"/>
                <w:lang w:eastAsia="en-AU"/>
              </w:rPr>
            </w:pPr>
            <w:r w:rsidRPr="043A0D26">
              <w:rPr>
                <w:rFonts w:eastAsia="Arial" w:cs="Arial"/>
                <w:i/>
                <w:iCs/>
                <w:sz w:val="16"/>
                <w:szCs w:val="16"/>
              </w:rPr>
              <w:t>[While the vendor offers a range of technical controls such as statements of encryption, these do not come with independent assurance.</w:t>
            </w:r>
            <w:r w:rsidR="002E48AB">
              <w:rPr>
                <w:rFonts w:eastAsia="Arial" w:cs="Arial"/>
                <w:i/>
                <w:iCs/>
                <w:sz w:val="16"/>
                <w:szCs w:val="16"/>
              </w:rPr>
              <w:t xml:space="preserve"> </w:t>
            </w:r>
            <w:r w:rsidRPr="043A0D26">
              <w:rPr>
                <w:rFonts w:eastAsia="Arial" w:cs="Arial"/>
                <w:i/>
                <w:iCs/>
                <w:sz w:val="16"/>
                <w:szCs w:val="16"/>
              </w:rPr>
              <w:t>The vendor will not commit to contractual obligations to meet section 33 or concerns remain about overall solution protection of data.]</w:t>
            </w:r>
          </w:p>
          <w:p w:rsidR="00371BD2" w:rsidRPr="00515C49" w:rsidRDefault="00371BD2" w:rsidP="00371BD2">
            <w:pPr>
              <w:spacing w:before="0" w:line="240" w:lineRule="auto"/>
              <w:ind w:left="0"/>
              <w:rPr>
                <w:rFonts w:cs="Arial"/>
                <w:sz w:val="16"/>
                <w:szCs w:val="16"/>
              </w:rPr>
            </w:pPr>
          </w:p>
        </w:tc>
        <w:tc>
          <w:tcPr>
            <w:tcW w:w="1327" w:type="dxa"/>
            <w:tcBorders>
              <w:left w:val="single" w:sz="8" w:space="0" w:color="auto"/>
              <w:bottom w:val="single" w:sz="4" w:space="0" w:color="auto"/>
              <w:right w:val="single" w:sz="8" w:space="0" w:color="auto"/>
            </w:tcBorders>
            <w:shd w:val="clear" w:color="auto" w:fill="FF0000"/>
          </w:tcPr>
          <w:p w:rsidR="00371BD2" w:rsidRPr="00515C49" w:rsidRDefault="00371BD2" w:rsidP="00371BD2">
            <w:pPr>
              <w:spacing w:before="0" w:line="240" w:lineRule="auto"/>
              <w:ind w:left="0"/>
              <w:rPr>
                <w:rFonts w:cs="Arial"/>
                <w:color w:val="000000"/>
                <w:sz w:val="16"/>
                <w:szCs w:val="16"/>
              </w:rPr>
            </w:pPr>
            <w:r w:rsidRPr="043A0D26">
              <w:rPr>
                <w:rFonts w:eastAsia="Arial" w:cs="Arial"/>
                <w:color w:val="FFFFFF" w:themeColor="background1"/>
                <w:sz w:val="16"/>
                <w:szCs w:val="16"/>
                <w:shd w:val="clear" w:color="auto" w:fill="FF0000"/>
              </w:rPr>
              <w:t>High</w:t>
            </w:r>
          </w:p>
        </w:tc>
        <w:tc>
          <w:tcPr>
            <w:tcW w:w="1440" w:type="dxa"/>
            <w:tcBorders>
              <w:left w:val="single" w:sz="8" w:space="0" w:color="auto"/>
              <w:bottom w:val="single" w:sz="4" w:space="0" w:color="auto"/>
              <w:right w:val="single" w:sz="8" w:space="0" w:color="auto"/>
            </w:tcBorders>
            <w:shd w:val="clear" w:color="auto" w:fill="auto"/>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958"/>
        </w:trPr>
        <w:tc>
          <w:tcPr>
            <w:tcW w:w="2793" w:type="dxa"/>
            <w:vMerge w:val="restart"/>
            <w:tcBorders>
              <w:top w:val="single" w:sz="4" w:space="0" w:color="auto"/>
              <w:left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How and where will the live, standby and recovery instances/data be hosted?</w:t>
            </w:r>
          </w:p>
        </w:tc>
        <w:tc>
          <w:tcPr>
            <w:tcW w:w="7159" w:type="dxa"/>
            <w:tcBorders>
              <w:top w:val="single" w:sz="4" w:space="0" w:color="auto"/>
              <w:left w:val="nil"/>
              <w:bottom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Cloud and ICT </w:t>
            </w:r>
            <w:r w:rsidR="007C4D03">
              <w:rPr>
                <w:rFonts w:eastAsia="Arial" w:cs="Arial"/>
                <w:color w:val="000000" w:themeColor="text1"/>
                <w:sz w:val="16"/>
                <w:szCs w:val="16"/>
              </w:rPr>
              <w:t>as-a-service</w:t>
            </w:r>
            <w:r w:rsidRPr="043A0D26">
              <w:rPr>
                <w:rFonts w:eastAsia="Arial" w:cs="Arial"/>
                <w:color w:val="000000" w:themeColor="text1"/>
                <w:sz w:val="16"/>
                <w:szCs w:val="16"/>
              </w:rPr>
              <w:t xml:space="preserve"> often have high availability of service and data mobility.</w:t>
            </w:r>
            <w:r w:rsidR="002E48AB">
              <w:rPr>
                <w:rFonts w:eastAsia="Arial" w:cs="Arial"/>
                <w:color w:val="000000" w:themeColor="text1"/>
                <w:sz w:val="16"/>
                <w:szCs w:val="16"/>
              </w:rPr>
              <w:t xml:space="preserve"> </w:t>
            </w:r>
            <w:r w:rsidRPr="043A0D26">
              <w:rPr>
                <w:rFonts w:eastAsia="Arial" w:cs="Arial"/>
                <w:color w:val="000000" w:themeColor="text1"/>
                <w:sz w:val="16"/>
                <w:szCs w:val="16"/>
              </w:rPr>
              <w:t>Additionally, high availability is not equivalent to having separate media copies of service data available in the event of service failure, compromise or service disputes.</w:t>
            </w:r>
            <w:r w:rsidR="002E48AB">
              <w:rPr>
                <w:rFonts w:eastAsia="Arial" w:cs="Arial"/>
                <w:color w:val="000000" w:themeColor="text1"/>
                <w:sz w:val="16"/>
                <w:szCs w:val="16"/>
              </w:rPr>
              <w:t xml:space="preserve"> </w:t>
            </w:r>
            <w:r w:rsidRPr="043A0D26">
              <w:rPr>
                <w:rFonts w:eastAsia="Arial" w:cs="Arial"/>
                <w:color w:val="000000" w:themeColor="text1"/>
                <w:sz w:val="16"/>
                <w:szCs w:val="16"/>
              </w:rPr>
              <w:t>Agencies must have a clear understanding of the arrangements and business risk should service data become unavailable or withheld. This is of elevated importance when the underpinning data is held offshore. </w:t>
            </w:r>
          </w:p>
        </w:tc>
        <w:sdt>
          <w:sdtPr>
            <w:rPr>
              <w:rStyle w:val="Style9"/>
              <w:color w:val="auto"/>
              <w:sz w:val="96"/>
              <w:szCs w:val="96"/>
            </w:rPr>
            <w:id w:val="-185471666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Pr="0060148A" w:rsidRDefault="00371BD2" w:rsidP="00371BD2">
                <w:pPr>
                  <w:spacing w:before="0" w:line="240" w:lineRule="auto"/>
                  <w:ind w:left="0"/>
                  <w:rPr>
                    <w:rStyle w:val="Style9"/>
                    <w:rFonts w:cs="Arial"/>
                    <w:b w:val="0"/>
                    <w:color w:val="auto"/>
                    <w:sz w:val="22"/>
                    <w:szCs w:val="22"/>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Our service hosting resilience and backup data are managed in a consistent manner as per the live service instance.</w:t>
            </w:r>
            <w:r w:rsidR="002E48AB">
              <w:rPr>
                <w:rFonts w:eastAsia="Arial" w:cs="Arial"/>
                <w:sz w:val="16"/>
                <w:szCs w:val="16"/>
              </w:rPr>
              <w:t xml:space="preserve"> </w:t>
            </w:r>
            <w:r w:rsidRPr="043A0D26">
              <w:rPr>
                <w:rFonts w:eastAsia="Arial" w:cs="Arial"/>
                <w:sz w:val="16"/>
                <w:szCs w:val="16"/>
              </w:rPr>
              <w:t>Customer has equal visibility and control of service, data and administration access for all data/service instances including: backups (under the service), administrative access, service instances (live and high availability).</w:t>
            </w:r>
          </w:p>
        </w:tc>
        <w:tc>
          <w:tcPr>
            <w:tcW w:w="1327" w:type="dxa"/>
            <w:tcBorders>
              <w:top w:val="single" w:sz="4" w:space="0" w:color="auto"/>
              <w:left w:val="single" w:sz="4" w:space="0" w:color="auto"/>
              <w:right w:val="single" w:sz="4"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tcBorders>
              <w:top w:val="single" w:sz="4" w:space="0" w:color="auto"/>
              <w:left w:val="single" w:sz="4" w:space="0" w:color="auto"/>
              <w:right w:val="single" w:sz="8" w:space="0" w:color="auto"/>
            </w:tcBorders>
            <w:shd w:val="clear" w:color="auto" w:fill="auto"/>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left w:val="single" w:sz="8" w:space="0" w:color="auto"/>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val="restart"/>
            <w:tcBorders>
              <w:top w:val="nil"/>
              <w:left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Technical issues of backup and service resiliency are covered later in this table.</w:t>
            </w:r>
          </w:p>
        </w:tc>
        <w:sdt>
          <w:sdtPr>
            <w:rPr>
              <w:rStyle w:val="Style9"/>
              <w:color w:val="auto"/>
              <w:sz w:val="96"/>
              <w:szCs w:val="96"/>
            </w:rPr>
            <w:id w:val="1328085008"/>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Pr="0060148A" w:rsidRDefault="00371BD2" w:rsidP="00371BD2">
                <w:pPr>
                  <w:spacing w:before="0" w:line="240" w:lineRule="auto"/>
                  <w:ind w:left="0"/>
                  <w:rPr>
                    <w:rStyle w:val="Style9"/>
                    <w:rFonts w:cs="Arial"/>
                    <w:b w:val="0"/>
                    <w:color w:val="auto"/>
                    <w:sz w:val="22"/>
                    <w:szCs w:val="22"/>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after="120" w:line="240" w:lineRule="auto"/>
              <w:ind w:left="0"/>
              <w:rPr>
                <w:rFonts w:eastAsia="Arial" w:cs="Arial"/>
                <w:sz w:val="16"/>
                <w:szCs w:val="16"/>
              </w:rPr>
            </w:pPr>
            <w:r w:rsidRPr="043A0D26">
              <w:rPr>
                <w:rFonts w:eastAsia="Arial" w:cs="Arial"/>
                <w:sz w:val="16"/>
                <w:szCs w:val="16"/>
              </w:rPr>
              <w:t>Our cloud servers are located in various world regional data centres to ensure maximum availability of your data.</w:t>
            </w:r>
            <w:r w:rsidR="002E48AB">
              <w:rPr>
                <w:rFonts w:eastAsia="Arial" w:cs="Arial"/>
                <w:sz w:val="16"/>
                <w:szCs w:val="16"/>
              </w:rPr>
              <w:t xml:space="preserve"> </w:t>
            </w:r>
          </w:p>
          <w:p w:rsidR="00371BD2" w:rsidRPr="00515C49" w:rsidRDefault="043A0D26" w:rsidP="00371BD2">
            <w:pPr>
              <w:spacing w:before="0" w:after="120" w:line="240" w:lineRule="auto"/>
              <w:ind w:left="0"/>
              <w:rPr>
                <w:rFonts w:cs="Arial"/>
                <w:i/>
                <w:sz w:val="16"/>
                <w:szCs w:val="16"/>
              </w:rPr>
            </w:pPr>
            <w:r w:rsidRPr="043A0D26">
              <w:rPr>
                <w:rFonts w:eastAsia="Arial" w:cs="Arial"/>
                <w:i/>
                <w:iCs/>
                <w:sz w:val="16"/>
                <w:szCs w:val="16"/>
              </w:rPr>
              <w:t>[Agency must understand if the data and service movement have adequate assurance that all service related data is managed within agency geographic, control and contract expectations]</w:t>
            </w:r>
          </w:p>
        </w:tc>
        <w:tc>
          <w:tcPr>
            <w:tcW w:w="1327" w:type="dxa"/>
            <w:tcBorders>
              <w:left w:val="single" w:sz="4" w:space="0" w:color="auto"/>
              <w:right w:val="single" w:sz="4"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tcBorders>
              <w:left w:val="single" w:sz="4" w:space="0" w:color="auto"/>
              <w:right w:val="single" w:sz="8" w:space="0" w:color="auto"/>
            </w:tcBorders>
            <w:shd w:val="clear" w:color="auto" w:fill="auto"/>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single" w:sz="4" w:space="0" w:color="auto"/>
              <w:left w:val="single" w:sz="4" w:space="0" w:color="auto"/>
              <w:bottom w:val="single" w:sz="4" w:space="0" w:color="auto"/>
              <w:right w:val="single" w:sz="4" w:space="0" w:color="auto"/>
            </w:tcBorders>
            <w:shd w:val="clear" w:color="auto" w:fill="ED7D31"/>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471751436"/>
            <w14:checkbox>
              <w14:checked w14:val="0"/>
              <w14:checkedState w14:val="0050" w14:font="Wingdings 2"/>
              <w14:uncheckedState w14:val="002A" w14:font="Wingdings 2"/>
            </w14:checkbox>
          </w:sdtPr>
          <w:sdtContent>
            <w:tc>
              <w:tcPr>
                <w:tcW w:w="1339" w:type="dxa"/>
                <w:tcBorders>
                  <w:left w:val="single" w:sz="4" w:space="0" w:color="auto"/>
                  <w:right w:val="single" w:sz="8" w:space="0" w:color="auto"/>
                </w:tcBorders>
                <w:shd w:val="clear" w:color="auto" w:fill="auto"/>
              </w:tcPr>
              <w:p w:rsidR="00371BD2" w:rsidRPr="0060148A" w:rsidRDefault="00371BD2" w:rsidP="00371BD2">
                <w:pPr>
                  <w:ind w:left="0"/>
                  <w:rPr>
                    <w:rStyle w:val="Style10"/>
                    <w:rFonts w:cs="Arial"/>
                    <w:b w:val="0"/>
                    <w:color w:val="auto"/>
                    <w:sz w:val="22"/>
                    <w:szCs w:val="22"/>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Default="00371BD2" w:rsidP="00371BD2">
            <w:pPr>
              <w:spacing w:before="0" w:line="240" w:lineRule="auto"/>
              <w:ind w:left="0"/>
              <w:rPr>
                <w:rFonts w:eastAsia="Arial" w:cs="Arial"/>
                <w:sz w:val="16"/>
                <w:szCs w:val="16"/>
              </w:rPr>
            </w:pPr>
          </w:p>
          <w:p w:rsidR="00371BD2" w:rsidRPr="00A33454" w:rsidRDefault="043A0D26" w:rsidP="00371BD2">
            <w:pPr>
              <w:spacing w:before="0" w:line="240" w:lineRule="auto"/>
              <w:ind w:left="0"/>
              <w:rPr>
                <w:rFonts w:cs="Arial"/>
                <w:i/>
                <w:sz w:val="16"/>
                <w:szCs w:val="16"/>
              </w:rPr>
            </w:pPr>
            <w:r w:rsidRPr="043A0D26">
              <w:rPr>
                <w:rFonts w:eastAsia="Arial" w:cs="Arial"/>
                <w:i/>
                <w:iCs/>
                <w:sz w:val="16"/>
                <w:szCs w:val="16"/>
              </w:rPr>
              <w:t>[Services with the only backups offshore and available solely through the main service provider should only be considered for low value information.]</w:t>
            </w:r>
          </w:p>
        </w:tc>
        <w:tc>
          <w:tcPr>
            <w:tcW w:w="1327" w:type="dxa"/>
            <w:tcBorders>
              <w:left w:val="single" w:sz="4" w:space="0" w:color="auto"/>
              <w:right w:val="single" w:sz="4"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tcBorders>
              <w:left w:val="single" w:sz="4" w:space="0" w:color="auto"/>
              <w:right w:val="single" w:sz="8" w:space="0" w:color="auto"/>
            </w:tcBorders>
            <w:shd w:val="clear" w:color="auto" w:fill="auto"/>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240"/>
        </w:trPr>
        <w:tc>
          <w:tcPr>
            <w:tcW w:w="21790" w:type="dxa"/>
            <w:gridSpan w:val="6"/>
            <w:tcBorders>
              <w:top w:val="single" w:sz="8" w:space="0" w:color="auto"/>
              <w:left w:val="single" w:sz="8" w:space="0" w:color="auto"/>
              <w:bottom w:val="single" w:sz="8" w:space="0" w:color="auto"/>
              <w:right w:val="single" w:sz="8" w:space="0" w:color="000000" w:themeColor="text1"/>
            </w:tcBorders>
            <w:shd w:val="clear" w:color="auto" w:fill="0070C0"/>
          </w:tcPr>
          <w:p w:rsidR="00371BD2" w:rsidRPr="00515C49" w:rsidRDefault="043A0D26" w:rsidP="00371BD2">
            <w:pPr>
              <w:spacing w:before="0" w:line="240" w:lineRule="auto"/>
              <w:ind w:left="0"/>
              <w:rPr>
                <w:rFonts w:cs="Arial"/>
                <w:b/>
                <w:color w:val="FFFFFF" w:themeColor="background1"/>
                <w:sz w:val="16"/>
                <w:szCs w:val="16"/>
              </w:rPr>
            </w:pPr>
            <w:r w:rsidRPr="043A0D26">
              <w:rPr>
                <w:rFonts w:eastAsia="Arial" w:cs="Arial"/>
                <w:b/>
                <w:bCs/>
                <w:color w:val="FFFFFF" w:themeColor="background1"/>
                <w:sz w:val="16"/>
                <w:szCs w:val="16"/>
              </w:rPr>
              <w:t>Section 2. Hosting support services</w:t>
            </w:r>
          </w:p>
        </w:tc>
      </w:tr>
      <w:tr w:rsidR="00371BD2" w:rsidRPr="00515C49" w:rsidTr="043A0D26">
        <w:trPr>
          <w:trHeight w:val="480"/>
        </w:trPr>
        <w:tc>
          <w:tcPr>
            <w:tcW w:w="2793" w:type="dxa"/>
            <w:tcBorders>
              <w:top w:val="nil"/>
              <w:left w:val="single" w:sz="8"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lang w:eastAsia="en-AU"/>
              </w:rPr>
            </w:pPr>
            <w:r w:rsidRPr="043A0D26">
              <w:rPr>
                <w:rFonts w:eastAsia="Arial" w:cs="Arial"/>
                <w:color w:val="000000" w:themeColor="text1"/>
                <w:sz w:val="16"/>
                <w:szCs w:val="16"/>
              </w:rPr>
              <w:t>What backup and service log retention options are available along with recovery and analysis support?</w:t>
            </w:r>
          </w:p>
          <w:p w:rsidR="00371BD2" w:rsidRPr="00515C49" w:rsidRDefault="00371BD2" w:rsidP="00371BD2">
            <w:pPr>
              <w:spacing w:before="0" w:line="240" w:lineRule="auto"/>
              <w:ind w:left="0"/>
              <w:rPr>
                <w:rFonts w:cs="Arial"/>
                <w:color w:val="000000"/>
                <w:sz w:val="16"/>
                <w:szCs w:val="16"/>
              </w:rPr>
            </w:pPr>
          </w:p>
        </w:tc>
        <w:tc>
          <w:tcPr>
            <w:tcW w:w="7159" w:type="dxa"/>
            <w:tcBorders>
              <w:top w:val="nil"/>
              <w:left w:val="nil"/>
              <w:bottom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lang w:eastAsia="en-AU"/>
              </w:rPr>
            </w:pPr>
            <w:r w:rsidRPr="043A0D26">
              <w:rPr>
                <w:rFonts w:eastAsia="Arial" w:cs="Arial"/>
                <w:color w:val="000000" w:themeColor="text1"/>
                <w:sz w:val="16"/>
                <w:szCs w:val="16"/>
              </w:rPr>
              <w:t>If backups and service logs are continually provided and captured within the control of the department or agency, then the risk level is as low as any other internal data source.</w:t>
            </w:r>
            <w:r w:rsidR="002E48AB">
              <w:rPr>
                <w:rFonts w:eastAsia="Arial" w:cs="Arial"/>
                <w:color w:val="000000" w:themeColor="text1"/>
                <w:sz w:val="16"/>
                <w:szCs w:val="16"/>
              </w:rPr>
              <w:t xml:space="preserve"> </w:t>
            </w:r>
            <w:r w:rsidRPr="043A0D26">
              <w:rPr>
                <w:rFonts w:eastAsia="Arial" w:cs="Arial"/>
                <w:color w:val="000000" w:themeColor="text1"/>
                <w:sz w:val="16"/>
                <w:szCs w:val="16"/>
              </w:rPr>
              <w:t>Check that data ownership and custodianship has been correctly identified.</w:t>
            </w:r>
          </w:p>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60925146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Pr="0060148A" w:rsidRDefault="00371BD2" w:rsidP="00371BD2">
                <w:pPr>
                  <w:spacing w:before="0" w:line="240" w:lineRule="auto"/>
                  <w:ind w:left="0"/>
                  <w:rPr>
                    <w:rStyle w:val="Style9"/>
                    <w:rFonts w:cs="Arial"/>
                    <w:b w:val="0"/>
                    <w:color w:val="auto"/>
                    <w:sz w:val="22"/>
                    <w:szCs w:val="22"/>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lang w:eastAsia="en-AU"/>
              </w:rPr>
            </w:pPr>
            <w:r w:rsidRPr="043A0D26">
              <w:rPr>
                <w:rFonts w:eastAsia="Arial" w:cs="Arial"/>
                <w:sz w:val="16"/>
                <w:szCs w:val="16"/>
              </w:rPr>
              <w:t>Under the proposed service all backups are controlled by the department/agency and are dealt with in accordance with Queensland government guidelines.</w:t>
            </w:r>
            <w:r w:rsidR="002E48AB">
              <w:rPr>
                <w:rFonts w:eastAsia="Arial" w:cs="Arial"/>
                <w:sz w:val="16"/>
                <w:szCs w:val="16"/>
              </w:rPr>
              <w:t xml:space="preserve"> </w:t>
            </w:r>
            <w:r w:rsidRPr="043A0D26">
              <w:rPr>
                <w:rFonts w:eastAsia="Arial" w:cs="Arial"/>
                <w:sz w:val="16"/>
                <w:szCs w:val="16"/>
              </w:rPr>
              <w:t>Recovery points and times to move data under recovery situation have been demonstrated to be within acceptable recovery time objectives.</w:t>
            </w:r>
            <w:r w:rsidR="002E48AB">
              <w:rPr>
                <w:rFonts w:eastAsia="Arial" w:cs="Arial"/>
                <w:sz w:val="16"/>
                <w:szCs w:val="16"/>
              </w:rPr>
              <w:t xml:space="preserve"> </w:t>
            </w:r>
            <w:r w:rsidRPr="043A0D26">
              <w:rPr>
                <w:rFonts w:eastAsia="Arial" w:cs="Arial"/>
                <w:sz w:val="16"/>
                <w:szCs w:val="16"/>
              </w:rPr>
              <w:t>Data transition-out of the service and/or into another service is covered under the contract and technical provisions to support it are understood.</w:t>
            </w:r>
          </w:p>
          <w:p w:rsidR="00371BD2" w:rsidRPr="00515C49" w:rsidRDefault="00371BD2" w:rsidP="00371BD2">
            <w:pPr>
              <w:spacing w:before="0" w:line="240" w:lineRule="auto"/>
              <w:ind w:left="0"/>
              <w:rPr>
                <w:rFonts w:cs="Arial"/>
                <w:sz w:val="16"/>
                <w:szCs w:val="16"/>
              </w:rPr>
            </w:pPr>
          </w:p>
        </w:tc>
        <w:tc>
          <w:tcPr>
            <w:tcW w:w="1327" w:type="dxa"/>
            <w:tcBorders>
              <w:top w:val="nil"/>
              <w:left w:val="single" w:sz="4" w:space="0" w:color="auto"/>
              <w:bottom w:val="nil"/>
              <w:right w:val="single" w:sz="4" w:space="0" w:color="auto"/>
            </w:tcBorders>
            <w:shd w:val="clear" w:color="auto" w:fill="00B05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Low</w:t>
            </w:r>
          </w:p>
        </w:tc>
        <w:tc>
          <w:tcPr>
            <w:tcW w:w="1440" w:type="dxa"/>
            <w:tcBorders>
              <w:top w:val="nil"/>
              <w:left w:val="single" w:sz="4"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p w:rsidR="00371BD2" w:rsidRPr="00515C49" w:rsidRDefault="043A0D26" w:rsidP="00371BD2">
            <w:pPr>
              <w:spacing w:before="0" w:line="240" w:lineRule="auto"/>
              <w:ind w:left="0"/>
              <w:rPr>
                <w:rFonts w:cs="Arial"/>
                <w:color w:val="000000"/>
                <w:sz w:val="16"/>
                <w:szCs w:val="16"/>
                <w:lang w:eastAsia="en-AU"/>
              </w:rPr>
            </w:pPr>
            <w:r w:rsidRPr="043A0D26">
              <w:rPr>
                <w:rFonts w:eastAsia="Arial" w:cs="Arial"/>
                <w:color w:val="000000" w:themeColor="text1"/>
                <w:sz w:val="16"/>
                <w:szCs w:val="16"/>
              </w:rPr>
              <w:t>IAM-04, IAM-05, IAM-07</w:t>
            </w:r>
          </w:p>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tcBorders>
              <w:top w:val="nil"/>
              <w:left w:val="single" w:sz="8"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FFFFFF"/>
                <w:sz w:val="16"/>
                <w:szCs w:val="16"/>
              </w:rPr>
            </w:pPr>
            <w:r w:rsidRPr="043A0D26">
              <w:rPr>
                <w:rFonts w:eastAsia="Arial" w:cs="Arial"/>
                <w:color w:val="FFFFFF" w:themeColor="background1"/>
                <w:sz w:val="16"/>
                <w:szCs w:val="16"/>
              </w:rPr>
              <w:t> </w:t>
            </w:r>
          </w:p>
        </w:tc>
        <w:tc>
          <w:tcPr>
            <w:tcW w:w="7159" w:type="dxa"/>
            <w:tcBorders>
              <w:top w:val="nil"/>
              <w:left w:val="nil"/>
              <w:bottom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lang w:eastAsia="en-AU"/>
              </w:rPr>
            </w:pPr>
            <w:r w:rsidRPr="043A0D26">
              <w:rPr>
                <w:rFonts w:eastAsia="Arial" w:cs="Arial"/>
                <w:color w:val="000000" w:themeColor="text1"/>
                <w:sz w:val="16"/>
                <w:szCs w:val="16"/>
              </w:rPr>
              <w:t>Failure to retain access to independent, common mode fail safe recovery copies of data may be acceptable for low value data, however access to trustworthy recovery snapshots from a range of time periods is generally required for disaster recovery (including security incidents), service disputes and transition out support.</w:t>
            </w:r>
            <w:r w:rsidR="002E48AB">
              <w:rPr>
                <w:rFonts w:eastAsia="Arial" w:cs="Arial"/>
                <w:color w:val="000000" w:themeColor="text1"/>
                <w:sz w:val="16"/>
                <w:szCs w:val="16"/>
              </w:rPr>
              <w:t xml:space="preserve"> </w:t>
            </w:r>
            <w:r w:rsidRPr="043A0D26">
              <w:rPr>
                <w:rFonts w:eastAsia="Arial" w:cs="Arial"/>
                <w:color w:val="000000" w:themeColor="text1"/>
                <w:sz w:val="16"/>
                <w:szCs w:val="16"/>
              </w:rPr>
              <w:t>An additional challenge with remotely hosted services can be data transfer times to or between service sites and from backup data copies.</w:t>
            </w:r>
          </w:p>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8058836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Pr="0060148A" w:rsidRDefault="00371BD2" w:rsidP="00371BD2">
                <w:pPr>
                  <w:ind w:left="0"/>
                  <w:rPr>
                    <w:rStyle w:val="Style10"/>
                    <w:rFonts w:cs="Arial"/>
                    <w:b w:val="0"/>
                    <w:color w:val="auto"/>
                    <w:sz w:val="22"/>
                    <w:szCs w:val="22"/>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 xml:space="preserve">Service application programming interfaces (APIs) are available to enable backup and log access. </w:t>
            </w:r>
          </w:p>
          <w:p w:rsidR="00371BD2" w:rsidRPr="00515C49" w:rsidRDefault="043A0D26" w:rsidP="00371BD2">
            <w:pPr>
              <w:spacing w:before="0" w:line="240" w:lineRule="auto"/>
              <w:ind w:left="0"/>
              <w:rPr>
                <w:rFonts w:eastAsia="Arial" w:cs="Arial"/>
                <w:i/>
                <w:sz w:val="16"/>
                <w:szCs w:val="16"/>
              </w:rPr>
            </w:pPr>
            <w:r w:rsidRPr="043A0D26">
              <w:rPr>
                <w:rFonts w:eastAsia="Arial" w:cs="Arial"/>
                <w:i/>
                <w:iCs/>
                <w:sz w:val="16"/>
                <w:szCs w:val="16"/>
              </w:rPr>
              <w:t>[Agencies should understand the opportunity and risks.</w:t>
            </w:r>
            <w:r w:rsidR="002E48AB">
              <w:rPr>
                <w:rFonts w:eastAsia="Arial" w:cs="Arial"/>
                <w:i/>
                <w:iCs/>
                <w:sz w:val="16"/>
                <w:szCs w:val="16"/>
              </w:rPr>
              <w:t xml:space="preserve"> </w:t>
            </w:r>
            <w:r w:rsidRPr="043A0D26">
              <w:rPr>
                <w:rFonts w:eastAsia="Arial" w:cs="Arial"/>
                <w:i/>
                <w:iCs/>
                <w:sz w:val="16"/>
                <w:szCs w:val="16"/>
              </w:rPr>
              <w:t>Agencies should understand the cost and practicality of using the API.]</w:t>
            </w:r>
          </w:p>
          <w:p w:rsidR="00371BD2" w:rsidRPr="00515C49" w:rsidRDefault="00371BD2" w:rsidP="00371BD2">
            <w:pPr>
              <w:spacing w:before="0" w:line="240" w:lineRule="auto"/>
              <w:ind w:left="0"/>
              <w:rPr>
                <w:rFonts w:eastAsia="Arial" w:cs="Arial"/>
                <w:i/>
                <w:sz w:val="16"/>
                <w:szCs w:val="16"/>
              </w:rPr>
            </w:pPr>
            <w:r>
              <w:br/>
            </w:r>
            <w:r w:rsidR="043A0D26" w:rsidRPr="043A0D26">
              <w:rPr>
                <w:rFonts w:eastAsia="Arial" w:cs="Arial"/>
                <w:sz w:val="16"/>
                <w:szCs w:val="16"/>
              </w:rPr>
              <w:t>Backup options are available within the service as are log access functions.</w:t>
            </w:r>
            <w:r w:rsidR="043A0D26" w:rsidRPr="043A0D26">
              <w:rPr>
                <w:rFonts w:eastAsia="Arial" w:cs="Arial"/>
                <w:i/>
                <w:iCs/>
                <w:sz w:val="16"/>
                <w:szCs w:val="16"/>
              </w:rPr>
              <w:t xml:space="preserve"> </w:t>
            </w:r>
          </w:p>
          <w:p w:rsidR="00371BD2" w:rsidRPr="00515C49" w:rsidRDefault="043A0D26" w:rsidP="00371BD2">
            <w:pPr>
              <w:spacing w:before="0" w:line="240" w:lineRule="auto"/>
              <w:ind w:left="0"/>
              <w:rPr>
                <w:rFonts w:eastAsia="Arial" w:cs="Arial"/>
                <w:i/>
                <w:sz w:val="16"/>
                <w:szCs w:val="16"/>
              </w:rPr>
            </w:pPr>
            <w:r w:rsidRPr="043A0D26">
              <w:rPr>
                <w:rFonts w:eastAsia="Arial" w:cs="Arial"/>
                <w:i/>
                <w:iCs/>
                <w:sz w:val="16"/>
                <w:szCs w:val="16"/>
              </w:rPr>
              <w:t>[Agencies should understand exactly what is offered and assess against business objectives]</w:t>
            </w:r>
          </w:p>
          <w:p w:rsidR="00371BD2" w:rsidRPr="00515C49" w:rsidRDefault="00371BD2" w:rsidP="00371BD2">
            <w:pPr>
              <w:spacing w:before="0" w:line="240" w:lineRule="auto"/>
              <w:ind w:left="0"/>
              <w:rPr>
                <w:rFonts w:cs="Arial"/>
                <w:i/>
                <w:sz w:val="16"/>
                <w:szCs w:val="16"/>
              </w:rPr>
            </w:pPr>
          </w:p>
        </w:tc>
        <w:tc>
          <w:tcPr>
            <w:tcW w:w="1327" w:type="dxa"/>
            <w:tcBorders>
              <w:top w:val="nil"/>
              <w:left w:val="single" w:sz="4" w:space="0" w:color="auto"/>
              <w:bottom w:val="nil"/>
              <w:right w:val="single" w:sz="4" w:space="0" w:color="auto"/>
            </w:tcBorders>
            <w:shd w:val="clear" w:color="auto" w:fill="FF990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Medium</w:t>
            </w:r>
          </w:p>
        </w:tc>
        <w:tc>
          <w:tcPr>
            <w:tcW w:w="1440" w:type="dxa"/>
            <w:tcBorders>
              <w:top w:val="nil"/>
              <w:left w:val="single" w:sz="4"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tcBorders>
              <w:top w:val="nil"/>
              <w:left w:val="single" w:sz="8"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FFFFFF"/>
                <w:sz w:val="16"/>
                <w:szCs w:val="16"/>
              </w:rPr>
            </w:pPr>
            <w:r w:rsidRPr="043A0D26">
              <w:rPr>
                <w:rFonts w:eastAsia="Arial" w:cs="Arial"/>
                <w:color w:val="FFFFFF" w:themeColor="background1"/>
                <w:sz w:val="16"/>
                <w:szCs w:val="16"/>
              </w:rPr>
              <w:lastRenderedPageBreak/>
              <w:t> </w:t>
            </w:r>
          </w:p>
        </w:tc>
        <w:tc>
          <w:tcPr>
            <w:tcW w:w="7159" w:type="dxa"/>
            <w:tcBorders>
              <w:top w:val="nil"/>
              <w:left w:val="nil"/>
              <w:bottom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Agencies should understand the nature of any data backup and recovery mechanisms, its degree of separation from the main service, along with times to utilise the backups in a recovery situation. Additionally, traditional considerations such as recovery time objective, recovery point objective and recovery retention objectives should be well understood. Similarly, any business expectation around service log retention and analysis capability should be understood, along with the proposed service's ability to meet the expectations.</w:t>
            </w:r>
          </w:p>
        </w:tc>
        <w:sdt>
          <w:sdtPr>
            <w:rPr>
              <w:rStyle w:val="Style9"/>
              <w:color w:val="auto"/>
              <w:sz w:val="96"/>
              <w:szCs w:val="96"/>
            </w:rPr>
            <w:id w:val="178106450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Pr="0060148A" w:rsidRDefault="00371BD2" w:rsidP="00371BD2">
                <w:pPr>
                  <w:spacing w:before="0" w:line="240" w:lineRule="auto"/>
                  <w:ind w:left="0"/>
                  <w:rPr>
                    <w:rStyle w:val="Style11"/>
                    <w:rFonts w:cs="Arial"/>
                    <w:b w:val="0"/>
                    <w:color w:val="auto"/>
                    <w:sz w:val="22"/>
                    <w:szCs w:val="22"/>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The service is highly available.</w:t>
            </w:r>
            <w:r w:rsidR="002E48AB">
              <w:rPr>
                <w:rFonts w:eastAsia="Arial" w:cs="Arial"/>
                <w:sz w:val="16"/>
                <w:szCs w:val="16"/>
              </w:rPr>
              <w:t xml:space="preserve"> </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eastAsia="Arial" w:cs="Arial"/>
                <w:i/>
                <w:sz w:val="16"/>
                <w:szCs w:val="16"/>
              </w:rPr>
            </w:pPr>
            <w:r w:rsidRPr="043A0D26">
              <w:rPr>
                <w:rFonts w:eastAsia="Arial" w:cs="Arial"/>
                <w:i/>
                <w:iCs/>
                <w:sz w:val="16"/>
                <w:szCs w:val="16"/>
              </w:rPr>
              <w:t>[Agency has not been able to confirm backup and recovery options, protection from common failures of both the service and backup environment or the ability to recover the service]</w:t>
            </w:r>
          </w:p>
          <w:p w:rsidR="00371BD2" w:rsidRPr="00515C49" w:rsidRDefault="00371BD2" w:rsidP="00371BD2">
            <w:pPr>
              <w:spacing w:before="0" w:line="240" w:lineRule="auto"/>
              <w:ind w:left="0"/>
              <w:rPr>
                <w:rFonts w:cs="Arial"/>
                <w:i/>
                <w:sz w:val="16"/>
                <w:szCs w:val="16"/>
                <w:lang w:eastAsia="en-AU"/>
              </w:rPr>
            </w:pPr>
          </w:p>
          <w:p w:rsidR="00371BD2" w:rsidRPr="00462879" w:rsidRDefault="043A0D26" w:rsidP="00371BD2">
            <w:pPr>
              <w:spacing w:before="0" w:line="240" w:lineRule="auto"/>
              <w:ind w:left="0"/>
              <w:rPr>
                <w:rFonts w:cs="Arial"/>
                <w:i/>
                <w:sz w:val="16"/>
                <w:szCs w:val="16"/>
              </w:rPr>
            </w:pPr>
            <w:r w:rsidRPr="043A0D26">
              <w:rPr>
                <w:rFonts w:eastAsia="Arial" w:cs="Arial"/>
                <w:i/>
                <w:iCs/>
                <w:sz w:val="16"/>
                <w:szCs w:val="16"/>
              </w:rPr>
              <w:t>[Even though the supplier makes the statement ‘the service is highly available’, there is no assurance for the statement’s veracity.]</w:t>
            </w:r>
          </w:p>
        </w:tc>
        <w:tc>
          <w:tcPr>
            <w:tcW w:w="1327" w:type="dxa"/>
            <w:tcBorders>
              <w:top w:val="nil"/>
              <w:left w:val="single" w:sz="4" w:space="0" w:color="auto"/>
              <w:bottom w:val="single" w:sz="4" w:space="0" w:color="auto"/>
              <w:right w:val="single" w:sz="4"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tcBorders>
              <w:top w:val="nil"/>
              <w:left w:val="single" w:sz="4" w:space="0" w:color="auto"/>
              <w:bottom w:val="single" w:sz="4"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660"/>
        </w:trPr>
        <w:tc>
          <w:tcPr>
            <w:tcW w:w="2793" w:type="dxa"/>
            <w:vMerge w:val="restart"/>
            <w:tcBorders>
              <w:top w:val="single" w:sz="8" w:space="0" w:color="auto"/>
              <w:left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lang w:eastAsia="en-AU"/>
              </w:rPr>
            </w:pPr>
            <w:r w:rsidRPr="043A0D26">
              <w:rPr>
                <w:rFonts w:eastAsia="Arial" w:cs="Arial"/>
                <w:color w:val="000000" w:themeColor="text1"/>
                <w:sz w:val="16"/>
                <w:szCs w:val="16"/>
              </w:rPr>
              <w:t>When providing support, what controls and visibility of access are available to assure the customer that the access is appropriate and limited?</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c>
          <w:tcPr>
            <w:tcW w:w="7159" w:type="dxa"/>
            <w:vMerge w:val="restart"/>
            <w:tcBorders>
              <w:top w:val="single" w:sz="8" w:space="0" w:color="auto"/>
              <w:left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lang w:eastAsia="en-AU"/>
              </w:rPr>
            </w:pPr>
            <w:r w:rsidRPr="043A0D26">
              <w:rPr>
                <w:rFonts w:eastAsia="Arial" w:cs="Arial"/>
                <w:color w:val="000000" w:themeColor="text1"/>
                <w:sz w:val="16"/>
                <w:szCs w:val="16"/>
              </w:rPr>
              <w:t>If the data is likely to be accessed by the ‘</w:t>
            </w:r>
            <w:r w:rsidR="007C4D03">
              <w:rPr>
                <w:rFonts w:eastAsia="Arial" w:cs="Arial"/>
                <w:color w:val="000000" w:themeColor="text1"/>
                <w:sz w:val="16"/>
                <w:szCs w:val="16"/>
              </w:rPr>
              <w:t>as-a-service</w:t>
            </w:r>
            <w:r w:rsidRPr="043A0D26">
              <w:rPr>
                <w:rFonts w:eastAsia="Arial" w:cs="Arial"/>
                <w:color w:val="000000" w:themeColor="text1"/>
                <w:sz w:val="16"/>
                <w:szCs w:val="16"/>
              </w:rPr>
              <w:t>’ provider’s staff, then those staff will need to be located in Australia (or as otherwise agreed as per section 1 of this checklist).</w:t>
            </w:r>
            <w:r w:rsidR="002E48AB">
              <w:rPr>
                <w:rFonts w:eastAsia="Arial" w:cs="Arial"/>
                <w:color w:val="000000" w:themeColor="text1"/>
                <w:sz w:val="16"/>
                <w:szCs w:val="16"/>
              </w:rPr>
              <w:t xml:space="preserve"> </w:t>
            </w:r>
          </w:p>
          <w:p w:rsidR="00371BD2" w:rsidRPr="00515C49" w:rsidRDefault="043A0D26" w:rsidP="00371BD2">
            <w:pPr>
              <w:spacing w:before="0" w:line="240" w:lineRule="auto"/>
              <w:ind w:left="0"/>
              <w:rPr>
                <w:rFonts w:cs="Arial"/>
                <w:color w:val="000000"/>
                <w:sz w:val="16"/>
                <w:szCs w:val="16"/>
              </w:rPr>
            </w:pPr>
            <w:r w:rsidRPr="043A0D26">
              <w:rPr>
                <w:rFonts w:ascii="Arial,Calibri" w:eastAsia="Arial,Calibri" w:hAnsi="Arial,Calibri" w:cs="Arial,Calibri"/>
                <w:color w:val="000000" w:themeColor="text1"/>
                <w:sz w:val="16"/>
                <w:szCs w:val="16"/>
              </w:rPr>
              <w:t> </w:t>
            </w:r>
          </w:p>
        </w:tc>
        <w:sdt>
          <w:sdtPr>
            <w:rPr>
              <w:rStyle w:val="Style9"/>
              <w:color w:val="auto"/>
              <w:sz w:val="96"/>
              <w:szCs w:val="96"/>
            </w:rPr>
            <w:id w:val="1641689114"/>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Pr="0060148A" w:rsidRDefault="00371BD2" w:rsidP="00371BD2">
                <w:pPr>
                  <w:ind w:left="0"/>
                  <w:rPr>
                    <w:szCs w:val="22"/>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Default="043A0D26" w:rsidP="00371BD2">
            <w:pPr>
              <w:spacing w:before="0" w:line="240" w:lineRule="auto"/>
              <w:ind w:left="0"/>
              <w:rPr>
                <w:rFonts w:eastAsia="Arial" w:cs="Arial"/>
                <w:sz w:val="16"/>
                <w:szCs w:val="16"/>
              </w:rPr>
            </w:pPr>
            <w:r w:rsidRPr="043A0D26">
              <w:rPr>
                <w:rFonts w:eastAsia="Arial" w:cs="Arial"/>
                <w:sz w:val="16"/>
                <w:szCs w:val="16"/>
              </w:rPr>
              <w:t>Any data that is to be accessed by vendor staff is only done so after prior notification and approval.</w:t>
            </w:r>
            <w:r w:rsidR="002E48AB">
              <w:rPr>
                <w:rFonts w:eastAsia="Arial" w:cs="Arial"/>
                <w:sz w:val="16"/>
                <w:szCs w:val="16"/>
              </w:rPr>
              <w:t xml:space="preserve"> </w:t>
            </w:r>
            <w:r w:rsidRPr="043A0D26">
              <w:rPr>
                <w:rFonts w:eastAsia="Arial" w:cs="Arial"/>
                <w:sz w:val="16"/>
                <w:szCs w:val="16"/>
              </w:rPr>
              <w:t>Vendor identifies a range of specific technical, logging and customer visibility controls that provide customer confidence of at least the ability to detect and respond to service provider data access.</w:t>
            </w:r>
            <w:r w:rsidR="002E48AB">
              <w:rPr>
                <w:rFonts w:eastAsia="Arial" w:cs="Arial"/>
                <w:sz w:val="16"/>
                <w:szCs w:val="16"/>
              </w:rPr>
              <w:t xml:space="preserve"> </w:t>
            </w:r>
            <w:r w:rsidRPr="043A0D26">
              <w:rPr>
                <w:rFonts w:eastAsia="Arial" w:cs="Arial"/>
                <w:sz w:val="16"/>
                <w:szCs w:val="16"/>
              </w:rPr>
              <w:t>The service as provided has been assured by XYZ [e.g. ASD certified cloud service] for ABC information.</w:t>
            </w:r>
            <w:r w:rsidR="002E48AB">
              <w:rPr>
                <w:rFonts w:eastAsia="Arial" w:cs="Arial"/>
                <w:sz w:val="16"/>
                <w:szCs w:val="16"/>
              </w:rPr>
              <w:t xml:space="preserve"> </w:t>
            </w:r>
            <w:r w:rsidRPr="043A0D26">
              <w:rPr>
                <w:rFonts w:eastAsia="Arial" w:cs="Arial"/>
                <w:sz w:val="16"/>
                <w:szCs w:val="16"/>
              </w:rPr>
              <w:t>All staff with access to data have had XYZ background check processes</w:t>
            </w:r>
          </w:p>
          <w:p w:rsidR="00371BD2"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sz w:val="16"/>
                <w:szCs w:val="16"/>
                <w:lang w:eastAsia="en-AU"/>
              </w:rPr>
            </w:pPr>
            <w:r w:rsidRPr="043A0D26">
              <w:rPr>
                <w:rFonts w:eastAsia="Arial" w:cs="Arial"/>
                <w:i/>
                <w:iCs/>
                <w:sz w:val="16"/>
                <w:szCs w:val="16"/>
              </w:rPr>
              <w:t xml:space="preserve">[Agency is satisfied with the staff background/vetting process appropriateness given the data involved and/or with the assurance of the technical control environment] </w:t>
            </w:r>
          </w:p>
          <w:p w:rsidR="00371BD2" w:rsidRPr="00515C49" w:rsidRDefault="00371BD2" w:rsidP="00371BD2">
            <w:pPr>
              <w:spacing w:before="0" w:line="240" w:lineRule="auto"/>
              <w:ind w:left="0"/>
              <w:rPr>
                <w:rFonts w:cs="Arial"/>
                <w:sz w:val="16"/>
                <w:szCs w:val="16"/>
              </w:rPr>
            </w:pPr>
          </w:p>
        </w:tc>
        <w:tc>
          <w:tcPr>
            <w:tcW w:w="1327" w:type="dxa"/>
            <w:tcBorders>
              <w:top w:val="single" w:sz="4" w:space="0" w:color="auto"/>
              <w:left w:val="single" w:sz="4" w:space="0" w:color="auto"/>
              <w:bottom w:val="single" w:sz="8" w:space="0" w:color="000000" w:themeColor="text1"/>
              <w:right w:val="single" w:sz="4" w:space="0" w:color="auto"/>
            </w:tcBorders>
            <w:shd w:val="clear" w:color="auto" w:fill="00B05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Low</w:t>
            </w:r>
          </w:p>
        </w:tc>
        <w:tc>
          <w:tcPr>
            <w:tcW w:w="1440" w:type="dxa"/>
            <w:vMerge w:val="restart"/>
            <w:tcBorders>
              <w:top w:val="single" w:sz="4" w:space="0" w:color="auto"/>
              <w:left w:val="single" w:sz="4"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p w:rsidR="00371BD2" w:rsidRPr="00515C49" w:rsidRDefault="043A0D26" w:rsidP="00371BD2">
            <w:pPr>
              <w:spacing w:before="0" w:line="240" w:lineRule="auto"/>
              <w:ind w:left="0"/>
              <w:rPr>
                <w:rFonts w:cs="Arial"/>
                <w:color w:val="000000"/>
                <w:sz w:val="16"/>
                <w:szCs w:val="16"/>
                <w:lang w:eastAsia="en-AU"/>
              </w:rPr>
            </w:pPr>
            <w:r w:rsidRPr="043A0D26">
              <w:rPr>
                <w:rFonts w:eastAsia="Arial" w:cs="Arial"/>
                <w:color w:val="000000" w:themeColor="text1"/>
                <w:sz w:val="16"/>
                <w:szCs w:val="16"/>
              </w:rPr>
              <w:t>DSI-02, DSI-03, DCS-01</w:t>
            </w:r>
          </w:p>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220"/>
        </w:trPr>
        <w:tc>
          <w:tcPr>
            <w:tcW w:w="2793" w:type="dxa"/>
            <w:vMerge/>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single" w:sz="4" w:space="0" w:color="auto"/>
              <w:left w:val="single" w:sz="4" w:space="0" w:color="auto"/>
              <w:bottom w:val="single" w:sz="4" w:space="0" w:color="auto"/>
              <w:right w:val="single" w:sz="4" w:space="0" w:color="auto"/>
            </w:tcBorders>
            <w:shd w:val="clear" w:color="auto" w:fill="ED7D31"/>
            <w:noWrap/>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905526893"/>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371BD2" w:rsidRPr="0060148A" w:rsidRDefault="00371BD2" w:rsidP="00371BD2">
                <w:pPr>
                  <w:ind w:left="0"/>
                  <w:rPr>
                    <w:szCs w:val="22"/>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A description of the security model, service staff access and logging options are attached. XYZ independent reviews are available after a non-disclosure agreement (NDA)</w:t>
            </w:r>
          </w:p>
        </w:tc>
        <w:tc>
          <w:tcPr>
            <w:tcW w:w="1327" w:type="dxa"/>
            <w:tcBorders>
              <w:top w:val="nil"/>
              <w:left w:val="single" w:sz="4" w:space="0" w:color="auto"/>
              <w:bottom w:val="single" w:sz="8" w:space="0" w:color="000000" w:themeColor="text1"/>
              <w:right w:val="single" w:sz="4"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4"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single" w:sz="4" w:space="0" w:color="auto"/>
              <w:left w:val="single" w:sz="4" w:space="0" w:color="auto"/>
              <w:bottom w:val="single" w:sz="4" w:space="0" w:color="auto"/>
              <w:right w:val="single" w:sz="4" w:space="0" w:color="auto"/>
            </w:tcBorders>
            <w:shd w:val="clear" w:color="auto" w:fill="FF0000"/>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06815264"/>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Pr="0060148A" w:rsidRDefault="00371BD2" w:rsidP="00371BD2">
                <w:pPr>
                  <w:ind w:left="0"/>
                  <w:rPr>
                    <w:szCs w:val="22"/>
                  </w:rPr>
                </w:pPr>
                <w:r>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 xml:space="preserve"> We use best practices but will not disclose information about our internal process for security reasons.</w:t>
            </w:r>
          </w:p>
          <w:p w:rsidR="00371BD2" w:rsidRPr="00515C49" w:rsidRDefault="00371BD2" w:rsidP="00371BD2">
            <w:pPr>
              <w:spacing w:before="0" w:line="240" w:lineRule="auto"/>
              <w:ind w:left="0"/>
              <w:rPr>
                <w:rFonts w:eastAsia="Arial" w:cs="Arial"/>
                <w:sz w:val="16"/>
                <w:szCs w:val="16"/>
              </w:rPr>
            </w:pPr>
          </w:p>
          <w:p w:rsidR="00371BD2" w:rsidRPr="002E544F" w:rsidRDefault="043A0D26" w:rsidP="00371BD2">
            <w:pPr>
              <w:spacing w:before="0" w:line="240" w:lineRule="auto"/>
              <w:ind w:left="0"/>
              <w:rPr>
                <w:rFonts w:cs="Arial"/>
                <w:i/>
                <w:sz w:val="16"/>
                <w:szCs w:val="16"/>
              </w:rPr>
            </w:pPr>
            <w:r w:rsidRPr="043A0D26">
              <w:rPr>
                <w:rFonts w:eastAsia="Arial" w:cs="Arial"/>
                <w:i/>
                <w:iCs/>
                <w:sz w:val="16"/>
                <w:szCs w:val="16"/>
              </w:rPr>
              <w:t>[Unless the service is of a truly trivial nature with no sensitivity, some degree of assurance should be achieved]</w:t>
            </w:r>
            <w:r w:rsidR="002E48AB">
              <w:rPr>
                <w:rFonts w:eastAsia="Arial" w:cs="Arial"/>
                <w:i/>
                <w:iCs/>
                <w:sz w:val="16"/>
                <w:szCs w:val="16"/>
              </w:rPr>
              <w:t xml:space="preserve"> </w:t>
            </w:r>
          </w:p>
        </w:tc>
        <w:tc>
          <w:tcPr>
            <w:tcW w:w="1327" w:type="dxa"/>
            <w:tcBorders>
              <w:top w:val="single" w:sz="8" w:space="0" w:color="auto"/>
              <w:left w:val="single" w:sz="4" w:space="0" w:color="auto"/>
              <w:bottom w:val="single" w:sz="8" w:space="0" w:color="000000" w:themeColor="text1"/>
              <w:right w:val="single" w:sz="4" w:space="0" w:color="auto"/>
            </w:tcBorders>
            <w:shd w:val="clear" w:color="auto" w:fill="FF0000"/>
          </w:tcPr>
          <w:p w:rsidR="00371BD2" w:rsidRPr="00515C49" w:rsidRDefault="00371BD2" w:rsidP="00371BD2">
            <w:pPr>
              <w:spacing w:before="0" w:line="240" w:lineRule="auto"/>
              <w:ind w:left="0"/>
              <w:rPr>
                <w:rFonts w:cs="Arial"/>
                <w:color w:val="000000"/>
                <w:sz w:val="16"/>
                <w:szCs w:val="16"/>
              </w:rPr>
            </w:pPr>
            <w:r w:rsidRPr="043A0D26">
              <w:rPr>
                <w:rFonts w:eastAsia="Arial" w:cs="Arial"/>
                <w:color w:val="FFFFFF" w:themeColor="background1"/>
                <w:sz w:val="16"/>
                <w:szCs w:val="16"/>
                <w:shd w:val="clear" w:color="auto" w:fill="FF0000"/>
              </w:rPr>
              <w:t>High</w:t>
            </w:r>
          </w:p>
        </w:tc>
        <w:tc>
          <w:tcPr>
            <w:tcW w:w="1440" w:type="dxa"/>
            <w:vMerge/>
            <w:tcBorders>
              <w:top w:val="single" w:sz="8" w:space="0" w:color="auto"/>
              <w:left w:val="single" w:sz="4"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240"/>
        </w:trPr>
        <w:tc>
          <w:tcPr>
            <w:tcW w:w="21790" w:type="dxa"/>
            <w:gridSpan w:val="6"/>
            <w:tcBorders>
              <w:top w:val="single" w:sz="8" w:space="0" w:color="auto"/>
              <w:left w:val="single" w:sz="8" w:space="0" w:color="auto"/>
              <w:bottom w:val="single" w:sz="8" w:space="0" w:color="auto"/>
              <w:right w:val="single" w:sz="8" w:space="0" w:color="000000" w:themeColor="text1"/>
            </w:tcBorders>
            <w:shd w:val="clear" w:color="auto" w:fill="0070C0"/>
          </w:tcPr>
          <w:p w:rsidR="00371BD2" w:rsidRPr="00515C49" w:rsidRDefault="043A0D26" w:rsidP="00371BD2">
            <w:pPr>
              <w:spacing w:before="0" w:line="240" w:lineRule="auto"/>
              <w:ind w:left="0"/>
              <w:rPr>
                <w:rFonts w:cs="Arial"/>
                <w:b/>
                <w:color w:val="FFFFFF" w:themeColor="background1"/>
                <w:sz w:val="16"/>
                <w:szCs w:val="16"/>
              </w:rPr>
            </w:pPr>
            <w:r w:rsidRPr="043A0D26">
              <w:rPr>
                <w:rFonts w:eastAsia="Arial" w:cs="Arial"/>
                <w:b/>
                <w:bCs/>
                <w:color w:val="FFFFFF" w:themeColor="background1"/>
                <w:sz w:val="16"/>
                <w:szCs w:val="16"/>
              </w:rPr>
              <w:t>Section 3. Security measures</w:t>
            </w:r>
          </w:p>
        </w:tc>
      </w:tr>
      <w:tr w:rsidR="00371BD2" w:rsidRPr="00515C49" w:rsidTr="043A0D26">
        <w:trPr>
          <w:trHeight w:val="44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Please provide details of data protection controls for data in transit (to end users and between service components over shared networks) and for data at rest within the service</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Adequate assessment of security controls even for lower risk use will require some level of subject matter expert (SME) advice. </w:t>
            </w:r>
          </w:p>
        </w:tc>
        <w:sdt>
          <w:sdtPr>
            <w:rPr>
              <w:rStyle w:val="Style9"/>
              <w:color w:val="auto"/>
              <w:sz w:val="96"/>
              <w:szCs w:val="96"/>
            </w:rPr>
            <w:id w:val="-176907969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No</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sz w:val="16"/>
                <w:szCs w:val="16"/>
              </w:rPr>
            </w:pPr>
            <w:r w:rsidRPr="043A0D26">
              <w:rPr>
                <w:rFonts w:eastAsia="Arial" w:cs="Arial"/>
                <w:i/>
                <w:iCs/>
                <w:sz w:val="16"/>
                <w:szCs w:val="16"/>
              </w:rPr>
              <w:t>[Service providers that do not provide details of security controls should be avoided even for low impact uses]</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4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27676907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Default="00371BD2" w:rsidP="00371BD2">
            <w:pPr>
              <w:spacing w:before="0" w:line="240" w:lineRule="auto"/>
              <w:ind w:left="0"/>
              <w:rPr>
                <w:rFonts w:eastAsia="Arial" w:cs="Arial"/>
                <w:sz w:val="16"/>
                <w:szCs w:val="16"/>
              </w:rPr>
            </w:pPr>
          </w:p>
          <w:p w:rsidR="00371BD2" w:rsidRPr="007B1541" w:rsidRDefault="043A0D26" w:rsidP="00371BD2">
            <w:pPr>
              <w:spacing w:before="0" w:line="240" w:lineRule="auto"/>
              <w:ind w:left="0"/>
              <w:rPr>
                <w:rFonts w:cs="Arial"/>
                <w:i/>
                <w:sz w:val="16"/>
                <w:szCs w:val="16"/>
              </w:rPr>
            </w:pPr>
            <w:r w:rsidRPr="043A0D26">
              <w:rPr>
                <w:rFonts w:eastAsia="Arial" w:cs="Arial"/>
                <w:i/>
                <w:iCs/>
                <w:sz w:val="16"/>
                <w:szCs w:val="16"/>
              </w:rPr>
              <w:t>[Details are provided. SME to assess]</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Describe the mechanisms for protection of the user accounts/profiles in transit and at rest. </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000000" w:themeColor="text1"/>
                <w:sz w:val="16"/>
                <w:szCs w:val="16"/>
              </w:rPr>
              <w:t xml:space="preserve">User authentication and the underpinning user profile data (including credentials) requires protection in transit and at rest. </w:t>
            </w:r>
          </w:p>
          <w:p w:rsidR="00371BD2" w:rsidRPr="00515C49" w:rsidRDefault="00371BD2" w:rsidP="00371BD2">
            <w:pPr>
              <w:spacing w:before="0" w:line="240" w:lineRule="auto"/>
              <w:ind w:left="0"/>
              <w:rPr>
                <w:rFonts w:eastAsia="Arial" w:cs="Arial"/>
                <w:color w:val="000000" w:themeColor="text1"/>
                <w:sz w:val="16"/>
                <w:szCs w:val="16"/>
              </w:rPr>
            </w:pPr>
          </w:p>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000000" w:themeColor="text1"/>
                <w:sz w:val="16"/>
                <w:szCs w:val="16"/>
              </w:rPr>
              <w:t>For example failure to encrypt passwords in solutions is a fundamental vulnerability and a warning indicator of other poor security practices. Another indicator of poor security practice is a failure to protect authentication information in transit e</w:t>
            </w:r>
            <w:r w:rsidR="000160B4">
              <w:rPr>
                <w:rFonts w:eastAsia="Arial" w:cs="Arial"/>
                <w:color w:val="000000" w:themeColor="text1"/>
                <w:sz w:val="16"/>
                <w:szCs w:val="16"/>
              </w:rPr>
              <w:t>.</w:t>
            </w:r>
            <w:r w:rsidRPr="043A0D26">
              <w:rPr>
                <w:rFonts w:eastAsia="Arial" w:cs="Arial"/>
                <w:color w:val="000000" w:themeColor="text1"/>
                <w:sz w:val="16"/>
                <w:szCs w:val="16"/>
              </w:rPr>
              <w:t xml:space="preserve">g. a login screen without https://. </w:t>
            </w:r>
          </w:p>
          <w:p w:rsidR="00371BD2" w:rsidRPr="00515C49" w:rsidRDefault="00371BD2" w:rsidP="00371BD2">
            <w:pPr>
              <w:spacing w:before="0" w:line="240" w:lineRule="auto"/>
              <w:ind w:left="0"/>
              <w:rPr>
                <w:rFonts w:eastAsia="Arial" w:cs="Arial"/>
                <w:color w:val="000000" w:themeColor="text1"/>
                <w:sz w:val="16"/>
                <w:szCs w:val="16"/>
              </w:rPr>
            </w:pPr>
          </w:p>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45333513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0160B4" w:rsidP="00371BD2">
                <w:pPr>
                  <w:ind w:left="0"/>
                </w:pPr>
                <w:r>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We take security seriously and use our encryption methods to protect your credentials.</w:t>
            </w:r>
          </w:p>
          <w:p w:rsidR="00371BD2" w:rsidRPr="00515C49" w:rsidRDefault="00371BD2" w:rsidP="00371BD2">
            <w:pPr>
              <w:spacing w:before="0" w:line="240" w:lineRule="auto"/>
              <w:ind w:left="0"/>
              <w:rPr>
                <w:rFonts w:eastAsia="Arial" w:cs="Arial"/>
                <w:sz w:val="16"/>
                <w:szCs w:val="16"/>
              </w:rPr>
            </w:pPr>
          </w:p>
          <w:p w:rsidR="00371BD2" w:rsidRPr="00E558DD" w:rsidRDefault="043A0D26" w:rsidP="00371BD2">
            <w:pPr>
              <w:spacing w:before="0" w:line="240" w:lineRule="auto"/>
              <w:ind w:left="0"/>
              <w:rPr>
                <w:rFonts w:eastAsia="Arial" w:cs="Arial"/>
                <w:i/>
                <w:sz w:val="16"/>
                <w:szCs w:val="16"/>
              </w:rPr>
            </w:pPr>
            <w:r w:rsidRPr="043A0D26">
              <w:rPr>
                <w:rFonts w:eastAsia="Arial" w:cs="Arial"/>
                <w:i/>
                <w:iCs/>
                <w:sz w:val="16"/>
                <w:szCs w:val="16"/>
              </w:rPr>
              <w:t>[Limited information or proprietary encryption used would be cause for concern]</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44526390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Full details are provided in XYZ along with independent assurance by ABC Information Security Registered Assessors Program (IRAP) assessment.</w:t>
            </w:r>
          </w:p>
          <w:p w:rsidR="00371BD2" w:rsidRPr="00515C49" w:rsidRDefault="00371BD2" w:rsidP="00371BD2">
            <w:pPr>
              <w:spacing w:before="0" w:line="240" w:lineRule="auto"/>
              <w:ind w:left="0"/>
              <w:rPr>
                <w:rFonts w:eastAsia="Arial" w:cs="Arial"/>
                <w:i/>
                <w:sz w:val="16"/>
                <w:szCs w:val="16"/>
              </w:rPr>
            </w:pPr>
          </w:p>
          <w:p w:rsidR="00371BD2" w:rsidRPr="00515C49" w:rsidRDefault="043A0D26" w:rsidP="00371BD2">
            <w:pPr>
              <w:spacing w:before="0" w:line="240" w:lineRule="auto"/>
              <w:ind w:left="0"/>
              <w:rPr>
                <w:rFonts w:cs="Arial"/>
                <w:sz w:val="16"/>
                <w:szCs w:val="16"/>
              </w:rPr>
            </w:pPr>
            <w:r w:rsidRPr="043A0D26">
              <w:rPr>
                <w:rFonts w:eastAsia="Arial" w:cs="Arial"/>
                <w:i/>
                <w:iCs/>
                <w:sz w:val="16"/>
                <w:szCs w:val="16"/>
              </w:rPr>
              <w:t>[SME can advise on applicability and credibility of the supporting assessment]</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36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Does your solution include access controls to ensure only authorised staff have access to the data?</w:t>
            </w:r>
          </w:p>
        </w:tc>
        <w:tc>
          <w:tcPr>
            <w:tcW w:w="7159" w:type="dxa"/>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It is expected that all systems will have audit logs against all system activity relevant to a customer.</w:t>
            </w:r>
            <w:r w:rsidR="002E48AB">
              <w:rPr>
                <w:rFonts w:eastAsia="Arial" w:cs="Arial"/>
                <w:color w:val="000000" w:themeColor="text1"/>
                <w:sz w:val="16"/>
                <w:szCs w:val="16"/>
              </w:rPr>
              <w:t xml:space="preserve"> </w:t>
            </w:r>
            <w:r w:rsidRPr="043A0D26">
              <w:rPr>
                <w:rFonts w:eastAsia="Arial" w:cs="Arial"/>
                <w:color w:val="000000" w:themeColor="text1"/>
                <w:sz w:val="16"/>
                <w:szCs w:val="16"/>
              </w:rPr>
              <w:t>These would be detailed within the final contract.</w:t>
            </w:r>
          </w:p>
        </w:tc>
        <w:sdt>
          <w:sdtPr>
            <w:rPr>
              <w:rStyle w:val="Style9"/>
              <w:color w:val="auto"/>
              <w:sz w:val="96"/>
              <w:szCs w:val="96"/>
            </w:rPr>
            <w:id w:val="1845130109"/>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top w:val="nil"/>
              <w:left w:val="single" w:sz="8"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2094667523"/>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nil"/>
              <w:left w:val="single" w:sz="4" w:space="0" w:color="auto"/>
              <w:bottom w:val="single" w:sz="4"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we fully audit all access controls and can make your logs available to you as a part of an agreed SLA</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top w:val="single" w:sz="4" w:space="0" w:color="auto"/>
              <w:left w:val="single" w:sz="4"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293903657"/>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we fully audit all activity however we provide these logs only when a valid 'need to know' can be claimed.</w:t>
            </w:r>
          </w:p>
        </w:tc>
        <w:tc>
          <w:tcPr>
            <w:tcW w:w="1327" w:type="dxa"/>
            <w:tcBorders>
              <w:top w:val="nil"/>
              <w:left w:val="single" w:sz="4"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lastRenderedPageBreak/>
              <w:t>Is</w:t>
            </w:r>
            <w:r w:rsidR="002E48AB">
              <w:rPr>
                <w:rFonts w:eastAsia="Arial" w:cs="Arial"/>
                <w:color w:val="000000" w:themeColor="text1"/>
                <w:sz w:val="16"/>
                <w:szCs w:val="16"/>
              </w:rPr>
              <w:t xml:space="preserve"> </w:t>
            </w:r>
            <w:r w:rsidRPr="043A0D26">
              <w:rPr>
                <w:rFonts w:eastAsia="Arial" w:cs="Arial"/>
                <w:color w:val="000000" w:themeColor="text1"/>
                <w:sz w:val="16"/>
                <w:szCs w:val="16"/>
              </w:rPr>
              <w:t>data segregated from other customers’ data?</w:t>
            </w:r>
          </w:p>
        </w:tc>
        <w:tc>
          <w:tcPr>
            <w:tcW w:w="7159" w:type="dxa"/>
            <w:tcBorders>
              <w:top w:val="single" w:sz="4" w:space="0" w:color="auto"/>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Investigate with SME and evaluate against the response.</w:t>
            </w:r>
          </w:p>
        </w:tc>
        <w:sdt>
          <w:sdtPr>
            <w:rPr>
              <w:rStyle w:val="Style9"/>
              <w:color w:val="auto"/>
              <w:sz w:val="96"/>
              <w:szCs w:val="96"/>
            </w:rPr>
            <w:id w:val="1425072639"/>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single" w:sz="4" w:space="0" w:color="auto"/>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No</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i/>
                <w:sz w:val="16"/>
                <w:szCs w:val="16"/>
              </w:rPr>
            </w:pPr>
            <w:r w:rsidRPr="043A0D26">
              <w:rPr>
                <w:rFonts w:eastAsia="Arial" w:cs="Arial"/>
                <w:i/>
                <w:iCs/>
                <w:sz w:val="16"/>
                <w:szCs w:val="16"/>
              </w:rPr>
              <w:t>[this is typically not suitable unless it is a trivial service with no sensitivity]</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top w:val="nil"/>
              <w:left w:val="single" w:sz="8" w:space="0" w:color="auto"/>
              <w:bottom w:val="single" w:sz="8" w:space="0" w:color="000000" w:themeColor="text1"/>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208017828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virtual data and network segmentation</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top w:val="nil"/>
              <w:left w:val="single" w:sz="8" w:space="0" w:color="auto"/>
              <w:bottom w:val="single" w:sz="8" w:space="0" w:color="000000" w:themeColor="text1"/>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2025592409"/>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physical data and network segmentation</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958"/>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If your solution requires the customer to provide existing data, does your solution provide a secure method for uploading the data?</w:t>
            </w:r>
          </w:p>
        </w:tc>
        <w:tc>
          <w:tcPr>
            <w:tcW w:w="7159" w:type="dxa"/>
            <w:tcBorders>
              <w:top w:val="nil"/>
              <w:left w:val="nil"/>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sdt>
          <w:sdtPr>
            <w:rPr>
              <w:rStyle w:val="Style9"/>
              <w:color w:val="auto"/>
              <w:sz w:val="96"/>
              <w:szCs w:val="96"/>
            </w:rPr>
            <w:id w:val="-678662351"/>
            <w14:checkbox>
              <w14:checked w14:val="0"/>
              <w14:checkedState w14:val="0050" w14:font="Wingdings 2"/>
              <w14:uncheckedState w14:val="002A" w14:font="Wingdings 2"/>
            </w14:checkbox>
          </w:sdtPr>
          <w:sdtContent>
            <w:tc>
              <w:tcPr>
                <w:tcW w:w="1339" w:type="dxa"/>
                <w:tcBorders>
                  <w:top w:val="single" w:sz="4" w:space="0" w:color="auto"/>
                  <w:left w:val="nil"/>
                  <w:right w:val="single" w:sz="8"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data is loaded directly by the customer into the secure solution</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Low</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top w:val="nil"/>
              <w:left w:val="nil"/>
              <w:bottom w:val="nil"/>
              <w:right w:val="single" w:sz="4" w:space="0" w:color="auto"/>
            </w:tcBorders>
            <w:shd w:val="clear" w:color="auto" w:fill="auto"/>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281802113"/>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3A55E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data is transferred via an encrypted USB</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top w:val="nil"/>
              <w:left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Seek SME input and assistance to confirm suitability</w:t>
            </w:r>
          </w:p>
        </w:tc>
        <w:sdt>
          <w:sdtPr>
            <w:rPr>
              <w:rStyle w:val="Style9"/>
              <w:color w:val="auto"/>
              <w:sz w:val="96"/>
              <w:szCs w:val="96"/>
            </w:rPr>
            <w:id w:val="108149512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327F0">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No, data is sent via email or file transfer protocol (FTP)</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i/>
                <w:sz w:val="16"/>
                <w:szCs w:val="16"/>
              </w:rPr>
            </w:pPr>
            <w:r w:rsidRPr="043A0D26">
              <w:rPr>
                <w:rFonts w:eastAsia="Arial" w:cs="Arial"/>
                <w:i/>
                <w:iCs/>
                <w:sz w:val="16"/>
                <w:szCs w:val="16"/>
              </w:rPr>
              <w:t>[for public and low sensitivity information weakly protected information transfer may be acceptable]</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top w:val="nil"/>
              <w:left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sdt>
          <w:sdtPr>
            <w:rPr>
              <w:rStyle w:val="Style9"/>
              <w:color w:val="auto"/>
              <w:sz w:val="96"/>
              <w:szCs w:val="96"/>
            </w:rPr>
            <w:id w:val="1953202784"/>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136375" w:rsidP="00371BD2">
                <w:pPr>
                  <w:ind w:left="0"/>
                </w:pPr>
                <w:r>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Not applicable, no data is transferred</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sdt>
          <w:sdtPr>
            <w:rPr>
              <w:rStyle w:val="Style9"/>
              <w:color w:val="auto"/>
              <w:sz w:val="96"/>
              <w:szCs w:val="96"/>
            </w:rPr>
            <w:id w:val="-93497434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327F0">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via secure FTP, SSH or other secure protocol.</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700"/>
        </w:trPr>
        <w:tc>
          <w:tcPr>
            <w:tcW w:w="2793" w:type="dxa"/>
            <w:vMerge w:val="restart"/>
            <w:tcBorders>
              <w:top w:val="nil"/>
              <w:left w:val="single" w:sz="8"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 you conduct criminal history checks on your employees and sub-contractors?</w:t>
            </w:r>
          </w:p>
        </w:tc>
        <w:tc>
          <w:tcPr>
            <w:tcW w:w="71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rPr>
                <w:rFonts w:cs="Arial"/>
                <w:color w:val="000000"/>
                <w:sz w:val="16"/>
                <w:szCs w:val="16"/>
              </w:rPr>
            </w:pPr>
            <w:r>
              <w:br/>
            </w:r>
            <w:r>
              <w:br/>
            </w:r>
            <w:r w:rsidR="043A0D26" w:rsidRPr="043A0D26">
              <w:rPr>
                <w:rFonts w:eastAsia="Arial" w:cs="Arial"/>
                <w:color w:val="000000" w:themeColor="text1"/>
                <w:sz w:val="16"/>
                <w:szCs w:val="16"/>
              </w:rPr>
              <w:t>Each agency and potentially business area will have differing requirements for police checks.</w:t>
            </w:r>
          </w:p>
        </w:tc>
        <w:sdt>
          <w:sdtPr>
            <w:rPr>
              <w:rStyle w:val="Style9"/>
              <w:color w:val="auto"/>
              <w:sz w:val="96"/>
              <w:szCs w:val="96"/>
            </w:rPr>
            <w:id w:val="-133090865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327F0">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No</w:t>
            </w:r>
          </w:p>
          <w:p w:rsidR="00371BD2" w:rsidRPr="00515C49" w:rsidRDefault="00371BD2" w:rsidP="00371BD2">
            <w:pPr>
              <w:spacing w:before="0" w:line="240" w:lineRule="auto"/>
              <w:ind w:left="0"/>
              <w:rPr>
                <w:rFonts w:eastAsia="Arial" w:cs="Arial"/>
                <w:sz w:val="16"/>
                <w:szCs w:val="16"/>
              </w:rPr>
            </w:pPr>
          </w:p>
          <w:p w:rsidR="00371BD2" w:rsidRPr="008A32D4" w:rsidRDefault="043A0D26" w:rsidP="00371BD2">
            <w:pPr>
              <w:spacing w:before="0" w:line="240" w:lineRule="auto"/>
              <w:ind w:left="0"/>
              <w:rPr>
                <w:rFonts w:cs="Arial"/>
                <w:i/>
                <w:sz w:val="16"/>
                <w:szCs w:val="16"/>
              </w:rPr>
            </w:pPr>
            <w:r w:rsidRPr="043A0D26">
              <w:rPr>
                <w:rFonts w:eastAsia="Arial" w:cs="Arial"/>
                <w:i/>
                <w:iCs/>
                <w:sz w:val="16"/>
                <w:szCs w:val="16"/>
              </w:rPr>
              <w:t>[Assess relative sensitivity of use, potential to be leveraged for access and standard agency requirements]</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700"/>
        </w:trPr>
        <w:tc>
          <w:tcPr>
            <w:tcW w:w="2793" w:type="dxa"/>
            <w:vMerge/>
            <w:tcBorders>
              <w:top w:val="single" w:sz="8" w:space="0" w:color="auto"/>
              <w:left w:val="single" w:sz="8"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single" w:sz="4" w:space="0" w:color="auto"/>
              <w:left w:val="single" w:sz="4"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291163311"/>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327F0">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 xml:space="preserve">Yes, additionally all staff have Australian security clearances </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single" w:sz="8" w:space="0" w:color="auto"/>
              <w:left w:val="single" w:sz="8"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single" w:sz="4" w:space="0" w:color="auto"/>
              <w:left w:val="single" w:sz="4"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28111401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327F0">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single" w:sz="4" w:space="0" w:color="auto"/>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What physical access controls are in place at the locations from which data may be stored or accessed?</w:t>
            </w:r>
          </w:p>
        </w:tc>
        <w:tc>
          <w:tcPr>
            <w:tcW w:w="7159" w:type="dxa"/>
            <w:vMerge w:val="restart"/>
            <w:tcBorders>
              <w:top w:val="single" w:sz="4" w:space="0" w:color="auto"/>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000000" w:themeColor="text1"/>
                <w:sz w:val="16"/>
                <w:szCs w:val="16"/>
              </w:rPr>
              <w:t>Prior validation of datacentres may be leveraged to reach adequate confidence in the relevant datacentre and/or virtual hosting environments. This validation will typically indicate the classification levels that are able to handled.</w:t>
            </w:r>
          </w:p>
          <w:p w:rsidR="00371BD2" w:rsidRPr="00515C49" w:rsidRDefault="00371BD2" w:rsidP="00371BD2">
            <w:pPr>
              <w:spacing w:before="0" w:line="240" w:lineRule="auto"/>
              <w:ind w:left="0"/>
              <w:rPr>
                <w:rFonts w:eastAsia="Arial" w:cs="Arial"/>
                <w:color w:val="000000" w:themeColor="text1"/>
                <w:sz w:val="16"/>
                <w:szCs w:val="16"/>
              </w:rPr>
            </w:pPr>
          </w:p>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000000" w:themeColor="text1"/>
                <w:sz w:val="16"/>
                <w:szCs w:val="16"/>
              </w:rPr>
              <w:t xml:space="preserve">Physical security consideration will also extend to remote access locations used by the service provider. </w:t>
            </w:r>
          </w:p>
          <w:p w:rsidR="00371BD2" w:rsidRPr="00515C49" w:rsidRDefault="00371BD2" w:rsidP="00371BD2">
            <w:pPr>
              <w:spacing w:before="0" w:line="240" w:lineRule="auto"/>
              <w:ind w:left="0"/>
              <w:rPr>
                <w:rFonts w:eastAsia="Arial" w:cs="Arial"/>
                <w:color w:val="000000" w:themeColor="text1"/>
                <w:sz w:val="16"/>
                <w:szCs w:val="16"/>
              </w:rPr>
            </w:pPr>
          </w:p>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000000" w:themeColor="text1"/>
                <w:sz w:val="16"/>
                <w:szCs w:val="16"/>
              </w:rPr>
              <w:t>In some instances alternative controls can compensate for limited physical access controls e</w:t>
            </w:r>
            <w:r w:rsidR="000A046A">
              <w:rPr>
                <w:rFonts w:eastAsia="Arial" w:cs="Arial"/>
                <w:color w:val="000000" w:themeColor="text1"/>
                <w:sz w:val="16"/>
                <w:szCs w:val="16"/>
              </w:rPr>
              <w:t>.</w:t>
            </w:r>
            <w:r w:rsidRPr="043A0D26">
              <w:rPr>
                <w:rFonts w:eastAsia="Arial" w:cs="Arial"/>
                <w:color w:val="000000" w:themeColor="text1"/>
                <w:sz w:val="16"/>
                <w:szCs w:val="16"/>
              </w:rPr>
              <w:t>g</w:t>
            </w:r>
            <w:r w:rsidR="000A046A">
              <w:rPr>
                <w:rFonts w:eastAsia="Arial" w:cs="Arial"/>
                <w:color w:val="000000" w:themeColor="text1"/>
                <w:sz w:val="16"/>
                <w:szCs w:val="16"/>
              </w:rPr>
              <w:t>.</w:t>
            </w:r>
            <w:r w:rsidRPr="043A0D26">
              <w:rPr>
                <w:rFonts w:eastAsia="Arial" w:cs="Arial"/>
                <w:color w:val="000000" w:themeColor="text1"/>
                <w:sz w:val="16"/>
                <w:szCs w:val="16"/>
              </w:rPr>
              <w:t xml:space="preserve"> hardware encryption.</w:t>
            </w:r>
          </w:p>
        </w:tc>
        <w:sdt>
          <w:sdtPr>
            <w:rPr>
              <w:rStyle w:val="Style9"/>
              <w:color w:val="auto"/>
              <w:sz w:val="96"/>
              <w:szCs w:val="96"/>
            </w:rPr>
            <w:id w:val="841899548"/>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327F0">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We use best practice physical security but will not disclose information about our internal process for security reasons.</w:t>
            </w:r>
          </w:p>
          <w:p w:rsidR="00371BD2" w:rsidRPr="00515C49" w:rsidRDefault="00371BD2" w:rsidP="00371BD2">
            <w:pPr>
              <w:spacing w:before="0" w:line="240" w:lineRule="auto"/>
              <w:ind w:left="0"/>
              <w:rPr>
                <w:rFonts w:eastAsia="Arial" w:cs="Arial"/>
                <w:sz w:val="16"/>
                <w:szCs w:val="16"/>
              </w:rPr>
            </w:pPr>
          </w:p>
          <w:p w:rsidR="00371BD2" w:rsidRPr="00AD28D1" w:rsidRDefault="043A0D26" w:rsidP="00371BD2">
            <w:pPr>
              <w:spacing w:before="0" w:line="240" w:lineRule="auto"/>
              <w:ind w:left="0"/>
              <w:rPr>
                <w:rFonts w:eastAsia="Arial" w:cs="Arial"/>
                <w:i/>
                <w:sz w:val="16"/>
                <w:szCs w:val="16"/>
              </w:rPr>
            </w:pPr>
            <w:r w:rsidRPr="043A0D26">
              <w:rPr>
                <w:rFonts w:eastAsia="Arial" w:cs="Arial"/>
                <w:i/>
                <w:iCs/>
                <w:sz w:val="16"/>
                <w:szCs w:val="16"/>
              </w:rPr>
              <w:t xml:space="preserve">[Unless the service is of a truly trivial nature with no sensitivity, some degree of assurance should be achieved] </w:t>
            </w:r>
          </w:p>
          <w:p w:rsidR="00371BD2" w:rsidRPr="00515C49" w:rsidRDefault="00371BD2" w:rsidP="00371BD2">
            <w:pPr>
              <w:spacing w:before="0" w:line="240" w:lineRule="auto"/>
              <w:ind w:left="0"/>
              <w:rPr>
                <w:rFonts w:cs="Arial"/>
                <w:sz w:val="16"/>
                <w:szCs w:val="16"/>
              </w:rPr>
            </w:pP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0894391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327F0">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 xml:space="preserve">We use secure swipe card access, biometrics, coded access, physical escort, CCTV monitoring, and </w:t>
            </w:r>
            <w:r w:rsidRPr="043A0D26">
              <w:rPr>
                <w:rFonts w:eastAsia="Arial" w:cs="Arial"/>
                <w:color w:val="000000" w:themeColor="text1"/>
                <w:sz w:val="16"/>
                <w:szCs w:val="16"/>
              </w:rPr>
              <w:t>Tier 3 certification.</w:t>
            </w:r>
          </w:p>
          <w:p w:rsidR="00371BD2" w:rsidRPr="00515C49" w:rsidRDefault="00371BD2" w:rsidP="00371BD2">
            <w:pPr>
              <w:spacing w:before="0" w:line="240" w:lineRule="auto"/>
              <w:ind w:left="0"/>
              <w:rPr>
                <w:rFonts w:cs="Arial"/>
                <w:sz w:val="16"/>
                <w:szCs w:val="16"/>
              </w:rPr>
            </w:pPr>
          </w:p>
          <w:p w:rsidR="00371BD2" w:rsidRPr="00AD28D1" w:rsidRDefault="043A0D26" w:rsidP="00371BD2">
            <w:pPr>
              <w:spacing w:before="0" w:line="240" w:lineRule="auto"/>
              <w:ind w:left="0"/>
              <w:rPr>
                <w:rFonts w:cs="Arial"/>
                <w:i/>
                <w:sz w:val="16"/>
                <w:szCs w:val="16"/>
              </w:rPr>
            </w:pPr>
            <w:r w:rsidRPr="043A0D26">
              <w:rPr>
                <w:rFonts w:eastAsia="Arial" w:cs="Arial"/>
                <w:i/>
                <w:iCs/>
                <w:sz w:val="16"/>
                <w:szCs w:val="16"/>
              </w:rPr>
              <w:t xml:space="preserve">[While the above may sound impressive, the specific application to all access areas is complex. SME or independent assurance of applicability will generally be required for use of services for sensitive information] </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What remote access controls are used?</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The level of access granted will be tied to the classification of the data.</w:t>
            </w:r>
          </w:p>
        </w:tc>
        <w:sdt>
          <w:sdtPr>
            <w:rPr>
              <w:rStyle w:val="Style9"/>
              <w:color w:val="auto"/>
              <w:sz w:val="96"/>
              <w:szCs w:val="96"/>
            </w:rPr>
            <w:id w:val="-113223964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327F0">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We use best practice remote access controls but will not disclose information about our internal process for security reasons.</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sz w:val="16"/>
                <w:szCs w:val="16"/>
              </w:rPr>
            </w:pPr>
            <w:r w:rsidRPr="043A0D26">
              <w:rPr>
                <w:rFonts w:eastAsia="Arial" w:cs="Arial"/>
                <w:i/>
                <w:iCs/>
                <w:sz w:val="16"/>
                <w:szCs w:val="16"/>
              </w:rPr>
              <w:t>[Unless the service is of a truly trivial nature with no sensitivity, some degree of assurance should be achieved]</w:t>
            </w:r>
            <w:r w:rsidRPr="043A0D26">
              <w:rPr>
                <w:rFonts w:eastAsia="Arial" w:cs="Arial"/>
                <w:sz w:val="16"/>
                <w:szCs w:val="16"/>
              </w:rPr>
              <w:t xml:space="preserve"> </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710146948"/>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Multifactor authentication through a company owned device</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548832738"/>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Multifactor authentication</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212460441"/>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Not applicable, no remote access rights are granted</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How frequently do you conduct vulnerability testing?</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These will need to be described and tracked in the SLA.</w:t>
            </w:r>
            <w:r w:rsidR="002E48AB">
              <w:rPr>
                <w:rFonts w:eastAsia="Arial" w:cs="Arial"/>
                <w:color w:val="000000" w:themeColor="text1"/>
                <w:sz w:val="16"/>
                <w:szCs w:val="16"/>
              </w:rPr>
              <w:t xml:space="preserve"> </w:t>
            </w:r>
            <w:r w:rsidRPr="043A0D26">
              <w:rPr>
                <w:rFonts w:eastAsia="Arial" w:cs="Arial"/>
                <w:color w:val="000000" w:themeColor="text1"/>
                <w:sz w:val="16"/>
                <w:szCs w:val="16"/>
              </w:rPr>
              <w:t xml:space="preserve">As a minimum a right test and vulnerability scan of the service should be included. Failing this, visibility of some equivalent independent assurance mechanism should be established. </w:t>
            </w:r>
          </w:p>
        </w:tc>
        <w:sdt>
          <w:sdtPr>
            <w:rPr>
              <w:rStyle w:val="Style9"/>
              <w:color w:val="auto"/>
              <w:sz w:val="96"/>
              <w:szCs w:val="96"/>
            </w:rPr>
            <w:id w:val="-51330096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Every release and every X month(s). All issues addressed with results made available to customers after X weeks. Details of past patching performance is available through the XX report once you have signed the non-disclosure agreement. We also run a bug bounty program and have a proactive monitoring of vendor patch releases.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Low</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482120407"/>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Every 4-12 months</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968316407"/>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Every 13 months or longer</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cs="Arial"/>
                <w:color w:val="000000"/>
                <w:sz w:val="16"/>
                <w:szCs w:val="16"/>
              </w:rPr>
            </w:pPr>
            <w:r w:rsidRPr="043A0D26">
              <w:rPr>
                <w:rFonts w:eastAsia="Arial" w:cs="Arial"/>
                <w:color w:val="FFFFFF" w:themeColor="background1"/>
                <w:sz w:val="16"/>
                <w:szCs w:val="16"/>
                <w:shd w:val="clear" w:color="auto" w:fill="FF0000"/>
              </w:rPr>
              <w:t>High</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How frequently do you conduct penetration testing?</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These will need to be described and tracked in the SLA.</w:t>
            </w:r>
            <w:r w:rsidR="002E48AB">
              <w:rPr>
                <w:rFonts w:eastAsia="Arial" w:cs="Arial"/>
                <w:color w:val="000000" w:themeColor="text1"/>
                <w:sz w:val="16"/>
                <w:szCs w:val="16"/>
              </w:rPr>
              <w:t xml:space="preserve"> </w:t>
            </w:r>
            <w:r w:rsidRPr="043A0D26">
              <w:rPr>
                <w:rFonts w:eastAsia="Arial" w:cs="Arial"/>
                <w:color w:val="000000" w:themeColor="text1"/>
                <w:sz w:val="16"/>
                <w:szCs w:val="16"/>
              </w:rPr>
              <w:t>As a minimum a right test and commission penetration testing of the service should be included. Failing this, visibility of some equivalent independent assurance mechanism should be established e.g. copy of Australian Signals Directorate Certified Cloud security assessment, other credible independent assessments and certifications, independent audit results, and penetration testing details, and that the contract requires that these are maintained.</w:t>
            </w:r>
          </w:p>
        </w:tc>
        <w:sdt>
          <w:sdtPr>
            <w:rPr>
              <w:rStyle w:val="Style9"/>
              <w:color w:val="auto"/>
              <w:sz w:val="96"/>
              <w:szCs w:val="96"/>
            </w:rPr>
            <w:id w:val="190695276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15522117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critical vulnerabilities resolved within 3 days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79187165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critical vulnerabilities resolved within 4-14 days</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589578771"/>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critical vulnerabilities resolved in greater than 14 days</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cs="Arial"/>
                <w:color w:val="000000"/>
                <w:sz w:val="16"/>
                <w:szCs w:val="16"/>
              </w:rPr>
            </w:pPr>
            <w:r w:rsidRPr="043A0D26">
              <w:rPr>
                <w:rFonts w:eastAsia="Arial" w:cs="Arial"/>
                <w:color w:val="FFFFFF" w:themeColor="background1"/>
                <w:sz w:val="16"/>
                <w:szCs w:val="16"/>
                <w:shd w:val="clear" w:color="auto" w:fill="FF0000"/>
              </w:rPr>
              <w:t>High</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lastRenderedPageBreak/>
              <w:t>Do you implement remediation strategies within a reasonable amount of time?</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These will need to be described and tracked in the SLA and considered in conjunction with maintenance windows.</w:t>
            </w:r>
          </w:p>
        </w:tc>
        <w:sdt>
          <w:sdtPr>
            <w:rPr>
              <w:rStyle w:val="Style9"/>
              <w:color w:val="auto"/>
              <w:sz w:val="96"/>
              <w:szCs w:val="96"/>
            </w:rPr>
            <w:id w:val="-112368878"/>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86F34">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745098213"/>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critical vulnerabilities resolved within 3 days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49854568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critical vulnerabilities resolved within 4-14 days</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970335458"/>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critical vulnerabilities resolved in greater than 14 days</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cs="Arial"/>
                <w:color w:val="000000"/>
                <w:sz w:val="16"/>
                <w:szCs w:val="16"/>
              </w:rPr>
            </w:pPr>
            <w:r w:rsidRPr="043A0D26">
              <w:rPr>
                <w:rFonts w:eastAsia="Arial" w:cs="Arial"/>
                <w:color w:val="FFFFFF" w:themeColor="background1"/>
                <w:sz w:val="16"/>
                <w:szCs w:val="16"/>
                <w:shd w:val="clear" w:color="auto" w:fill="FF0000"/>
              </w:rPr>
              <w:t>High</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593"/>
        </w:trPr>
        <w:tc>
          <w:tcPr>
            <w:tcW w:w="2793" w:type="dxa"/>
            <w:vMerge w:val="restart"/>
            <w:tcBorders>
              <w:top w:val="nil"/>
              <w:left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 you conduct investigations into security breaches and implement remediation strategies?</w:t>
            </w:r>
          </w:p>
        </w:tc>
        <w:tc>
          <w:tcPr>
            <w:tcW w:w="7159" w:type="dxa"/>
            <w:vMerge w:val="restart"/>
            <w:tcBorders>
              <w:top w:val="nil"/>
              <w:left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The data centre may conduct such investigations, however, they may choose not to share their insights.</w:t>
            </w:r>
            <w:r w:rsidR="002E48AB">
              <w:rPr>
                <w:rFonts w:eastAsia="Arial" w:cs="Arial"/>
                <w:color w:val="000000" w:themeColor="text1"/>
                <w:sz w:val="16"/>
                <w:szCs w:val="16"/>
              </w:rPr>
              <w:t xml:space="preserve"> </w:t>
            </w:r>
            <w:r w:rsidRPr="043A0D26">
              <w:rPr>
                <w:rFonts w:eastAsia="Arial" w:cs="Arial"/>
                <w:color w:val="000000" w:themeColor="text1"/>
                <w:sz w:val="16"/>
                <w:szCs w:val="16"/>
              </w:rPr>
              <w:t xml:space="preserve">This should be agreed and understood prior to signing contracts. </w:t>
            </w:r>
          </w:p>
        </w:tc>
        <w:sdt>
          <w:sdtPr>
            <w:rPr>
              <w:rStyle w:val="Style9"/>
              <w:color w:val="auto"/>
              <w:sz w:val="96"/>
              <w:szCs w:val="96"/>
            </w:rPr>
            <w:id w:val="-75188557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4"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nil"/>
              <w:left w:val="nil"/>
              <w:bottom w:val="single" w:sz="4" w:space="0" w:color="auto"/>
              <w:right w:val="nil"/>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tcBorders>
              <w:top w:val="nil"/>
              <w:left w:val="nil"/>
              <w:bottom w:val="single" w:sz="4"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360"/>
        </w:trPr>
        <w:tc>
          <w:tcPr>
            <w:tcW w:w="2793" w:type="dxa"/>
            <w:vMerge/>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nil"/>
              <w:left w:val="single" w:sz="4" w:space="0" w:color="auto"/>
              <w:bottom w:val="single" w:sz="8" w:space="0" w:color="auto"/>
              <w:right w:val="single" w:sz="8" w:space="0" w:color="auto"/>
            </w:tcBorders>
            <w:shd w:val="clear" w:color="auto" w:fill="ED7D31"/>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2133977464"/>
            <w14:checkbox>
              <w14:checked w14:val="0"/>
              <w14:checkedState w14:val="0050" w14:font="Wingdings 2"/>
              <w14:uncheckedState w14:val="002A" w14:font="Wingdings 2"/>
            </w14:checkbox>
          </w:sdtPr>
          <w:sdtContent>
            <w:tc>
              <w:tcPr>
                <w:tcW w:w="1339" w:type="dxa"/>
                <w:tcBorders>
                  <w:top w:val="nil"/>
                  <w:left w:val="nil"/>
                  <w:bottom w:val="nil"/>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Only upon request</w:t>
            </w:r>
          </w:p>
        </w:tc>
        <w:tc>
          <w:tcPr>
            <w:tcW w:w="1327" w:type="dxa"/>
            <w:tcBorders>
              <w:top w:val="single" w:sz="4" w:space="0" w:color="auto"/>
              <w:left w:val="single" w:sz="4" w:space="0" w:color="auto"/>
              <w:bottom w:val="single" w:sz="4" w:space="0" w:color="auto"/>
              <w:right w:val="single" w:sz="4" w:space="0" w:color="auto"/>
            </w:tcBorders>
            <w:shd w:val="clear" w:color="auto" w:fill="FF990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Medium</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nil"/>
              <w:left w:val="single" w:sz="4" w:space="0" w:color="auto"/>
              <w:bottom w:val="single" w:sz="8" w:space="0" w:color="auto"/>
              <w:right w:val="single" w:sz="8" w:space="0" w:color="auto"/>
            </w:tcBorders>
            <w:shd w:val="clear" w:color="auto" w:fill="00B050"/>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955390143"/>
            <w14:checkbox>
              <w14:checked w14:val="0"/>
              <w14:checkedState w14:val="0050" w14:font="Wingdings 2"/>
              <w14:uncheckedState w14:val="002A" w14:font="Wingdings 2"/>
            </w14:checkbox>
          </w:sdtPr>
          <w:sdtContent>
            <w:tc>
              <w:tcPr>
                <w:tcW w:w="1339" w:type="dxa"/>
                <w:tcBorders>
                  <w:top w:val="nil"/>
                  <w:left w:val="nil"/>
                  <w:bottom w:val="single" w:sz="8"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w:t>
            </w:r>
          </w:p>
        </w:tc>
        <w:tc>
          <w:tcPr>
            <w:tcW w:w="1327" w:type="dxa"/>
            <w:tcBorders>
              <w:top w:val="single" w:sz="4" w:space="0" w:color="auto"/>
              <w:left w:val="single" w:sz="4" w:space="0" w:color="auto"/>
              <w:bottom w:val="single" w:sz="4" w:space="0" w:color="auto"/>
              <w:right w:val="single" w:sz="4" w:space="0" w:color="auto"/>
            </w:tcBorders>
            <w:shd w:val="clear" w:color="auto" w:fill="00B05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Low</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70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 you conduct regular security training for all staff to prevent inadvertent disclosures?</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Best practice and international standards would see all staff put through at least annual security training.</w:t>
            </w:r>
          </w:p>
        </w:tc>
        <w:sdt>
          <w:sdtPr>
            <w:rPr>
              <w:rStyle w:val="Style9"/>
              <w:color w:val="auto"/>
              <w:sz w:val="96"/>
              <w:szCs w:val="96"/>
            </w:rPr>
            <w:id w:val="981508234"/>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single" w:sz="4" w:space="0" w:color="auto"/>
              <w:left w:val="single" w:sz="4" w:space="0" w:color="auto"/>
              <w:bottom w:val="single" w:sz="4" w:space="0" w:color="auto"/>
              <w:right w:val="single" w:sz="4"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4" w:space="0" w:color="auto"/>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323273227"/>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single" w:sz="4" w:space="0" w:color="auto"/>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every 12 months</w:t>
            </w:r>
          </w:p>
        </w:tc>
        <w:tc>
          <w:tcPr>
            <w:tcW w:w="1327" w:type="dxa"/>
            <w:tcBorders>
              <w:top w:val="single" w:sz="4" w:space="0" w:color="auto"/>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single" w:sz="4" w:space="0" w:color="auto"/>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single" w:sz="4" w:space="0" w:color="auto"/>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How is the service, data and/or service provider independently assured and/or certified?</w:t>
            </w:r>
          </w:p>
        </w:tc>
        <w:tc>
          <w:tcPr>
            <w:tcW w:w="7159" w:type="dxa"/>
            <w:vMerge w:val="restart"/>
            <w:tcBorders>
              <w:top w:val="single" w:sz="4" w:space="0" w:color="auto"/>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Reputable ICT </w:t>
            </w:r>
            <w:r w:rsidR="007C4D03">
              <w:rPr>
                <w:rFonts w:eastAsia="Arial" w:cs="Arial"/>
                <w:color w:val="000000" w:themeColor="text1"/>
                <w:sz w:val="16"/>
                <w:szCs w:val="16"/>
              </w:rPr>
              <w:t>as-a-service</w:t>
            </w:r>
            <w:r w:rsidRPr="043A0D26">
              <w:rPr>
                <w:rFonts w:eastAsia="Arial" w:cs="Arial"/>
                <w:color w:val="000000" w:themeColor="text1"/>
                <w:sz w:val="16"/>
                <w:szCs w:val="16"/>
              </w:rPr>
              <w:t xml:space="preserve"> providers including cloud service providers will have had a range of service reviews and security assessments performed. They should be willing to make these available to customers along with detailed scope information to validate their relevance to the actual service being acquired.</w:t>
            </w:r>
          </w:p>
        </w:tc>
        <w:sdt>
          <w:sdtPr>
            <w:rPr>
              <w:rStyle w:val="Style9"/>
              <w:color w:val="auto"/>
              <w:sz w:val="96"/>
              <w:szCs w:val="96"/>
            </w:rPr>
            <w:id w:val="1110159361"/>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We take security very seriously and use industry best practices</w:t>
            </w:r>
            <w:r w:rsidRPr="043A0D26">
              <w:rPr>
                <w:rFonts w:eastAsia="Arial" w:cs="Arial"/>
                <w:i/>
                <w:iCs/>
                <w:sz w:val="16"/>
                <w:szCs w:val="16"/>
              </w:rPr>
              <w:t>….[implied ‘trust us’]</w:t>
            </w:r>
            <w:r w:rsidRPr="043A0D26">
              <w:rPr>
                <w:rFonts w:eastAsia="Arial" w:cs="Arial"/>
                <w:sz w:val="16"/>
                <w:szCs w:val="16"/>
              </w:rPr>
              <w:t xml:space="preserve"> </w:t>
            </w:r>
          </w:p>
          <w:p w:rsidR="00371BD2" w:rsidRPr="00515C49" w:rsidRDefault="00371BD2" w:rsidP="00371BD2">
            <w:pPr>
              <w:spacing w:before="0" w:line="240" w:lineRule="auto"/>
              <w:ind w:left="0"/>
              <w:rPr>
                <w:rFonts w:eastAsia="Arial" w:cs="Arial"/>
                <w:sz w:val="16"/>
                <w:szCs w:val="16"/>
              </w:rPr>
            </w:pPr>
          </w:p>
          <w:p w:rsidR="00371BD2" w:rsidRPr="006543A5" w:rsidRDefault="043A0D26" w:rsidP="00371BD2">
            <w:pPr>
              <w:spacing w:before="0" w:line="240" w:lineRule="auto"/>
              <w:ind w:left="0"/>
              <w:rPr>
                <w:rFonts w:cs="Arial"/>
                <w:i/>
                <w:sz w:val="16"/>
                <w:szCs w:val="16"/>
              </w:rPr>
            </w:pPr>
            <w:r w:rsidRPr="043A0D26">
              <w:rPr>
                <w:rFonts w:eastAsia="Arial" w:cs="Arial"/>
                <w:i/>
                <w:iCs/>
                <w:sz w:val="16"/>
                <w:szCs w:val="16"/>
              </w:rPr>
              <w:t>[Motherhood statements without supporting specifics and independent assurance can be a warning sign]</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single" w:sz="8" w:space="0" w:color="auto"/>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single" w:sz="8" w:space="0" w:color="auto"/>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88323731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Default="043A0D26" w:rsidP="00371BD2">
            <w:pPr>
              <w:spacing w:before="0" w:line="240" w:lineRule="auto"/>
              <w:ind w:left="0"/>
              <w:rPr>
                <w:rFonts w:eastAsia="Arial" w:cs="Arial"/>
                <w:sz w:val="16"/>
                <w:szCs w:val="16"/>
              </w:rPr>
            </w:pPr>
            <w:r w:rsidRPr="043A0D26">
              <w:rPr>
                <w:rFonts w:eastAsia="Arial" w:cs="Arial"/>
                <w:sz w:val="16"/>
                <w:szCs w:val="16"/>
              </w:rPr>
              <w:t xml:space="preserve">Yes, we can make available XYZ security review, details of ABC certifications. </w:t>
            </w:r>
          </w:p>
          <w:p w:rsidR="00371BD2" w:rsidRDefault="00371BD2" w:rsidP="00371BD2">
            <w:pPr>
              <w:spacing w:before="0" w:line="240" w:lineRule="auto"/>
              <w:ind w:left="0"/>
              <w:rPr>
                <w:rFonts w:eastAsia="Arial" w:cs="Arial"/>
                <w:sz w:val="16"/>
                <w:szCs w:val="16"/>
              </w:rPr>
            </w:pPr>
          </w:p>
          <w:p w:rsidR="00371BD2" w:rsidRPr="00067D1B" w:rsidRDefault="043A0D26" w:rsidP="00371BD2">
            <w:pPr>
              <w:spacing w:before="0" w:line="240" w:lineRule="auto"/>
              <w:ind w:left="0"/>
              <w:rPr>
                <w:rFonts w:cs="Arial"/>
                <w:i/>
                <w:sz w:val="16"/>
                <w:szCs w:val="16"/>
              </w:rPr>
            </w:pPr>
            <w:r w:rsidRPr="043A0D26">
              <w:rPr>
                <w:rFonts w:eastAsia="Arial" w:cs="Arial"/>
                <w:i/>
                <w:iCs/>
                <w:sz w:val="16"/>
                <w:szCs w:val="16"/>
              </w:rPr>
              <w:t>[Agencies should engage internal expertise to assess the relevance and adequacy of assessments/certifications relative to the business risk of the service.</w:t>
            </w:r>
            <w:r w:rsidR="002E48AB">
              <w:rPr>
                <w:rFonts w:eastAsia="Arial" w:cs="Arial"/>
                <w:i/>
                <w:iCs/>
                <w:sz w:val="16"/>
                <w:szCs w:val="16"/>
              </w:rPr>
              <w:t xml:space="preserve"> </w:t>
            </w:r>
            <w:r w:rsidRPr="043A0D26">
              <w:rPr>
                <w:rFonts w:eastAsia="Arial" w:cs="Arial"/>
                <w:i/>
                <w:iCs/>
                <w:sz w:val="16"/>
                <w:szCs w:val="16"/>
              </w:rPr>
              <w:t>Only for low value, low risk services used by a small number of staff should skipping expert involvement be considered.]</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4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 you immediately notify your customers of any security breaches?</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An agreed process should be written into any contract or SLA. Generally for any information with sensitivity an obligation to notify you as a customer in a timely manner should be included in the service conditions.</w:t>
            </w:r>
          </w:p>
        </w:tc>
        <w:sdt>
          <w:sdtPr>
            <w:rPr>
              <w:rStyle w:val="Style9"/>
              <w:color w:val="auto"/>
              <w:sz w:val="96"/>
              <w:szCs w:val="96"/>
            </w:rPr>
            <w:id w:val="1726642278"/>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4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69242027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in our monthly SLA report</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51252452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What data breaches has the service experienced in the last 12 months? </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What monitoring and controls are in place to detect and support response to security events?</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Recent detection of a security issue is not necessarily an indication of poor security, it may be an indication of effective monitoring. However a track record of repeated security incidents experienced by a service or its underpinning platform and environment could be an indicator of poor security architecture.</w:t>
            </w:r>
          </w:p>
          <w:p w:rsidR="00371BD2" w:rsidRPr="00515C49" w:rsidRDefault="043A0D26" w:rsidP="00371BD2">
            <w:pPr>
              <w:spacing w:before="0" w:line="240" w:lineRule="auto"/>
              <w:ind w:left="0"/>
              <w:rPr>
                <w:rFonts w:cs="Arial"/>
                <w:sz w:val="16"/>
                <w:szCs w:val="16"/>
              </w:rPr>
            </w:pPr>
            <w:r w:rsidRPr="043A0D26">
              <w:rPr>
                <w:rFonts w:eastAsia="Arial" w:cs="Arial"/>
                <w:sz w:val="16"/>
                <w:szCs w:val="16"/>
              </w:rPr>
              <w:t>Similarly, failure to detect any compromises does not necessarily mean a service is secure.</w:t>
            </w:r>
          </w:p>
          <w:p w:rsidR="00371BD2" w:rsidRPr="00515C49" w:rsidRDefault="00371BD2" w:rsidP="00371BD2">
            <w:pPr>
              <w:spacing w:before="0" w:line="240" w:lineRule="auto"/>
              <w:ind w:left="0"/>
              <w:rPr>
                <w:rFonts w:cs="Arial"/>
                <w:sz w:val="16"/>
                <w:szCs w:val="16"/>
              </w:rPr>
            </w:pPr>
          </w:p>
          <w:p w:rsidR="00371BD2" w:rsidRPr="00515C49" w:rsidRDefault="043A0D26" w:rsidP="00371BD2">
            <w:pPr>
              <w:spacing w:before="0" w:line="240" w:lineRule="auto"/>
              <w:ind w:left="0"/>
              <w:rPr>
                <w:rFonts w:cs="Arial"/>
                <w:color w:val="000000"/>
                <w:sz w:val="16"/>
                <w:szCs w:val="16"/>
              </w:rPr>
            </w:pPr>
            <w:r w:rsidRPr="043A0D26">
              <w:rPr>
                <w:rFonts w:eastAsia="Arial" w:cs="Arial"/>
                <w:sz w:val="16"/>
                <w:szCs w:val="16"/>
              </w:rPr>
              <w:t>Agencies need to understand the security environment including detection and response capabilities, along with any available assurance of vendor claims.</w:t>
            </w:r>
          </w:p>
        </w:tc>
        <w:sdt>
          <w:sdtPr>
            <w:rPr>
              <w:rStyle w:val="Style9"/>
              <w:color w:val="auto"/>
              <w:sz w:val="96"/>
              <w:szCs w:val="96"/>
            </w:rPr>
            <w:id w:val="-169090692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Breach data is not shared</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723947514"/>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BC4E22">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Default="043A0D26" w:rsidP="00371BD2">
            <w:pPr>
              <w:spacing w:before="0" w:line="240" w:lineRule="auto"/>
              <w:ind w:left="0"/>
              <w:rPr>
                <w:rFonts w:eastAsia="Arial" w:cs="Arial"/>
                <w:sz w:val="16"/>
                <w:szCs w:val="16"/>
              </w:rPr>
            </w:pPr>
            <w:r w:rsidRPr="043A0D26">
              <w:rPr>
                <w:rFonts w:eastAsia="Arial" w:cs="Arial"/>
                <w:sz w:val="16"/>
                <w:szCs w:val="16"/>
              </w:rPr>
              <w:t xml:space="preserve">Section XYZ of our response describes nature of security incident detections and mechanisms in place. </w:t>
            </w:r>
          </w:p>
          <w:p w:rsidR="00371BD2" w:rsidRDefault="00371BD2" w:rsidP="00371BD2">
            <w:pPr>
              <w:spacing w:before="0" w:line="240" w:lineRule="auto"/>
              <w:ind w:left="0"/>
              <w:rPr>
                <w:rFonts w:eastAsia="Arial" w:cs="Arial"/>
                <w:sz w:val="16"/>
                <w:szCs w:val="16"/>
              </w:rPr>
            </w:pPr>
          </w:p>
          <w:p w:rsidR="00371BD2" w:rsidRPr="00811045" w:rsidRDefault="043A0D26" w:rsidP="00371BD2">
            <w:pPr>
              <w:spacing w:before="0" w:line="240" w:lineRule="auto"/>
              <w:ind w:left="0"/>
              <w:rPr>
                <w:rFonts w:cs="Arial"/>
                <w:i/>
                <w:sz w:val="16"/>
                <w:szCs w:val="16"/>
              </w:rPr>
            </w:pPr>
            <w:r w:rsidRPr="043A0D26">
              <w:rPr>
                <w:rFonts w:eastAsia="Arial" w:cs="Arial"/>
                <w:i/>
                <w:iCs/>
                <w:sz w:val="16"/>
                <w:szCs w:val="16"/>
              </w:rPr>
              <w:t>[Agency requires expert assistance in assessing vendor responses]</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Please provide a description of service audit log review and monitoring.</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Please provide details of customer options to review and export audit logs related to our use of the service.</w:t>
            </w:r>
            <w:r w:rsidR="002E48AB">
              <w:rPr>
                <w:rFonts w:eastAsia="Arial" w:cs="Arial"/>
                <w:color w:val="000000" w:themeColor="text1"/>
                <w:sz w:val="16"/>
                <w:szCs w:val="16"/>
              </w:rPr>
              <w:t xml:space="preserve"> </w:t>
            </w:r>
            <w:r w:rsidRPr="043A0D26">
              <w:rPr>
                <w:rFonts w:eastAsia="Arial" w:cs="Arial"/>
                <w:color w:val="000000" w:themeColor="text1"/>
                <w:sz w:val="16"/>
                <w:szCs w:val="16"/>
              </w:rPr>
              <w:t>This should include details of what logs are available.</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Limited audit log visibility may be acceptable if the data to be stored is public in nature with limited integrity concerns.</w:t>
            </w:r>
          </w:p>
        </w:tc>
        <w:sdt>
          <w:sdtPr>
            <w:rPr>
              <w:rStyle w:val="Style9"/>
              <w:color w:val="auto"/>
              <w:sz w:val="96"/>
              <w:szCs w:val="96"/>
            </w:rPr>
            <w:id w:val="-106055376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B737C">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0344439"/>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B737C">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Only upon request</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227342709"/>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B737C">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 you regularly conduct reviews of user access levels?</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‘No’ may be acceptable if the data to be stored is public in nature.</w:t>
            </w:r>
          </w:p>
        </w:tc>
        <w:sdt>
          <w:sdtPr>
            <w:rPr>
              <w:rStyle w:val="Style9"/>
              <w:color w:val="auto"/>
              <w:sz w:val="96"/>
              <w:szCs w:val="96"/>
            </w:rPr>
            <w:id w:val="-902833789"/>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B737C">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Default="043A0D26" w:rsidP="00371BD2">
            <w:pPr>
              <w:spacing w:before="0" w:line="240" w:lineRule="auto"/>
              <w:ind w:left="0"/>
              <w:rPr>
                <w:rFonts w:eastAsia="Arial" w:cs="Arial"/>
                <w:sz w:val="16"/>
                <w:szCs w:val="16"/>
              </w:rPr>
            </w:pPr>
            <w:r w:rsidRPr="043A0D26">
              <w:rPr>
                <w:rFonts w:eastAsia="Arial" w:cs="Arial"/>
                <w:sz w:val="16"/>
                <w:szCs w:val="16"/>
              </w:rPr>
              <w:t>No</w:t>
            </w:r>
          </w:p>
          <w:p w:rsidR="00371BD2" w:rsidRDefault="00371BD2" w:rsidP="00371BD2">
            <w:pPr>
              <w:spacing w:before="0" w:line="240" w:lineRule="auto"/>
              <w:ind w:left="0"/>
              <w:rPr>
                <w:rFonts w:eastAsia="Arial" w:cs="Arial"/>
                <w:sz w:val="16"/>
                <w:szCs w:val="16"/>
              </w:rPr>
            </w:pPr>
          </w:p>
          <w:p w:rsidR="00371BD2" w:rsidRPr="0000322A" w:rsidRDefault="043A0D26" w:rsidP="00371BD2">
            <w:pPr>
              <w:spacing w:before="0" w:line="240" w:lineRule="auto"/>
              <w:ind w:left="0"/>
              <w:rPr>
                <w:rFonts w:cs="Arial"/>
                <w:i/>
                <w:sz w:val="16"/>
                <w:szCs w:val="16"/>
              </w:rPr>
            </w:pPr>
            <w:r w:rsidRPr="043A0D26">
              <w:rPr>
                <w:rFonts w:eastAsia="Arial" w:cs="Arial"/>
                <w:i/>
                <w:iCs/>
                <w:sz w:val="16"/>
                <w:szCs w:val="16"/>
              </w:rPr>
              <w:t>[Unless data stored is public in nature]</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73461981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B737C">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frequency of reviews and approach is described in section XYZ of our response.</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nil"/>
              <w:left w:val="single" w:sz="8"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 you store printed copies of data securely?</w:t>
            </w:r>
          </w:p>
        </w:tc>
        <w:tc>
          <w:tcPr>
            <w:tcW w:w="7159" w:type="dxa"/>
            <w:vMerge w:val="restart"/>
            <w:tcBorders>
              <w:top w:val="nil"/>
              <w:left w:val="single" w:sz="8" w:space="0" w:color="auto"/>
              <w:bottom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‘No’ may be acceptable if the data to be stored is public in nature.</w:t>
            </w:r>
          </w:p>
        </w:tc>
        <w:sdt>
          <w:sdtPr>
            <w:rPr>
              <w:rStyle w:val="Style9"/>
              <w:color w:val="auto"/>
              <w:sz w:val="96"/>
              <w:szCs w:val="96"/>
            </w:rPr>
            <w:id w:val="-24295756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B737C">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Default="043A0D26" w:rsidP="00371BD2">
            <w:pPr>
              <w:spacing w:before="0" w:line="240" w:lineRule="auto"/>
              <w:ind w:left="0"/>
              <w:rPr>
                <w:rFonts w:eastAsia="Arial" w:cs="Arial"/>
                <w:sz w:val="16"/>
                <w:szCs w:val="16"/>
              </w:rPr>
            </w:pPr>
            <w:r w:rsidRPr="043A0D26">
              <w:rPr>
                <w:rFonts w:eastAsia="Arial" w:cs="Arial"/>
                <w:sz w:val="16"/>
                <w:szCs w:val="16"/>
              </w:rPr>
              <w:t>No</w:t>
            </w:r>
          </w:p>
          <w:p w:rsidR="00371BD2"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sz w:val="16"/>
                <w:szCs w:val="16"/>
              </w:rPr>
            </w:pPr>
            <w:r w:rsidRPr="043A0D26">
              <w:rPr>
                <w:rFonts w:eastAsia="Arial" w:cs="Arial"/>
                <w:i/>
                <w:iCs/>
                <w:sz w:val="16"/>
                <w:szCs w:val="16"/>
              </w:rPr>
              <w:t>[Unless data stored is public in nature]</w:t>
            </w:r>
          </w:p>
        </w:tc>
        <w:tc>
          <w:tcPr>
            <w:tcW w:w="1327" w:type="dxa"/>
            <w:tcBorders>
              <w:top w:val="nil"/>
              <w:left w:val="single" w:sz="8" w:space="0" w:color="auto"/>
              <w:bottom w:val="nil"/>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nil"/>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nil"/>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45267581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B737C">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Not applicable, no printed copies created</w:t>
            </w:r>
          </w:p>
        </w:tc>
        <w:tc>
          <w:tcPr>
            <w:tcW w:w="1327" w:type="dxa"/>
            <w:tcBorders>
              <w:top w:val="nil"/>
              <w:left w:val="single" w:sz="8" w:space="0" w:color="auto"/>
              <w:bottom w:val="nil"/>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nil"/>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nil"/>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nil"/>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62866773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4B737C">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detailed storage policies are described below …</w:t>
            </w:r>
          </w:p>
        </w:tc>
        <w:tc>
          <w:tcPr>
            <w:tcW w:w="1327" w:type="dxa"/>
            <w:tcBorders>
              <w:top w:val="nil"/>
              <w:left w:val="single" w:sz="8" w:space="0" w:color="auto"/>
              <w:bottom w:val="nil"/>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nil"/>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240"/>
        </w:trPr>
        <w:tc>
          <w:tcPr>
            <w:tcW w:w="21790" w:type="dxa"/>
            <w:gridSpan w:val="6"/>
            <w:tcBorders>
              <w:top w:val="single" w:sz="8" w:space="0" w:color="auto"/>
              <w:left w:val="single" w:sz="8" w:space="0" w:color="auto"/>
              <w:bottom w:val="single" w:sz="8" w:space="0" w:color="auto"/>
              <w:right w:val="single" w:sz="8" w:space="0" w:color="000000" w:themeColor="text1"/>
            </w:tcBorders>
            <w:shd w:val="clear" w:color="auto" w:fill="0070C0"/>
          </w:tcPr>
          <w:p w:rsidR="00371BD2" w:rsidRPr="00515C49" w:rsidRDefault="043A0D26" w:rsidP="00371BD2">
            <w:pPr>
              <w:spacing w:before="0" w:line="240" w:lineRule="auto"/>
              <w:ind w:left="0"/>
              <w:rPr>
                <w:rFonts w:cs="Arial"/>
                <w:b/>
                <w:color w:val="FFFFFF" w:themeColor="background1"/>
                <w:sz w:val="16"/>
                <w:szCs w:val="16"/>
              </w:rPr>
            </w:pPr>
            <w:r w:rsidRPr="043A0D26">
              <w:rPr>
                <w:rFonts w:eastAsia="Arial" w:cs="Arial"/>
                <w:b/>
                <w:bCs/>
                <w:color w:val="FFFFFF" w:themeColor="background1"/>
                <w:sz w:val="16"/>
                <w:szCs w:val="16"/>
              </w:rPr>
              <w:t>Section 4. User access controls</w:t>
            </w:r>
          </w:p>
        </w:tc>
      </w:tr>
      <w:tr w:rsidR="00371BD2" w:rsidRPr="00515C49" w:rsidTr="043A0D26">
        <w:trPr>
          <w:trHeight w:val="46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lastRenderedPageBreak/>
              <w:t>Does the solution uniquely identify users e.g. through unique usernames and passwords for end users and all administrative functions?</w:t>
            </w:r>
          </w:p>
        </w:tc>
        <w:tc>
          <w:tcPr>
            <w:tcW w:w="7159" w:type="dxa"/>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The solution will not track an individual’s changes for an audit trail if users are not assigned a unique </w:t>
            </w:r>
            <w:proofErr w:type="spellStart"/>
            <w:r w:rsidRPr="043A0D26">
              <w:rPr>
                <w:rFonts w:eastAsia="Arial" w:cs="Arial"/>
                <w:color w:val="000000" w:themeColor="text1"/>
                <w:sz w:val="16"/>
                <w:szCs w:val="16"/>
              </w:rPr>
              <w:t>userid</w:t>
            </w:r>
            <w:proofErr w:type="spellEnd"/>
          </w:p>
        </w:tc>
        <w:sdt>
          <w:sdtPr>
            <w:rPr>
              <w:rStyle w:val="Style9"/>
              <w:color w:val="auto"/>
              <w:sz w:val="96"/>
              <w:szCs w:val="96"/>
            </w:rPr>
            <w:id w:val="105936511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D42581">
                  <w:rPr>
                    <w:rStyle w:val="Style9"/>
                    <w:color w:val="auto"/>
                    <w:sz w:val="96"/>
                    <w:szCs w:val="96"/>
                  </w:rPr>
                  <w:sym w:font="Wingdings 2" w:char="F02A"/>
                </w:r>
              </w:p>
            </w:tc>
          </w:sdtContent>
        </w:sdt>
        <w:tc>
          <w:tcPr>
            <w:tcW w:w="7732" w:type="dxa"/>
            <w:tcBorders>
              <w:top w:val="nil"/>
              <w:left w:val="single" w:sz="4"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Medium</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100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top w:val="nil"/>
              <w:left w:val="single" w:sz="8" w:space="0" w:color="auto"/>
              <w:bottom w:val="single" w:sz="8" w:space="0" w:color="000000" w:themeColor="text1"/>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385413731"/>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D4258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tcBorders>
              <w:top w:val="nil"/>
              <w:left w:val="single" w:sz="8"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Provide details of credential and access management options supported, including details of storage protection for passwords and other credentials?</w:t>
            </w:r>
          </w:p>
        </w:tc>
        <w:tc>
          <w:tcPr>
            <w:tcW w:w="7159" w:type="dxa"/>
            <w:tcBorders>
              <w:top w:val="nil"/>
              <w:left w:val="nil"/>
              <w:bottom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Passwords are generally stored using a security hash within a key server</w:t>
            </w:r>
          </w:p>
        </w:tc>
        <w:sdt>
          <w:sdtPr>
            <w:rPr>
              <w:rStyle w:val="Style9"/>
              <w:color w:val="auto"/>
              <w:sz w:val="96"/>
              <w:szCs w:val="96"/>
            </w:rPr>
            <w:id w:val="-197860626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D4258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 passwords are stored in clear text</w:t>
            </w:r>
          </w:p>
        </w:tc>
        <w:tc>
          <w:tcPr>
            <w:tcW w:w="1327" w:type="dxa"/>
            <w:tcBorders>
              <w:top w:val="nil"/>
              <w:left w:val="nil"/>
              <w:bottom w:val="nil"/>
              <w:right w:val="nil"/>
            </w:tcBorders>
            <w:shd w:val="clear" w:color="auto" w:fill="FF0000"/>
          </w:tcPr>
          <w:p w:rsidR="00371BD2" w:rsidRPr="00515C49" w:rsidRDefault="00371BD2"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shd w:val="clear" w:color="auto" w:fill="FF0000"/>
              </w:rPr>
              <w:t>High</w:t>
            </w:r>
          </w:p>
        </w:tc>
        <w:tc>
          <w:tcPr>
            <w:tcW w:w="1440" w:type="dxa"/>
            <w:tcBorders>
              <w:top w:val="nil"/>
              <w:left w:val="nil"/>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tcBorders>
              <w:top w:val="nil"/>
              <w:left w:val="single" w:sz="8" w:space="0" w:color="auto"/>
              <w:bottom w:val="single" w:sz="4"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c>
          <w:tcPr>
            <w:tcW w:w="7159" w:type="dxa"/>
            <w:tcBorders>
              <w:top w:val="nil"/>
              <w:left w:val="nil"/>
              <w:bottom w:val="single" w:sz="8"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FFFFFF"/>
                <w:sz w:val="16"/>
                <w:szCs w:val="16"/>
              </w:rPr>
            </w:pPr>
            <w:r w:rsidRPr="043A0D26">
              <w:rPr>
                <w:rFonts w:eastAsia="Arial" w:cs="Arial"/>
                <w:color w:val="FFFFFF" w:themeColor="background1"/>
                <w:sz w:val="16"/>
                <w:szCs w:val="16"/>
              </w:rPr>
              <w:t> </w:t>
            </w:r>
          </w:p>
        </w:tc>
        <w:sdt>
          <w:sdtPr>
            <w:rPr>
              <w:rStyle w:val="Style9"/>
              <w:color w:val="auto"/>
              <w:sz w:val="96"/>
              <w:szCs w:val="96"/>
            </w:rPr>
            <w:id w:val="-922644677"/>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D4258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Yes, reputable independent security reviews and testing with visibility of credential management has been conducted.</w:t>
            </w:r>
            <w:r w:rsidR="002E48AB">
              <w:rPr>
                <w:rFonts w:eastAsia="Arial" w:cs="Arial"/>
                <w:sz w:val="16"/>
                <w:szCs w:val="16"/>
              </w:rPr>
              <w:t xml:space="preserve"> </w:t>
            </w:r>
            <w:r w:rsidRPr="043A0D26">
              <w:rPr>
                <w:rFonts w:eastAsia="Arial" w:cs="Arial"/>
                <w:sz w:val="16"/>
                <w:szCs w:val="16"/>
              </w:rPr>
              <w:t>Full details of the findings are attached.</w:t>
            </w:r>
            <w:r w:rsidR="002E48AB">
              <w:rPr>
                <w:rFonts w:eastAsia="Arial" w:cs="Arial"/>
                <w:sz w:val="16"/>
                <w:szCs w:val="16"/>
              </w:rPr>
              <w:t xml:space="preserve"> </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i/>
                <w:sz w:val="16"/>
                <w:szCs w:val="16"/>
              </w:rPr>
            </w:pPr>
            <w:r w:rsidRPr="043A0D26">
              <w:rPr>
                <w:rFonts w:eastAsia="Arial" w:cs="Arial"/>
                <w:i/>
                <w:iCs/>
                <w:sz w:val="16"/>
                <w:szCs w:val="16"/>
              </w:rPr>
              <w:t>[Agency should still apply internal expertise to validate the applicability of the assessments]</w:t>
            </w:r>
          </w:p>
        </w:tc>
        <w:tc>
          <w:tcPr>
            <w:tcW w:w="1327" w:type="dxa"/>
            <w:tcBorders>
              <w:top w:val="nil"/>
              <w:left w:val="nil"/>
              <w:bottom w:val="nil"/>
              <w:right w:val="nil"/>
            </w:tcBorders>
            <w:shd w:val="clear" w:color="auto" w:fill="00B050"/>
          </w:tcPr>
          <w:p w:rsidR="00371BD2" w:rsidRPr="00515C49" w:rsidRDefault="043A0D26" w:rsidP="00371BD2">
            <w:pPr>
              <w:spacing w:before="0" w:line="240" w:lineRule="auto"/>
              <w:ind w:left="0"/>
              <w:rPr>
                <w:rFonts w:eastAsia="Arial" w:cs="Arial"/>
                <w:color w:val="000000" w:themeColor="text1"/>
                <w:sz w:val="16"/>
                <w:szCs w:val="16"/>
              </w:rPr>
            </w:pPr>
            <w:r w:rsidRPr="043A0D26">
              <w:rPr>
                <w:rFonts w:eastAsia="Arial" w:cs="Arial"/>
                <w:color w:val="FFFFFF" w:themeColor="background1"/>
                <w:sz w:val="16"/>
                <w:szCs w:val="16"/>
              </w:rPr>
              <w:t>Low</w:t>
            </w:r>
          </w:p>
        </w:tc>
        <w:tc>
          <w:tcPr>
            <w:tcW w:w="1440" w:type="dxa"/>
            <w:tcBorders>
              <w:top w:val="nil"/>
              <w:left w:val="nil"/>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val="restart"/>
            <w:tcBorders>
              <w:top w:val="single" w:sz="4" w:space="0" w:color="auto"/>
              <w:left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What are the account authentication reset protocols?</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c>
          <w:tcPr>
            <w:tcW w:w="7159" w:type="dxa"/>
            <w:vMerge w:val="restart"/>
            <w:tcBorders>
              <w:top w:val="nil"/>
              <w:left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Depending on the classification, reset protocols may need to be straight forward or comprehensive for renewed access to an account.</w:t>
            </w:r>
            <w:r w:rsidR="002E48AB">
              <w:rPr>
                <w:rFonts w:eastAsia="Arial" w:cs="Arial"/>
                <w:color w:val="000000" w:themeColor="text1"/>
                <w:sz w:val="16"/>
                <w:szCs w:val="16"/>
              </w:rPr>
              <w:t xml:space="preserve"> </w:t>
            </w:r>
            <w:r w:rsidRPr="043A0D26">
              <w:rPr>
                <w:rFonts w:eastAsia="Arial" w:cs="Arial"/>
                <w:color w:val="000000" w:themeColor="text1"/>
                <w:sz w:val="16"/>
                <w:szCs w:val="16"/>
              </w:rPr>
              <w:t>Seek SME advice to strike the appropriate level of response.</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sdt>
          <w:sdtPr>
            <w:rPr>
              <w:rStyle w:val="Style9"/>
              <w:color w:val="auto"/>
              <w:sz w:val="96"/>
              <w:szCs w:val="96"/>
            </w:rPr>
            <w:id w:val="213937143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D4258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These can be determined by each client or we have a fully -self-service password reset facility.</w:t>
            </w:r>
          </w:p>
        </w:tc>
        <w:tc>
          <w:tcPr>
            <w:tcW w:w="1327" w:type="dxa"/>
            <w:tcBorders>
              <w:top w:val="nil"/>
              <w:left w:val="nil"/>
              <w:bottom w:val="single" w:sz="8" w:space="0" w:color="auto"/>
              <w:right w:val="nil"/>
            </w:tcBorders>
            <w:shd w:val="clear" w:color="auto" w:fill="FF9900"/>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rPr>
              <w:t>Medium</w:t>
            </w:r>
          </w:p>
        </w:tc>
        <w:tc>
          <w:tcPr>
            <w:tcW w:w="1440" w:type="dxa"/>
            <w:tcBorders>
              <w:top w:val="nil"/>
              <w:left w:val="nil"/>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60"/>
        </w:trPr>
        <w:tc>
          <w:tcPr>
            <w:tcW w:w="2793" w:type="dxa"/>
            <w:vMerge/>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nil"/>
              <w:left w:val="single" w:sz="4" w:space="0" w:color="auto"/>
              <w:bottom w:val="single" w:sz="4" w:space="0" w:color="auto"/>
              <w:right w:val="single" w:sz="8" w:space="0" w:color="auto"/>
            </w:tcBorders>
            <w:shd w:val="clear" w:color="auto" w:fill="ED7D31"/>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82194059"/>
            <w14:checkbox>
              <w14:checked w14:val="0"/>
              <w14:checkedState w14:val="0050" w14:font="Wingdings 2"/>
              <w14:uncheckedState w14:val="002A" w14:font="Wingdings 2"/>
            </w14:checkbox>
          </w:sdtPr>
          <w:sdtContent>
            <w:tc>
              <w:tcPr>
                <w:tcW w:w="1339" w:type="dxa"/>
                <w:tcBorders>
                  <w:top w:val="nil"/>
                  <w:left w:val="nil"/>
                  <w:bottom w:val="single" w:sz="4" w:space="0" w:color="auto"/>
                  <w:right w:val="single" w:sz="8" w:space="0" w:color="auto"/>
                </w:tcBorders>
                <w:shd w:val="clear" w:color="auto" w:fill="auto"/>
              </w:tcPr>
              <w:p w:rsidR="00371BD2" w:rsidRDefault="00D1247E" w:rsidP="00371BD2">
                <w:pPr>
                  <w:ind w:left="0"/>
                </w:pPr>
                <w:r>
                  <w:rPr>
                    <w:rStyle w:val="Style9"/>
                    <w:color w:val="auto"/>
                    <w:sz w:val="96"/>
                    <w:szCs w:val="96"/>
                  </w:rPr>
                  <w:sym w:font="Wingdings 2" w:char="F02A"/>
                </w:r>
              </w:p>
            </w:tc>
          </w:sdtContent>
        </w:sdt>
        <w:tc>
          <w:tcPr>
            <w:tcW w:w="7732" w:type="dxa"/>
            <w:tcBorders>
              <w:top w:val="nil"/>
              <w:left w:val="single" w:sz="4" w:space="0" w:color="auto"/>
              <w:bottom w:val="single" w:sz="4"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We conduct a full identity check</w:t>
            </w:r>
          </w:p>
        </w:tc>
        <w:tc>
          <w:tcPr>
            <w:tcW w:w="1327" w:type="dxa"/>
            <w:tcBorders>
              <w:top w:val="nil"/>
              <w:left w:val="nil"/>
              <w:bottom w:val="single" w:sz="4" w:space="0" w:color="auto"/>
              <w:right w:val="nil"/>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tcBorders>
              <w:top w:val="nil"/>
              <w:left w:val="nil"/>
              <w:bottom w:val="single" w:sz="4"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sz w:val="16"/>
                <w:szCs w:val="16"/>
              </w:rPr>
              <w:t>Please describe security architecture and access controls for all levels of users</w:t>
            </w:r>
          </w:p>
        </w:tc>
        <w:tc>
          <w:tcPr>
            <w:tcW w:w="7159"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color w:val="000000" w:themeColor="text1"/>
                <w:sz w:val="16"/>
                <w:szCs w:val="16"/>
              </w:rPr>
              <w:t>SME is required to make this assessment for all but trivial services with low sensitivity.</w:t>
            </w:r>
          </w:p>
        </w:tc>
        <w:sdt>
          <w:sdtPr>
            <w:rPr>
              <w:rStyle w:val="Style9"/>
              <w:color w:val="auto"/>
              <w:sz w:val="96"/>
              <w:szCs w:val="96"/>
            </w:rPr>
            <w:id w:val="-205537608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D42581">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 access controls</w:t>
            </w:r>
          </w:p>
        </w:tc>
        <w:tc>
          <w:tcPr>
            <w:tcW w:w="1327" w:type="dxa"/>
            <w:tcBorders>
              <w:top w:val="single" w:sz="4" w:space="0" w:color="auto"/>
              <w:left w:val="single" w:sz="4" w:space="0" w:color="auto"/>
              <w:bottom w:val="single" w:sz="4" w:space="0" w:color="auto"/>
              <w:right w:val="single" w:sz="4" w:space="0" w:color="auto"/>
            </w:tcBorders>
            <w:shd w:val="clear" w:color="auto" w:fill="FF9900"/>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rPr>
              <w:t>Medium</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909"/>
        </w:trPr>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Does the Solution support multi-factor authentication (MFA)?</w:t>
            </w:r>
          </w:p>
        </w:tc>
        <w:tc>
          <w:tcPr>
            <w:tcW w:w="7159"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000000" w:themeColor="text1"/>
                <w:sz w:val="16"/>
                <w:szCs w:val="16"/>
              </w:rPr>
              <w:t>Subject to a risk assessment, understanding access granted, application context and other detective controls, basic passwords are often acceptable. As per the Queensland Government Authentication Framework (QGAF) remote access to PROTECTED information requires multi factor authentication.</w:t>
            </w:r>
          </w:p>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60876480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D42581">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single" w:sz="4" w:space="0" w:color="auto"/>
              <w:left w:val="single" w:sz="4" w:space="0" w:color="auto"/>
              <w:bottom w:val="single" w:sz="4" w:space="0" w:color="auto"/>
              <w:right w:val="single" w:sz="4" w:space="0" w:color="auto"/>
            </w:tcBorders>
            <w:shd w:val="clear" w:color="auto" w:fill="FF9900"/>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rPr>
              <w:t>Medium</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c>
          <w:tcPr>
            <w:tcW w:w="7159"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000000" w:themeColor="text1"/>
                <w:sz w:val="16"/>
                <w:szCs w:val="16"/>
              </w:rPr>
              <w:t xml:space="preserve">Increasingly MFA has become common practice and is available in many consumer grade services. Given the issues with simple passwords, the demand for MFA is to the point where many users expect it to at least be an option. Additionally, for bulk sensitive data or where compromise can result in making money, MFA is recommended. </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Multifactor authentication is typically suitable for all types of data, however be mindful of the imposition on your users.</w:t>
            </w:r>
          </w:p>
        </w:tc>
        <w:sdt>
          <w:sdtPr>
            <w:rPr>
              <w:rStyle w:val="Style9"/>
              <w:color w:val="auto"/>
              <w:sz w:val="96"/>
              <w:szCs w:val="96"/>
            </w:rPr>
            <w:id w:val="2091974862"/>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D42581">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 xml:space="preserve">Yes </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i/>
                <w:sz w:val="16"/>
                <w:szCs w:val="16"/>
              </w:rPr>
            </w:pPr>
            <w:r w:rsidRPr="043A0D26">
              <w:rPr>
                <w:rFonts w:eastAsia="Arial" w:cs="Arial"/>
                <w:i/>
                <w:iCs/>
                <w:sz w:val="16"/>
                <w:szCs w:val="16"/>
              </w:rPr>
              <w:t>[Subject to agency validation of the MFA and how it is deployed and managed. Appropriateness of registration process must also be understood.]</w:t>
            </w:r>
          </w:p>
        </w:tc>
        <w:tc>
          <w:tcPr>
            <w:tcW w:w="1327" w:type="dxa"/>
            <w:tcBorders>
              <w:top w:val="single" w:sz="4" w:space="0" w:color="auto"/>
              <w:left w:val="single" w:sz="4" w:space="0" w:color="auto"/>
              <w:bottom w:val="single" w:sz="4" w:space="0" w:color="auto"/>
              <w:right w:val="single" w:sz="4"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tcBorders>
              <w:top w:val="single" w:sz="4" w:space="0" w:color="auto"/>
              <w:left w:val="single" w:sz="4"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240"/>
        </w:trPr>
        <w:tc>
          <w:tcPr>
            <w:tcW w:w="21790" w:type="dxa"/>
            <w:gridSpan w:val="6"/>
            <w:tcBorders>
              <w:top w:val="single" w:sz="4" w:space="0" w:color="auto"/>
              <w:left w:val="single" w:sz="8" w:space="0" w:color="auto"/>
              <w:bottom w:val="single" w:sz="8" w:space="0" w:color="auto"/>
              <w:right w:val="single" w:sz="8" w:space="0" w:color="000000" w:themeColor="text1"/>
            </w:tcBorders>
            <w:shd w:val="clear" w:color="auto" w:fill="0070C0"/>
          </w:tcPr>
          <w:p w:rsidR="00371BD2" w:rsidRPr="00515C49" w:rsidRDefault="043A0D26" w:rsidP="00371BD2">
            <w:pPr>
              <w:spacing w:before="0" w:line="240" w:lineRule="auto"/>
              <w:ind w:left="0"/>
              <w:rPr>
                <w:rFonts w:cs="Arial"/>
                <w:b/>
                <w:color w:val="FFFFFF" w:themeColor="background1"/>
                <w:sz w:val="16"/>
                <w:szCs w:val="16"/>
              </w:rPr>
            </w:pPr>
            <w:r w:rsidRPr="043A0D26">
              <w:rPr>
                <w:rFonts w:eastAsia="Arial" w:cs="Arial"/>
                <w:b/>
                <w:bCs/>
                <w:color w:val="FFFFFF" w:themeColor="background1"/>
                <w:sz w:val="16"/>
                <w:szCs w:val="16"/>
              </w:rPr>
              <w:t>Section 5. Quality controls</w:t>
            </w:r>
          </w:p>
        </w:tc>
      </w:tr>
      <w:tr w:rsidR="00371BD2" w:rsidRPr="00515C49" w:rsidTr="043A0D26">
        <w:trPr>
          <w:trHeight w:val="521"/>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Have you implemented change control processes to minimise disruption during business hours?</w:t>
            </w:r>
          </w:p>
        </w:tc>
        <w:tc>
          <w:tcPr>
            <w:tcW w:w="7159" w:type="dxa"/>
            <w:tcBorders>
              <w:top w:val="nil"/>
              <w:left w:val="nil"/>
              <w:bottom w:val="nil"/>
              <w:right w:val="single" w:sz="4" w:space="0" w:color="auto"/>
            </w:tcBorders>
            <w:shd w:val="clear" w:color="auto" w:fill="auto"/>
            <w:hideMark/>
          </w:tcPr>
          <w:p w:rsidR="00371BD2" w:rsidRPr="00515C49" w:rsidRDefault="043A0D26" w:rsidP="00371BD2">
            <w:pPr>
              <w:spacing w:before="0" w:after="240" w:line="240" w:lineRule="auto"/>
              <w:ind w:left="0"/>
              <w:rPr>
                <w:rFonts w:cs="Arial"/>
                <w:color w:val="000000"/>
                <w:sz w:val="16"/>
                <w:szCs w:val="16"/>
              </w:rPr>
            </w:pPr>
            <w:r w:rsidRPr="043A0D26">
              <w:rPr>
                <w:rFonts w:eastAsia="Arial" w:cs="Arial"/>
                <w:color w:val="000000" w:themeColor="text1"/>
                <w:sz w:val="16"/>
                <w:szCs w:val="16"/>
              </w:rPr>
              <w:t>If your business would be impacted by the solution being “offline”, explore these items further.</w:t>
            </w:r>
          </w:p>
        </w:tc>
        <w:sdt>
          <w:sdtPr>
            <w:rPr>
              <w:rStyle w:val="Style9"/>
              <w:color w:val="auto"/>
              <w:sz w:val="96"/>
              <w:szCs w:val="96"/>
            </w:rPr>
            <w:id w:val="1192418101"/>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No</w:t>
            </w:r>
          </w:p>
          <w:p w:rsidR="00371BD2" w:rsidRPr="00515C49" w:rsidRDefault="00371BD2" w:rsidP="00371BD2">
            <w:pPr>
              <w:spacing w:before="0" w:line="240" w:lineRule="auto"/>
              <w:ind w:left="0"/>
              <w:rPr>
                <w:rFonts w:eastAsia="Arial" w:cs="Arial"/>
                <w:sz w:val="16"/>
                <w:szCs w:val="16"/>
              </w:rPr>
            </w:pPr>
          </w:p>
          <w:p w:rsidR="00371BD2" w:rsidRPr="00926995" w:rsidRDefault="043A0D26" w:rsidP="00371BD2">
            <w:pPr>
              <w:spacing w:before="0" w:line="240" w:lineRule="auto"/>
              <w:ind w:left="0"/>
              <w:rPr>
                <w:rFonts w:cs="Arial"/>
                <w:i/>
                <w:sz w:val="16"/>
                <w:szCs w:val="16"/>
              </w:rPr>
            </w:pPr>
            <w:r w:rsidRPr="043A0D26">
              <w:rPr>
                <w:rFonts w:eastAsia="Arial" w:cs="Arial"/>
                <w:i/>
                <w:iCs/>
                <w:sz w:val="16"/>
                <w:szCs w:val="16"/>
              </w:rPr>
              <w:t>[Generally not acceptable unless the service is of little to no business impact, such as an optional limited use cloud service]</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tcBorders>
              <w:top w:val="nil"/>
              <w:left w:val="nil"/>
              <w:bottom w:val="single" w:sz="8"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sdt>
          <w:sdtPr>
            <w:rPr>
              <w:rStyle w:val="Style9"/>
              <w:color w:val="auto"/>
              <w:sz w:val="96"/>
              <w:szCs w:val="96"/>
            </w:rPr>
            <w:id w:val="1301800561"/>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 xml:space="preserve">Yes </w:t>
            </w:r>
          </w:p>
          <w:p w:rsidR="00371BD2" w:rsidRPr="00515C49" w:rsidRDefault="00371BD2" w:rsidP="00371BD2">
            <w:pPr>
              <w:spacing w:before="0" w:line="240" w:lineRule="auto"/>
              <w:ind w:left="0"/>
              <w:rPr>
                <w:rFonts w:eastAsia="Arial" w:cs="Arial"/>
                <w:sz w:val="16"/>
                <w:szCs w:val="16"/>
              </w:rPr>
            </w:pPr>
          </w:p>
          <w:p w:rsidR="00371BD2" w:rsidRPr="00926995" w:rsidRDefault="043A0D26" w:rsidP="00371BD2">
            <w:pPr>
              <w:spacing w:before="0" w:line="240" w:lineRule="auto"/>
              <w:ind w:left="0"/>
              <w:rPr>
                <w:rFonts w:cs="Arial"/>
                <w:i/>
                <w:sz w:val="16"/>
                <w:szCs w:val="16"/>
              </w:rPr>
            </w:pPr>
            <w:r w:rsidRPr="043A0D26">
              <w:rPr>
                <w:rFonts w:eastAsia="Arial" w:cs="Arial"/>
                <w:i/>
                <w:iCs/>
                <w:sz w:val="16"/>
                <w:szCs w:val="16"/>
              </w:rPr>
              <w:t>[Subject to the agency understanding, accepting and being offered assurance about the processes]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4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 you have a Business Continuity Plan in the event of a disaster, a cyber incident or physical attack on the service environment?</w:t>
            </w:r>
          </w:p>
        </w:tc>
        <w:tc>
          <w:tcPr>
            <w:tcW w:w="7159" w:type="dxa"/>
            <w:vMerge w:val="restart"/>
            <w:tcBorders>
              <w:top w:val="single" w:sz="8" w:space="0" w:color="auto"/>
              <w:left w:val="nil"/>
              <w:right w:val="single" w:sz="8" w:space="0" w:color="auto"/>
            </w:tcBorders>
            <w:shd w:val="clear" w:color="auto" w:fill="auto"/>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038474454"/>
            <w14:checkbox>
              <w14:checked w14:val="0"/>
              <w14:checkedState w14:val="0050" w14:font="Wingdings 2"/>
              <w14:uncheckedState w14:val="002A" w14:font="Wingdings 2"/>
            </w14:checkbox>
          </w:sdtPr>
          <w:sdtContent>
            <w:tc>
              <w:tcPr>
                <w:tcW w:w="1339" w:type="dxa"/>
                <w:tcBorders>
                  <w:top w:val="single" w:sz="4" w:space="0" w:color="auto"/>
                  <w:left w:val="single" w:sz="8"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No</w:t>
            </w:r>
          </w:p>
          <w:p w:rsidR="00371BD2" w:rsidRPr="00515C49" w:rsidRDefault="00371BD2" w:rsidP="00371BD2">
            <w:pPr>
              <w:spacing w:before="0" w:line="240" w:lineRule="auto"/>
              <w:ind w:left="0"/>
              <w:rPr>
                <w:rFonts w:eastAsia="Arial" w:cs="Arial"/>
                <w:sz w:val="16"/>
                <w:szCs w:val="16"/>
              </w:rPr>
            </w:pPr>
          </w:p>
          <w:p w:rsidR="00371BD2" w:rsidRPr="00926995" w:rsidRDefault="043A0D26" w:rsidP="00371BD2">
            <w:pPr>
              <w:spacing w:before="0" w:line="240" w:lineRule="auto"/>
              <w:ind w:left="0"/>
              <w:rPr>
                <w:rFonts w:cs="Arial"/>
                <w:i/>
                <w:sz w:val="16"/>
                <w:szCs w:val="16"/>
              </w:rPr>
            </w:pPr>
            <w:r w:rsidRPr="043A0D26">
              <w:rPr>
                <w:rFonts w:eastAsia="Arial" w:cs="Arial"/>
                <w:i/>
                <w:iCs/>
                <w:sz w:val="16"/>
                <w:szCs w:val="16"/>
              </w:rPr>
              <w:t>[Generally not acceptable unless the service is of little to no business impact, such as an optional limited use cloud service]</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cs="Arial"/>
                <w:color w:val="000000"/>
                <w:sz w:val="16"/>
                <w:szCs w:val="16"/>
              </w:rPr>
            </w:pPr>
            <w:r w:rsidRPr="043A0D26">
              <w:rPr>
                <w:rFonts w:eastAsia="Arial" w:cs="Arial"/>
                <w:color w:val="FFFFFF" w:themeColor="background1"/>
                <w:sz w:val="16"/>
                <w:szCs w:val="16"/>
                <w:shd w:val="clear" w:color="auto" w:fill="FF0000"/>
              </w:rPr>
              <w:t>High</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single" w:sz="4" w:space="0" w:color="auto"/>
              <w:left w:val="single" w:sz="8"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FFFFFF"/>
                <w:sz w:val="16"/>
                <w:szCs w:val="16"/>
              </w:rPr>
            </w:pPr>
          </w:p>
        </w:tc>
        <w:sdt>
          <w:sdtPr>
            <w:rPr>
              <w:rStyle w:val="Style9"/>
              <w:color w:val="auto"/>
              <w:sz w:val="96"/>
              <w:szCs w:val="96"/>
            </w:rPr>
            <w:id w:val="-1923716360"/>
            <w14:checkbox>
              <w14:checked w14:val="0"/>
              <w14:checkedState w14:val="0050" w14:font="Wingdings 2"/>
              <w14:uncheckedState w14:val="002A" w14:font="Wingdings 2"/>
            </w14:checkbox>
          </w:sdtPr>
          <w:sdtContent>
            <w:tc>
              <w:tcPr>
                <w:tcW w:w="1339" w:type="dxa"/>
                <w:tcBorders>
                  <w:top w:val="nil"/>
                  <w:left w:val="single" w:sz="4" w:space="0" w:color="auto"/>
                  <w:bottom w:val="single" w:sz="8" w:space="0" w:color="auto"/>
                  <w:right w:val="single" w:sz="8"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and it can be read at our web site. Business continuity of the solution has been certified against ISO 22301 and we can make the full assessment available to you, including details of testing.</w:t>
            </w:r>
          </w:p>
          <w:p w:rsidR="00371BD2" w:rsidRPr="00515C49" w:rsidRDefault="00371BD2" w:rsidP="00371BD2">
            <w:pPr>
              <w:spacing w:before="0" w:line="240" w:lineRule="auto"/>
              <w:ind w:left="0"/>
              <w:rPr>
                <w:rFonts w:cs="Arial"/>
                <w:i/>
                <w:sz w:val="16"/>
                <w:szCs w:val="16"/>
              </w:rPr>
            </w:pPr>
          </w:p>
          <w:p w:rsidR="00371BD2" w:rsidRPr="00515C49" w:rsidRDefault="043A0D26" w:rsidP="00371BD2">
            <w:pPr>
              <w:spacing w:before="0" w:line="240" w:lineRule="auto"/>
              <w:ind w:left="0"/>
              <w:rPr>
                <w:rFonts w:cs="Arial"/>
                <w:i/>
                <w:sz w:val="16"/>
                <w:szCs w:val="16"/>
              </w:rPr>
            </w:pPr>
            <w:r w:rsidRPr="043A0D26">
              <w:rPr>
                <w:rFonts w:eastAsia="Arial" w:cs="Arial"/>
                <w:i/>
                <w:iCs/>
                <w:sz w:val="16"/>
                <w:szCs w:val="16"/>
              </w:rPr>
              <w:t>[Subject to agency assessment of applicability to the planned deployment and assurance commensurate with business criticality]</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tcBorders>
              <w:top w:val="nil"/>
              <w:left w:val="single" w:sz="4"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What is the availability of the Solution, underpinning platform(s) and connectivity? </w:t>
            </w:r>
          </w:p>
        </w:tc>
        <w:tc>
          <w:tcPr>
            <w:tcW w:w="7159" w:type="dxa"/>
            <w:tcBorders>
              <w:top w:val="single" w:sz="8" w:space="0" w:color="auto"/>
              <w:left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000000" w:themeColor="text1"/>
                <w:sz w:val="16"/>
                <w:szCs w:val="16"/>
              </w:rPr>
              <w:t> Availability of business service often extends beyond the availability of individual technical service components and often depends on service integration decisions. Aside from simple standalone services, wherever availability of a service is business critical an SME who understands the interdependencies of the likely deployment design should be consulted.</w:t>
            </w:r>
          </w:p>
          <w:p w:rsidR="00371BD2" w:rsidRPr="00515C49" w:rsidRDefault="00371BD2" w:rsidP="00371BD2">
            <w:pPr>
              <w:spacing w:before="0" w:line="240" w:lineRule="auto"/>
              <w:ind w:left="0"/>
              <w:rPr>
                <w:rFonts w:eastAsia="Arial" w:cs="Arial"/>
                <w:color w:val="000000"/>
                <w:sz w:val="16"/>
                <w:szCs w:val="16"/>
              </w:rPr>
            </w:pP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Availability needs to match business needs. Contractually obligated true high availability (HA) will often increase costs.</w:t>
            </w:r>
          </w:p>
        </w:tc>
        <w:sdt>
          <w:sdtPr>
            <w:rPr>
              <w:rStyle w:val="Style9"/>
              <w:color w:val="auto"/>
              <w:sz w:val="96"/>
              <w:szCs w:val="96"/>
            </w:rPr>
            <w:id w:val="824165482"/>
            <w14:checkbox>
              <w14:checked w14:val="0"/>
              <w14:checkedState w14:val="0050" w14:font="Wingdings 2"/>
              <w14:uncheckedState w14:val="002A" w14:font="Wingdings 2"/>
            </w14:checkbox>
          </w:sdtPr>
          <w:sdtContent>
            <w:tc>
              <w:tcPr>
                <w:tcW w:w="1339" w:type="dxa"/>
                <w:tcBorders>
                  <w:top w:val="single" w:sz="4" w:space="0" w:color="auto"/>
                  <w:left w:val="single" w:sz="8"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Default="00371BD2" w:rsidP="00371BD2">
            <w:pPr>
              <w:spacing w:before="0" w:line="240" w:lineRule="auto"/>
              <w:ind w:left="0"/>
              <w:rPr>
                <w:rFonts w:cs="Arial"/>
                <w:sz w:val="16"/>
                <w:szCs w:val="16"/>
              </w:rPr>
            </w:pPr>
          </w:p>
          <w:p w:rsidR="00371BD2" w:rsidRPr="0054291F" w:rsidRDefault="043A0D26" w:rsidP="00371BD2">
            <w:pPr>
              <w:spacing w:before="0" w:line="240" w:lineRule="auto"/>
              <w:ind w:left="0"/>
              <w:rPr>
                <w:rFonts w:cs="Arial"/>
                <w:i/>
                <w:sz w:val="16"/>
                <w:szCs w:val="16"/>
              </w:rPr>
            </w:pPr>
            <w:r w:rsidRPr="043A0D26">
              <w:rPr>
                <w:rFonts w:eastAsia="Arial" w:cs="Arial"/>
                <w:i/>
                <w:iCs/>
                <w:sz w:val="16"/>
                <w:szCs w:val="16"/>
              </w:rPr>
              <w:t>[Consult SME]</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700"/>
        </w:trPr>
        <w:tc>
          <w:tcPr>
            <w:tcW w:w="2793" w:type="dxa"/>
            <w:vMerge w:val="restart"/>
            <w:tcBorders>
              <w:top w:val="single" w:sz="8" w:space="0" w:color="auto"/>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Do you notify your customers of all security incidents, including all cases where their data or service may be impacted? Impacts may include corruption of data, unauthorised access and availability impacts or loss </w:t>
            </w:r>
          </w:p>
        </w:tc>
        <w:tc>
          <w:tcPr>
            <w:tcW w:w="7159" w:type="dxa"/>
            <w:vMerge w:val="restart"/>
            <w:tcBorders>
              <w:top w:val="single" w:sz="8" w:space="0" w:color="auto"/>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If data integrity is critical, explore these items in further detail with the system provider.</w:t>
            </w:r>
          </w:p>
        </w:tc>
        <w:sdt>
          <w:sdtPr>
            <w:rPr>
              <w:rStyle w:val="Style9"/>
              <w:color w:val="auto"/>
              <w:sz w:val="96"/>
              <w:szCs w:val="96"/>
            </w:rPr>
            <w:id w:val="-1072891617"/>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rPr>
              <w:t>Low</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single" w:sz="8" w:space="0" w:color="auto"/>
              <w:left w:val="single" w:sz="8" w:space="0" w:color="auto"/>
              <w:bottom w:val="single" w:sz="4" w:space="0" w:color="auto"/>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4"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730668187"/>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4"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No</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sz w:val="16"/>
                <w:szCs w:val="16"/>
              </w:rPr>
            </w:pPr>
            <w:r w:rsidRPr="043A0D26">
              <w:rPr>
                <w:rFonts w:eastAsia="Arial" w:cs="Arial"/>
                <w:sz w:val="16"/>
                <w:szCs w:val="16"/>
              </w:rPr>
              <w:t>[</w:t>
            </w:r>
            <w:r w:rsidRPr="043A0D26">
              <w:rPr>
                <w:rFonts w:eastAsia="Arial" w:cs="Arial"/>
                <w:i/>
                <w:iCs/>
                <w:sz w:val="16"/>
                <w:szCs w:val="16"/>
              </w:rPr>
              <w:t>Generally not acceptable unless the service is of little to no business impact, such as an optional limited use cloud service]</w:t>
            </w:r>
          </w:p>
        </w:tc>
        <w:tc>
          <w:tcPr>
            <w:tcW w:w="1327" w:type="dxa"/>
            <w:tcBorders>
              <w:top w:val="nil"/>
              <w:left w:val="single" w:sz="8" w:space="0" w:color="auto"/>
              <w:bottom w:val="single" w:sz="4" w:space="0" w:color="auto"/>
              <w:right w:val="single" w:sz="8" w:space="0" w:color="auto"/>
            </w:tcBorders>
            <w:shd w:val="clear" w:color="auto" w:fill="FF00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High</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val="restart"/>
            <w:tcBorders>
              <w:top w:val="single" w:sz="4" w:space="0" w:color="auto"/>
              <w:left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Does your solution use data loss prevention (DLP) technologies?</w:t>
            </w:r>
          </w:p>
        </w:tc>
        <w:tc>
          <w:tcPr>
            <w:tcW w:w="7159" w:type="dxa"/>
            <w:vMerge w:val="restart"/>
            <w:tcBorders>
              <w:top w:val="single" w:sz="4" w:space="0" w:color="auto"/>
              <w:left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If data integrity is critical, explore these items in further detail with the system provider.</w:t>
            </w:r>
          </w:p>
        </w:tc>
        <w:sdt>
          <w:sdtPr>
            <w:rPr>
              <w:rStyle w:val="Style9"/>
              <w:color w:val="auto"/>
              <w:sz w:val="96"/>
              <w:szCs w:val="96"/>
            </w:rPr>
            <w:id w:val="-467749193"/>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single" w:sz="4" w:space="0" w:color="auto"/>
              <w:left w:val="single" w:sz="4" w:space="0" w:color="auto"/>
              <w:bottom w:val="single" w:sz="4" w:space="0" w:color="auto"/>
              <w:right w:val="single" w:sz="4" w:space="0" w:color="auto"/>
            </w:tcBorders>
            <w:shd w:val="clear" w:color="auto" w:fill="FF9900"/>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rPr>
              <w:t>Medium</w:t>
            </w:r>
          </w:p>
        </w:tc>
        <w:tc>
          <w:tcPr>
            <w:tcW w:w="1440"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rPr>
                <w:rFonts w:cs="Arial"/>
                <w:color w:val="000000"/>
                <w:sz w:val="16"/>
                <w:szCs w:val="16"/>
              </w:rPr>
            </w:pPr>
          </w:p>
        </w:tc>
        <w:tc>
          <w:tcPr>
            <w:tcW w:w="7159" w:type="dxa"/>
            <w:vMerge/>
            <w:tcBorders>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47783692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Yes.</w:t>
            </w:r>
            <w:r w:rsidR="002E48AB">
              <w:rPr>
                <w:rFonts w:eastAsia="Arial" w:cs="Arial"/>
                <w:sz w:val="16"/>
                <w:szCs w:val="16"/>
              </w:rPr>
              <w:t xml:space="preserve"> </w:t>
            </w:r>
            <w:r w:rsidRPr="043A0D26">
              <w:rPr>
                <w:rFonts w:eastAsia="Arial" w:cs="Arial"/>
                <w:sz w:val="16"/>
                <w:szCs w:val="16"/>
              </w:rPr>
              <w:t>We use a range of proprietary tools to ensure your data is safe …</w:t>
            </w:r>
          </w:p>
          <w:p w:rsidR="00371BD2" w:rsidRPr="00515C49" w:rsidRDefault="00371BD2" w:rsidP="00371BD2">
            <w:pPr>
              <w:spacing w:before="0" w:line="240" w:lineRule="auto"/>
              <w:ind w:left="0"/>
              <w:rPr>
                <w:rFonts w:cs="Arial"/>
                <w:sz w:val="16"/>
                <w:szCs w:val="16"/>
              </w:rPr>
            </w:pPr>
          </w:p>
          <w:p w:rsidR="00371BD2" w:rsidRPr="006B1867" w:rsidRDefault="043A0D26" w:rsidP="00371BD2">
            <w:pPr>
              <w:spacing w:before="0" w:line="240" w:lineRule="auto"/>
              <w:ind w:left="0"/>
              <w:rPr>
                <w:rFonts w:cs="Arial"/>
                <w:i/>
                <w:sz w:val="16"/>
                <w:szCs w:val="16"/>
              </w:rPr>
            </w:pPr>
            <w:r w:rsidRPr="043A0D26">
              <w:rPr>
                <w:rFonts w:eastAsia="Arial" w:cs="Arial"/>
                <w:i/>
                <w:iCs/>
                <w:sz w:val="16"/>
                <w:szCs w:val="16"/>
              </w:rPr>
              <w:t>[Where DLP is a considered a key mitigating control, an SME should be engaged to confirm the effectiveness of the solution.]</w:t>
            </w:r>
          </w:p>
        </w:tc>
        <w:tc>
          <w:tcPr>
            <w:tcW w:w="1327" w:type="dxa"/>
            <w:tcBorders>
              <w:top w:val="single" w:sz="4" w:space="0" w:color="auto"/>
              <w:left w:val="single" w:sz="4" w:space="0" w:color="auto"/>
              <w:bottom w:val="single" w:sz="4" w:space="0" w:color="auto"/>
              <w:right w:val="single" w:sz="4" w:space="0" w:color="auto"/>
            </w:tcBorders>
            <w:shd w:val="clear" w:color="auto" w:fill="00B050"/>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rPr>
              <w:t>Low</w:t>
            </w:r>
          </w:p>
        </w:tc>
        <w:tc>
          <w:tcPr>
            <w:tcW w:w="1440"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1560"/>
        </w:trPr>
        <w:tc>
          <w:tcPr>
            <w:tcW w:w="2793" w:type="dxa"/>
            <w:vMerge w:val="restart"/>
            <w:tcBorders>
              <w:top w:val="single" w:sz="4" w:space="0" w:color="auto"/>
              <w:left w:val="single" w:sz="4"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xml:space="preserve">What is the </w:t>
            </w:r>
            <w:r w:rsidR="00CF2664" w:rsidRPr="043A0D26">
              <w:rPr>
                <w:rFonts w:eastAsia="Arial" w:cs="Arial"/>
                <w:color w:val="000000" w:themeColor="text1"/>
                <w:sz w:val="16"/>
                <w:szCs w:val="16"/>
              </w:rPr>
              <w:t xml:space="preserve">recovery time objective </w:t>
            </w:r>
            <w:r w:rsidRPr="043A0D26">
              <w:rPr>
                <w:rFonts w:eastAsia="Arial" w:cs="Arial"/>
                <w:color w:val="000000" w:themeColor="text1"/>
                <w:sz w:val="16"/>
                <w:szCs w:val="16"/>
              </w:rPr>
              <w:t>(RTO)?</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c>
          <w:tcPr>
            <w:tcW w:w="7159" w:type="dxa"/>
            <w:vMerge w:val="restart"/>
            <w:tcBorders>
              <w:top w:val="single" w:sz="4" w:space="0" w:color="auto"/>
              <w:left w:val="nil"/>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The RTO represents how long the vendor will take to recover your data, therefore the vendor’s response should align, or exceed, how long your business would be able to survive without the solution.</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sdt>
          <w:sdtPr>
            <w:rPr>
              <w:rStyle w:val="Style9"/>
              <w:color w:val="auto"/>
              <w:sz w:val="96"/>
              <w:szCs w:val="96"/>
            </w:rPr>
            <w:id w:val="103268890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single" w:sz="4" w:space="0" w:color="auto"/>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eastAsia="Arial" w:cs="Arial"/>
                <w:sz w:val="16"/>
                <w:szCs w:val="16"/>
              </w:rPr>
            </w:pPr>
            <w:r w:rsidRPr="043A0D26">
              <w:rPr>
                <w:rFonts w:eastAsia="Arial" w:cs="Arial"/>
                <w:sz w:val="16"/>
                <w:szCs w:val="16"/>
              </w:rPr>
              <w:t>Yes.</w:t>
            </w:r>
            <w:r w:rsidR="002E48AB">
              <w:rPr>
                <w:rFonts w:eastAsia="Arial" w:cs="Arial"/>
                <w:sz w:val="16"/>
                <w:szCs w:val="16"/>
              </w:rPr>
              <w:t xml:space="preserve"> </w:t>
            </w:r>
            <w:r w:rsidRPr="043A0D26">
              <w:rPr>
                <w:rFonts w:eastAsia="Arial" w:cs="Arial"/>
                <w:sz w:val="16"/>
                <w:szCs w:val="16"/>
              </w:rPr>
              <w:t xml:space="preserve"> Choose the RTO that applies to your service</w:t>
            </w:r>
            <w:r w:rsidR="00371BD2">
              <w:br/>
            </w:r>
            <w:r w:rsidRPr="043A0D26">
              <w:rPr>
                <w:rFonts w:eastAsia="Arial" w:cs="Arial"/>
                <w:sz w:val="16"/>
                <w:szCs w:val="16"/>
              </w:rPr>
              <w:t>99.99% = 5 min</w:t>
            </w:r>
            <w:r w:rsidR="00371BD2">
              <w:br/>
            </w:r>
            <w:r w:rsidRPr="043A0D26">
              <w:rPr>
                <w:rFonts w:eastAsia="Arial" w:cs="Arial"/>
                <w:sz w:val="16"/>
                <w:szCs w:val="16"/>
              </w:rPr>
              <w:t>99.95% =10 min</w:t>
            </w:r>
            <w:r w:rsidR="00371BD2">
              <w:br/>
            </w:r>
            <w:r w:rsidRPr="043A0D26">
              <w:rPr>
                <w:rFonts w:eastAsia="Arial" w:cs="Arial"/>
                <w:sz w:val="16"/>
                <w:szCs w:val="16"/>
              </w:rPr>
              <w:t>99.8% = 30 min</w:t>
            </w:r>
            <w:r w:rsidR="00371BD2">
              <w:br/>
            </w:r>
            <w:r w:rsidRPr="043A0D26">
              <w:rPr>
                <w:rFonts w:eastAsia="Arial" w:cs="Arial"/>
                <w:sz w:val="16"/>
                <w:szCs w:val="16"/>
              </w:rPr>
              <w:t>99.5% = 2 hours</w:t>
            </w:r>
            <w:r w:rsidR="00371BD2">
              <w:br/>
            </w:r>
            <w:r w:rsidRPr="043A0D26">
              <w:rPr>
                <w:rFonts w:eastAsia="Arial" w:cs="Arial"/>
                <w:sz w:val="16"/>
                <w:szCs w:val="16"/>
              </w:rPr>
              <w:t>98% = 4 hours</w:t>
            </w:r>
            <w:r w:rsidR="00371BD2">
              <w:br/>
            </w:r>
            <w:r w:rsidRPr="043A0D26">
              <w:rPr>
                <w:rFonts w:eastAsia="Arial" w:cs="Arial"/>
                <w:sz w:val="16"/>
                <w:szCs w:val="16"/>
              </w:rPr>
              <w:t>not stated = best effort</w:t>
            </w:r>
          </w:p>
          <w:p w:rsidR="00371BD2" w:rsidRPr="00515C49" w:rsidRDefault="00371BD2" w:rsidP="00371BD2">
            <w:pPr>
              <w:spacing w:before="0" w:line="240" w:lineRule="auto"/>
              <w:ind w:left="0"/>
              <w:rPr>
                <w:rFonts w:eastAsia="Arial" w:cs="Arial"/>
                <w:sz w:val="16"/>
                <w:szCs w:val="16"/>
              </w:rPr>
            </w:pPr>
          </w:p>
          <w:p w:rsidR="00371BD2" w:rsidRPr="00515C49" w:rsidRDefault="043A0D26" w:rsidP="00371BD2">
            <w:pPr>
              <w:spacing w:before="0" w:line="240" w:lineRule="auto"/>
              <w:ind w:left="0"/>
              <w:rPr>
                <w:rFonts w:cs="Arial"/>
                <w:i/>
                <w:sz w:val="16"/>
                <w:szCs w:val="16"/>
              </w:rPr>
            </w:pPr>
            <w:r w:rsidRPr="043A0D26">
              <w:rPr>
                <w:rFonts w:eastAsia="Arial" w:cs="Arial"/>
                <w:i/>
                <w:iCs/>
                <w:sz w:val="16"/>
                <w:szCs w:val="16"/>
              </w:rPr>
              <w:t>[Agency must understand their own business requirement compared to as-a-service provider commitment, and include contract compensation for failure to meet service level]</w:t>
            </w:r>
          </w:p>
        </w:tc>
        <w:tc>
          <w:tcPr>
            <w:tcW w:w="1327" w:type="dxa"/>
            <w:tcBorders>
              <w:top w:val="single" w:sz="4" w:space="0" w:color="auto"/>
              <w:left w:val="nil"/>
              <w:bottom w:val="single" w:sz="8" w:space="0" w:color="auto"/>
              <w:right w:val="nil"/>
            </w:tcBorders>
            <w:shd w:val="clear" w:color="auto" w:fill="00B050"/>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rPr>
              <w:t>Low</w:t>
            </w:r>
          </w:p>
        </w:tc>
        <w:tc>
          <w:tcPr>
            <w:tcW w:w="1440" w:type="dxa"/>
            <w:tcBorders>
              <w:top w:val="nil"/>
              <w:left w:val="nil"/>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single" w:sz="8" w:space="0" w:color="auto"/>
              <w:left w:val="single" w:sz="4" w:space="0" w:color="auto"/>
              <w:bottom w:val="single" w:sz="4" w:space="0" w:color="auto"/>
              <w:right w:val="single" w:sz="8"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single" w:sz="8" w:space="0" w:color="auto"/>
              <w:left w:val="single" w:sz="8" w:space="0" w:color="auto"/>
              <w:bottom w:val="single" w:sz="8" w:space="0" w:color="auto"/>
              <w:right w:val="single" w:sz="4" w:space="0" w:color="auto"/>
            </w:tcBorders>
            <w:shd w:val="clear" w:color="auto" w:fill="FF0000"/>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392545411"/>
            <w14:checkbox>
              <w14:checked w14:val="0"/>
              <w14:checkedState w14:val="0050" w14:font="Wingdings 2"/>
              <w14:uncheckedState w14:val="002A" w14:font="Wingdings 2"/>
            </w14:checkbox>
          </w:sdtPr>
          <w:sdtContent>
            <w:tc>
              <w:tcPr>
                <w:tcW w:w="1339" w:type="dxa"/>
                <w:tcBorders>
                  <w:top w:val="nil"/>
                  <w:left w:val="single" w:sz="4" w:space="0" w:color="auto"/>
                  <w:bottom w:val="single" w:sz="8" w:space="0" w:color="auto"/>
                  <w:right w:val="single" w:sz="8" w:space="0" w:color="auto"/>
                </w:tcBorders>
                <w:shd w:val="clear" w:color="auto" w:fill="auto"/>
              </w:tcPr>
              <w:p w:rsidR="00371BD2" w:rsidRDefault="00371BD2" w:rsidP="00371BD2">
                <w:pPr>
                  <w:ind w:left="0"/>
                </w:pPr>
                <w:r>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Default="00371BD2" w:rsidP="00371BD2">
            <w:pPr>
              <w:spacing w:before="0" w:line="240" w:lineRule="auto"/>
              <w:ind w:left="0"/>
              <w:rPr>
                <w:rFonts w:eastAsia="Arial" w:cs="Arial"/>
                <w:i/>
                <w:sz w:val="16"/>
                <w:szCs w:val="16"/>
              </w:rPr>
            </w:pPr>
          </w:p>
          <w:p w:rsidR="00371BD2" w:rsidRPr="00321527" w:rsidRDefault="043A0D26" w:rsidP="00371BD2">
            <w:pPr>
              <w:spacing w:before="0" w:line="240" w:lineRule="auto"/>
              <w:ind w:left="0"/>
              <w:rPr>
                <w:rFonts w:cs="Arial"/>
                <w:i/>
                <w:sz w:val="16"/>
                <w:szCs w:val="16"/>
              </w:rPr>
            </w:pPr>
            <w:r w:rsidRPr="043A0D26">
              <w:rPr>
                <w:rFonts w:eastAsia="Arial" w:cs="Arial"/>
                <w:i/>
                <w:iCs/>
                <w:sz w:val="16"/>
                <w:szCs w:val="16"/>
              </w:rPr>
              <w:t>[None specified]</w:t>
            </w:r>
          </w:p>
        </w:tc>
        <w:tc>
          <w:tcPr>
            <w:tcW w:w="1327" w:type="dxa"/>
            <w:tcBorders>
              <w:top w:val="nil"/>
              <w:left w:val="nil"/>
              <w:bottom w:val="single" w:sz="8" w:space="0" w:color="auto"/>
              <w:right w:val="nil"/>
            </w:tcBorders>
            <w:shd w:val="clear" w:color="auto" w:fill="FF0000"/>
          </w:tcPr>
          <w:p w:rsidR="00371BD2" w:rsidRPr="00515C49" w:rsidRDefault="00371BD2" w:rsidP="00371BD2">
            <w:pPr>
              <w:spacing w:before="0" w:line="240" w:lineRule="auto"/>
              <w:ind w:left="0"/>
              <w:rPr>
                <w:rFonts w:cs="Arial"/>
                <w:color w:val="000000"/>
                <w:sz w:val="16"/>
                <w:szCs w:val="16"/>
              </w:rPr>
            </w:pPr>
            <w:r w:rsidRPr="043A0D26">
              <w:rPr>
                <w:rFonts w:eastAsia="Arial" w:cs="Arial"/>
                <w:color w:val="FFFFFF" w:themeColor="background1"/>
                <w:sz w:val="16"/>
                <w:szCs w:val="16"/>
                <w:shd w:val="clear" w:color="auto" w:fill="FF0000"/>
              </w:rPr>
              <w:t>High</w:t>
            </w:r>
          </w:p>
        </w:tc>
        <w:tc>
          <w:tcPr>
            <w:tcW w:w="1440" w:type="dxa"/>
            <w:tcBorders>
              <w:top w:val="nil"/>
              <w:left w:val="nil"/>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1340"/>
        </w:trPr>
        <w:tc>
          <w:tcPr>
            <w:tcW w:w="2793" w:type="dxa"/>
            <w:vMerge w:val="restart"/>
            <w:tcBorders>
              <w:top w:val="single" w:sz="8" w:space="0" w:color="auto"/>
              <w:left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What is the Recovery Point Objective (RPO)?</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c>
          <w:tcPr>
            <w:tcW w:w="7159" w:type="dxa"/>
            <w:vMerge w:val="restart"/>
            <w:tcBorders>
              <w:top w:val="single" w:sz="8" w:space="0" w:color="auto"/>
              <w:left w:val="single" w:sz="4"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The RPO represents how much data could be lost in the recovery, therefore the vendor’s response should align, or exceed, how much data you could accept losing.</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sdt>
          <w:sdtPr>
            <w:rPr>
              <w:rStyle w:val="Style9"/>
              <w:color w:val="auto"/>
              <w:sz w:val="96"/>
              <w:szCs w:val="96"/>
            </w:rPr>
            <w:id w:val="-1415399949"/>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w:t>
            </w:r>
            <w:r w:rsidR="002E48AB">
              <w:rPr>
                <w:rFonts w:eastAsia="Arial" w:cs="Arial"/>
                <w:sz w:val="16"/>
                <w:szCs w:val="16"/>
              </w:rPr>
              <w:t xml:space="preserve"> </w:t>
            </w:r>
            <w:r w:rsidRPr="043A0D26">
              <w:rPr>
                <w:rFonts w:eastAsia="Arial" w:cs="Arial"/>
                <w:sz w:val="16"/>
                <w:szCs w:val="16"/>
              </w:rPr>
              <w:t xml:space="preserve"> Choose the RPO that applies to your service</w:t>
            </w:r>
            <w:r w:rsidR="00371BD2">
              <w:br/>
            </w:r>
            <w:r w:rsidRPr="043A0D26">
              <w:rPr>
                <w:rFonts w:eastAsia="Arial" w:cs="Arial"/>
                <w:sz w:val="16"/>
                <w:szCs w:val="16"/>
              </w:rPr>
              <w:t>99.99% = 0 min</w:t>
            </w:r>
            <w:r w:rsidR="00371BD2">
              <w:br/>
            </w:r>
            <w:r w:rsidRPr="043A0D26">
              <w:rPr>
                <w:rFonts w:eastAsia="Arial" w:cs="Arial"/>
                <w:sz w:val="16"/>
                <w:szCs w:val="16"/>
              </w:rPr>
              <w:t>99.95% =5 min</w:t>
            </w:r>
            <w:r w:rsidR="00371BD2">
              <w:br/>
            </w:r>
            <w:r w:rsidRPr="043A0D26">
              <w:rPr>
                <w:rFonts w:eastAsia="Arial" w:cs="Arial"/>
                <w:sz w:val="16"/>
                <w:szCs w:val="16"/>
              </w:rPr>
              <w:t>99.8% = 15 min</w:t>
            </w:r>
            <w:r w:rsidR="00371BD2">
              <w:br/>
            </w:r>
            <w:r w:rsidRPr="043A0D26">
              <w:rPr>
                <w:rFonts w:eastAsia="Arial" w:cs="Arial"/>
                <w:sz w:val="16"/>
                <w:szCs w:val="16"/>
              </w:rPr>
              <w:t>99.5% = 12 hours</w:t>
            </w:r>
            <w:r w:rsidR="00371BD2">
              <w:br/>
            </w:r>
            <w:r w:rsidRPr="043A0D26">
              <w:rPr>
                <w:rFonts w:eastAsia="Arial" w:cs="Arial"/>
                <w:sz w:val="16"/>
                <w:szCs w:val="16"/>
              </w:rPr>
              <w:t>98% = 1 day</w:t>
            </w:r>
          </w:p>
        </w:tc>
        <w:tc>
          <w:tcPr>
            <w:tcW w:w="1327" w:type="dxa"/>
            <w:tcBorders>
              <w:top w:val="nil"/>
              <w:left w:val="nil"/>
              <w:bottom w:val="single" w:sz="8" w:space="0" w:color="auto"/>
              <w:right w:val="nil"/>
            </w:tcBorders>
            <w:shd w:val="clear" w:color="auto" w:fill="00B050"/>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rPr>
              <w:t>Low</w:t>
            </w:r>
          </w:p>
        </w:tc>
        <w:tc>
          <w:tcPr>
            <w:tcW w:w="1440" w:type="dxa"/>
            <w:tcBorders>
              <w:top w:val="nil"/>
              <w:left w:val="nil"/>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nil"/>
              <w:left w:val="single" w:sz="4" w:space="0" w:color="auto"/>
              <w:bottom w:val="single" w:sz="8" w:space="0" w:color="auto"/>
              <w:right w:val="single" w:sz="8" w:space="0" w:color="auto"/>
            </w:tcBorders>
            <w:shd w:val="clear" w:color="auto" w:fill="FF0000"/>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706836490"/>
            <w14:checkbox>
              <w14:checked w14:val="0"/>
              <w14:checkedState w14:val="0050" w14:font="Wingdings 2"/>
              <w14:uncheckedState w14:val="002A" w14:font="Wingdings 2"/>
            </w14:checkbox>
          </w:sdtPr>
          <w:sdtContent>
            <w:tc>
              <w:tcPr>
                <w:tcW w:w="1339" w:type="dxa"/>
                <w:tcBorders>
                  <w:top w:val="nil"/>
                  <w:left w:val="nil"/>
                  <w:bottom w:val="nil"/>
                  <w:right w:val="single" w:sz="8"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Default="00371BD2" w:rsidP="00371BD2">
            <w:pPr>
              <w:spacing w:before="0" w:line="240" w:lineRule="auto"/>
              <w:ind w:left="0"/>
              <w:rPr>
                <w:rFonts w:cs="Arial"/>
                <w:sz w:val="16"/>
                <w:szCs w:val="16"/>
              </w:rPr>
            </w:pPr>
          </w:p>
          <w:p w:rsidR="00371BD2" w:rsidRPr="00515C49" w:rsidRDefault="043A0D26" w:rsidP="00371BD2">
            <w:pPr>
              <w:spacing w:before="0" w:line="240" w:lineRule="auto"/>
              <w:ind w:left="0"/>
              <w:rPr>
                <w:rFonts w:cs="Arial"/>
                <w:sz w:val="16"/>
                <w:szCs w:val="16"/>
              </w:rPr>
            </w:pPr>
            <w:r w:rsidRPr="043A0D26">
              <w:rPr>
                <w:rFonts w:eastAsia="Arial" w:cs="Arial"/>
                <w:i/>
                <w:iCs/>
                <w:sz w:val="16"/>
                <w:szCs w:val="16"/>
              </w:rPr>
              <w:t>[None specified]</w:t>
            </w:r>
          </w:p>
        </w:tc>
        <w:tc>
          <w:tcPr>
            <w:tcW w:w="1327" w:type="dxa"/>
            <w:tcBorders>
              <w:top w:val="nil"/>
              <w:left w:val="nil"/>
              <w:bottom w:val="nil"/>
              <w:right w:val="nil"/>
            </w:tcBorders>
            <w:shd w:val="clear" w:color="auto" w:fill="FF0000"/>
          </w:tcPr>
          <w:p w:rsidR="00371BD2" w:rsidRPr="00515C49" w:rsidRDefault="00371BD2" w:rsidP="00371BD2">
            <w:pPr>
              <w:spacing w:before="0" w:line="240" w:lineRule="auto"/>
              <w:ind w:left="0"/>
              <w:rPr>
                <w:rFonts w:cs="Arial"/>
                <w:color w:val="000000"/>
                <w:sz w:val="16"/>
                <w:szCs w:val="16"/>
              </w:rPr>
            </w:pPr>
            <w:r w:rsidRPr="043A0D26">
              <w:rPr>
                <w:rFonts w:eastAsia="Arial" w:cs="Arial"/>
                <w:color w:val="FFFFFF" w:themeColor="background1"/>
                <w:sz w:val="16"/>
                <w:szCs w:val="16"/>
                <w:shd w:val="clear" w:color="auto" w:fill="FF0000"/>
              </w:rPr>
              <w:t>High</w:t>
            </w:r>
          </w:p>
        </w:tc>
        <w:tc>
          <w:tcPr>
            <w:tcW w:w="1440" w:type="dxa"/>
            <w:tcBorders>
              <w:top w:val="nil"/>
              <w:left w:val="nil"/>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val="restart"/>
            <w:tcBorders>
              <w:top w:val="single" w:sz="8" w:space="0" w:color="auto"/>
              <w:left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 you make the data available to the customer in an agreed format upon request?</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c>
          <w:tcPr>
            <w:tcW w:w="7159" w:type="dxa"/>
            <w:vMerge w:val="restart"/>
            <w:tcBorders>
              <w:top w:val="single" w:sz="8" w:space="0" w:color="auto"/>
              <w:left w:val="single" w:sz="8"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If you are required to retain copies of the data for record keeping purposes, then you may wish to explore these items further.</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sdt>
          <w:sdtPr>
            <w:rPr>
              <w:rStyle w:val="Style9"/>
              <w:color w:val="auto"/>
              <w:sz w:val="96"/>
              <w:szCs w:val="96"/>
            </w:rPr>
            <w:id w:val="-1294514694"/>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single" w:sz="8" w:space="0" w:color="auto"/>
              <w:left w:val="single" w:sz="8" w:space="0" w:color="auto"/>
              <w:bottom w:val="nil"/>
              <w:right w:val="single" w:sz="8" w:space="0" w:color="auto"/>
            </w:tcBorders>
            <w:shd w:val="clear" w:color="auto" w:fill="FF9900"/>
          </w:tcPr>
          <w:p w:rsidR="00371BD2" w:rsidRPr="00515C49" w:rsidRDefault="043A0D26"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rPr>
              <w:t>Medium</w:t>
            </w:r>
          </w:p>
        </w:tc>
        <w:tc>
          <w:tcPr>
            <w:tcW w:w="1440" w:type="dxa"/>
            <w:vMerge w:val="restart"/>
            <w:tcBorders>
              <w:top w:val="single" w:sz="8" w:space="0" w:color="auto"/>
              <w:left w:val="single" w:sz="8" w:space="0" w:color="auto"/>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left w:val="single" w:sz="8" w:space="0" w:color="auto"/>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left w:val="single" w:sz="8"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80042755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as specified in our contract.</w:t>
            </w:r>
          </w:p>
        </w:tc>
        <w:tc>
          <w:tcPr>
            <w:tcW w:w="1327" w:type="dxa"/>
            <w:tcBorders>
              <w:top w:val="single" w:sz="8" w:space="0" w:color="auto"/>
              <w:left w:val="single" w:sz="8" w:space="0" w:color="auto"/>
              <w:bottom w:val="nil"/>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single" w:sz="8" w:space="0" w:color="auto"/>
              <w:left w:val="single" w:sz="8" w:space="0" w:color="auto"/>
              <w:bottom w:val="nil"/>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left w:val="single" w:sz="8" w:space="0" w:color="auto"/>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left w:val="single" w:sz="8" w:space="0" w:color="auto"/>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78121933"/>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but in predefined format</w:t>
            </w:r>
          </w:p>
        </w:tc>
        <w:tc>
          <w:tcPr>
            <w:tcW w:w="1327" w:type="dxa"/>
            <w:tcBorders>
              <w:top w:val="single" w:sz="8" w:space="0" w:color="auto"/>
              <w:left w:val="single" w:sz="8" w:space="0" w:color="auto"/>
              <w:bottom w:val="nil"/>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single" w:sz="8" w:space="0" w:color="auto"/>
              <w:left w:val="single" w:sz="8" w:space="0" w:color="auto"/>
              <w:bottom w:val="nil"/>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nil"/>
              <w:left w:val="single" w:sz="4" w:space="0" w:color="auto"/>
              <w:bottom w:val="single" w:sz="8" w:space="0" w:color="auto"/>
              <w:right w:val="single" w:sz="8" w:space="0" w:color="auto"/>
            </w:tcBorders>
            <w:shd w:val="clear" w:color="auto" w:fill="00B050"/>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334449888"/>
            <w14:checkbox>
              <w14:checked w14:val="0"/>
              <w14:checkedState w14:val="0050" w14:font="Wingdings 2"/>
              <w14:uncheckedState w14:val="002A" w14:font="Wingdings 2"/>
            </w14:checkbox>
          </w:sdtPr>
          <w:sdtContent>
            <w:tc>
              <w:tcPr>
                <w:tcW w:w="1339" w:type="dxa"/>
                <w:tcBorders>
                  <w:top w:val="nil"/>
                  <w:left w:val="nil"/>
                  <w:bottom w:val="nil"/>
                  <w:right w:val="single" w:sz="8"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 xml:space="preserve">Yes, our data retention policy aligns with the </w:t>
            </w:r>
            <w:r w:rsidRPr="043A0D26">
              <w:rPr>
                <w:rFonts w:eastAsia="Arial" w:cs="Arial"/>
                <w:i/>
                <w:iCs/>
                <w:sz w:val="16"/>
                <w:szCs w:val="16"/>
              </w:rPr>
              <w:t>Queensland Government</w:t>
            </w:r>
            <w:r w:rsidRPr="043A0D26">
              <w:rPr>
                <w:rFonts w:eastAsia="Arial" w:cs="Arial"/>
                <w:sz w:val="16"/>
                <w:szCs w:val="16"/>
              </w:rPr>
              <w:t xml:space="preserve"> </w:t>
            </w:r>
            <w:r w:rsidRPr="043A0D26">
              <w:rPr>
                <w:rStyle w:val="Emphasis"/>
                <w:rFonts w:ascii="Arial,Verdana" w:eastAsia="Arial,Verdana" w:hAnsi="Arial,Verdana" w:cs="Arial,Verdana"/>
                <w:color w:val="000000" w:themeColor="text1"/>
                <w:sz w:val="16"/>
                <w:szCs w:val="16"/>
                <w:lang w:val="en-GB"/>
              </w:rPr>
              <w:t>Public Records Act 2002Public Records Act 2002</w:t>
            </w:r>
          </w:p>
        </w:tc>
        <w:tc>
          <w:tcPr>
            <w:tcW w:w="1327" w:type="dxa"/>
            <w:tcBorders>
              <w:top w:val="nil"/>
              <w:left w:val="nil"/>
              <w:bottom w:val="nil"/>
              <w:right w:val="nil"/>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tcBorders>
              <w:top w:val="nil"/>
              <w:left w:val="nil"/>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single" w:sz="4" w:space="0" w:color="auto"/>
              <w:left w:val="single" w:sz="4" w:space="0" w:color="auto"/>
              <w:bottom w:val="single" w:sz="4" w:space="0" w:color="auto"/>
              <w:right w:val="single" w:sz="4" w:space="0" w:color="auto"/>
            </w:tcBorders>
            <w:shd w:val="clear" w:color="auto" w:fill="auto"/>
            <w:hideMark/>
          </w:tcPr>
          <w:p w:rsidR="00371BD2" w:rsidRPr="00515C49" w:rsidRDefault="00371BD2" w:rsidP="00371BD2">
            <w:pPr>
              <w:spacing w:before="0" w:line="240" w:lineRule="auto"/>
              <w:ind w:left="0"/>
              <w:jc w:val="center"/>
              <w:rPr>
                <w:rFonts w:cs="Arial"/>
                <w:color w:val="000000"/>
                <w:sz w:val="16"/>
                <w:szCs w:val="16"/>
              </w:rPr>
            </w:pPr>
          </w:p>
        </w:tc>
        <w:tc>
          <w:tcPr>
            <w:tcW w:w="7159" w:type="dxa"/>
            <w:vMerge/>
            <w:tcBorders>
              <w:top w:val="nil"/>
              <w:left w:val="single" w:sz="4" w:space="0" w:color="auto"/>
              <w:bottom w:val="single" w:sz="8" w:space="0" w:color="auto"/>
              <w:right w:val="single" w:sz="8" w:space="0" w:color="auto"/>
            </w:tcBorders>
            <w:shd w:val="clear" w:color="auto" w:fill="ED7D31"/>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590897903"/>
            <w14:checkbox>
              <w14:checked w14:val="0"/>
              <w14:checkedState w14:val="0050" w14:font="Wingdings 2"/>
              <w14:uncheckedState w14:val="002A" w14:font="Wingdings 2"/>
            </w14:checkbox>
          </w:sdtPr>
          <w:sdtContent>
            <w:tc>
              <w:tcPr>
                <w:tcW w:w="1339" w:type="dxa"/>
                <w:tcBorders>
                  <w:top w:val="nil"/>
                  <w:left w:val="nil"/>
                  <w:bottom w:val="nil"/>
                  <w:right w:val="single" w:sz="8"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Default="043A0D26" w:rsidP="00371BD2">
            <w:pPr>
              <w:spacing w:before="0" w:line="240" w:lineRule="auto"/>
              <w:ind w:left="0"/>
              <w:rPr>
                <w:rFonts w:eastAsia="Arial" w:cs="Arial"/>
                <w:sz w:val="16"/>
                <w:szCs w:val="16"/>
              </w:rPr>
            </w:pPr>
            <w:r w:rsidRPr="043A0D26">
              <w:rPr>
                <w:rFonts w:eastAsia="Arial" w:cs="Arial"/>
                <w:sz w:val="16"/>
                <w:szCs w:val="16"/>
              </w:rPr>
              <w:t>Yes, we will retain data as long as you require it.</w:t>
            </w:r>
          </w:p>
          <w:p w:rsidR="00371BD2" w:rsidRDefault="00371BD2" w:rsidP="00371BD2">
            <w:pPr>
              <w:spacing w:before="0" w:line="240" w:lineRule="auto"/>
              <w:ind w:left="0"/>
              <w:rPr>
                <w:rFonts w:eastAsia="Arial" w:cs="Arial"/>
                <w:sz w:val="16"/>
                <w:szCs w:val="16"/>
              </w:rPr>
            </w:pPr>
          </w:p>
          <w:p w:rsidR="00371BD2" w:rsidRPr="00E203E6" w:rsidRDefault="043A0D26" w:rsidP="00371BD2">
            <w:pPr>
              <w:spacing w:before="0" w:line="240" w:lineRule="auto"/>
              <w:ind w:left="0"/>
              <w:rPr>
                <w:rFonts w:cs="Arial"/>
                <w:i/>
                <w:sz w:val="16"/>
                <w:szCs w:val="16"/>
              </w:rPr>
            </w:pPr>
            <w:r w:rsidRPr="043A0D26">
              <w:rPr>
                <w:rFonts w:eastAsia="Arial" w:cs="Arial"/>
                <w:i/>
                <w:iCs/>
                <w:sz w:val="16"/>
                <w:szCs w:val="16"/>
              </w:rPr>
              <w:t>[Format may not be readable]</w:t>
            </w:r>
          </w:p>
        </w:tc>
        <w:tc>
          <w:tcPr>
            <w:tcW w:w="1327" w:type="dxa"/>
            <w:tcBorders>
              <w:top w:val="nil"/>
              <w:left w:val="nil"/>
              <w:bottom w:val="nil"/>
              <w:right w:val="nil"/>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tcBorders>
              <w:top w:val="nil"/>
              <w:left w:val="nil"/>
              <w:bottom w:val="nil"/>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tcBorders>
              <w:top w:val="single" w:sz="4" w:space="0" w:color="auto"/>
              <w:left w:val="single" w:sz="8"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How long do you retain data for?</w:t>
            </w:r>
          </w:p>
        </w:tc>
        <w:tc>
          <w:tcPr>
            <w:tcW w:w="7159" w:type="dxa"/>
            <w:tcBorders>
              <w:top w:val="single" w:sz="4" w:space="0" w:color="auto"/>
              <w:left w:val="nil"/>
              <w:bottom w:val="single" w:sz="8" w:space="0" w:color="auto"/>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Differing data types have varying retention obligations.</w:t>
            </w:r>
            <w:r w:rsidR="002E48AB">
              <w:rPr>
                <w:rFonts w:eastAsia="Arial" w:cs="Arial"/>
                <w:color w:val="000000" w:themeColor="text1"/>
                <w:sz w:val="16"/>
                <w:szCs w:val="16"/>
              </w:rPr>
              <w:t xml:space="preserve"> </w:t>
            </w:r>
            <w:r w:rsidRPr="043A0D26">
              <w:rPr>
                <w:rFonts w:eastAsia="Arial" w:cs="Arial"/>
                <w:color w:val="000000" w:themeColor="text1"/>
                <w:sz w:val="16"/>
                <w:szCs w:val="16"/>
              </w:rPr>
              <w:t>Please check with the national archives act or state government archive act to determine retention times.</w:t>
            </w:r>
          </w:p>
        </w:tc>
        <w:sdt>
          <w:sdtPr>
            <w:rPr>
              <w:rStyle w:val="Style9"/>
              <w:color w:val="auto"/>
              <w:sz w:val="96"/>
              <w:szCs w:val="96"/>
            </w:rPr>
            <w:id w:val="1665674066"/>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0371BD2" w:rsidP="00371BD2">
            <w:pPr>
              <w:spacing w:before="0" w:line="240" w:lineRule="auto"/>
              <w:ind w:left="0"/>
              <w:rPr>
                <w:rFonts w:cs="Arial"/>
                <w:sz w:val="16"/>
                <w:szCs w:val="16"/>
              </w:rPr>
            </w:pPr>
            <w:bookmarkStart w:id="28" w:name="RANGE!D139"/>
            <w:r w:rsidRPr="043A0D26">
              <w:rPr>
                <w:rFonts w:eastAsia="Arial" w:cs="Arial"/>
                <w:sz w:val="16"/>
                <w:szCs w:val="16"/>
              </w:rPr>
              <w:t>Once deleted, your data is effectively gone unless you have purchased a backup service.</w:t>
            </w:r>
            <w:bookmarkEnd w:id="28"/>
          </w:p>
        </w:tc>
        <w:tc>
          <w:tcPr>
            <w:tcW w:w="1327" w:type="dxa"/>
            <w:tcBorders>
              <w:top w:val="nil"/>
              <w:left w:val="nil"/>
              <w:bottom w:val="single" w:sz="8" w:space="0" w:color="auto"/>
              <w:right w:val="nil"/>
            </w:tcBorders>
            <w:shd w:val="clear" w:color="auto" w:fill="FF0000"/>
          </w:tcPr>
          <w:p w:rsidR="00371BD2" w:rsidRPr="00515C49" w:rsidRDefault="00371BD2"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shd w:val="clear" w:color="auto" w:fill="FF0000"/>
              </w:rPr>
              <w:t>High</w:t>
            </w:r>
          </w:p>
        </w:tc>
        <w:tc>
          <w:tcPr>
            <w:tcW w:w="1440" w:type="dxa"/>
            <w:tcBorders>
              <w:top w:val="nil"/>
              <w:left w:val="nil"/>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Do you delete the data upon the customer’s request and certify that deletion?</w:t>
            </w:r>
          </w:p>
        </w:tc>
        <w:tc>
          <w:tcPr>
            <w:tcW w:w="7159" w:type="dxa"/>
            <w:vMerge w:val="restart"/>
            <w:tcBorders>
              <w:top w:val="nil"/>
              <w:left w:val="single" w:sz="8" w:space="0" w:color="auto"/>
              <w:bottom w:val="single" w:sz="8" w:space="0" w:color="000000" w:themeColor="text1"/>
              <w:right w:val="single" w:sz="4"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The ASD Information Security Manual describes the various types of secure data deletion and when they should be employed.</w:t>
            </w:r>
          </w:p>
        </w:tc>
        <w:sdt>
          <w:sdtPr>
            <w:rPr>
              <w:rStyle w:val="Style9"/>
              <w:color w:val="auto"/>
              <w:sz w:val="96"/>
              <w:szCs w:val="96"/>
            </w:rPr>
            <w:id w:val="-543674201"/>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No</w:t>
            </w:r>
          </w:p>
        </w:tc>
        <w:tc>
          <w:tcPr>
            <w:tcW w:w="1327" w:type="dxa"/>
            <w:tcBorders>
              <w:top w:val="nil"/>
              <w:left w:val="single" w:sz="8" w:space="0" w:color="auto"/>
              <w:bottom w:val="single" w:sz="8" w:space="0" w:color="000000" w:themeColor="text1"/>
              <w:right w:val="single" w:sz="8" w:space="0" w:color="auto"/>
            </w:tcBorders>
            <w:shd w:val="clear" w:color="auto" w:fill="FF0000"/>
          </w:tcPr>
          <w:p w:rsidR="00371BD2" w:rsidRPr="00515C49" w:rsidRDefault="00371BD2" w:rsidP="00371BD2">
            <w:pPr>
              <w:spacing w:before="0" w:line="240" w:lineRule="auto"/>
              <w:ind w:left="0"/>
              <w:rPr>
                <w:rFonts w:eastAsia="Arial" w:cs="Arial"/>
                <w:color w:val="000000"/>
                <w:sz w:val="16"/>
                <w:szCs w:val="16"/>
              </w:rPr>
            </w:pPr>
            <w:r w:rsidRPr="043A0D26">
              <w:rPr>
                <w:rFonts w:eastAsia="Arial" w:cs="Arial"/>
                <w:color w:val="FFFFFF" w:themeColor="background1"/>
                <w:sz w:val="16"/>
                <w:szCs w:val="16"/>
                <w:shd w:val="clear" w:color="auto" w:fill="FF0000"/>
              </w:rPr>
              <w:t>High</w:t>
            </w:r>
          </w:p>
        </w:tc>
        <w:tc>
          <w:tcPr>
            <w:tcW w:w="1440" w:type="dxa"/>
            <w:vMerge w:val="restart"/>
            <w:tcBorders>
              <w:top w:val="nil"/>
              <w:left w:val="single" w:sz="8" w:space="0" w:color="auto"/>
              <w:bottom w:val="single" w:sz="8" w:space="0" w:color="000000" w:themeColor="text1"/>
              <w:right w:val="single" w:sz="8" w:space="0" w:color="auto"/>
            </w:tcBorders>
            <w:shd w:val="clear" w:color="auto" w:fill="auto"/>
            <w:hideMark/>
          </w:tcPr>
          <w:p w:rsidR="00371BD2" w:rsidRPr="00515C49" w:rsidRDefault="043A0D26" w:rsidP="00371BD2">
            <w:pPr>
              <w:spacing w:before="0" w:line="240" w:lineRule="auto"/>
              <w:ind w:left="0"/>
              <w:rPr>
                <w:rFonts w:cs="Arial"/>
                <w:color w:val="000000"/>
                <w:sz w:val="16"/>
                <w:szCs w:val="16"/>
              </w:rPr>
            </w:pPr>
            <w:r w:rsidRPr="043A0D26">
              <w:rPr>
                <w:rFonts w:eastAsia="Arial" w:cs="Arial"/>
                <w:color w:val="000000" w:themeColor="text1"/>
                <w:sz w:val="16"/>
                <w:szCs w:val="16"/>
              </w:rPr>
              <w:t> </w:t>
            </w: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2104096295"/>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w:t>
            </w:r>
          </w:p>
        </w:tc>
        <w:tc>
          <w:tcPr>
            <w:tcW w:w="1327" w:type="dxa"/>
            <w:tcBorders>
              <w:top w:val="nil"/>
              <w:left w:val="single" w:sz="8" w:space="0" w:color="auto"/>
              <w:bottom w:val="single" w:sz="8" w:space="0" w:color="000000" w:themeColor="text1"/>
              <w:right w:val="single" w:sz="8" w:space="0" w:color="auto"/>
            </w:tcBorders>
            <w:shd w:val="clear" w:color="auto" w:fill="00B05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Low</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r w:rsidR="00371BD2" w:rsidRPr="00515C49" w:rsidTr="043A0D26">
        <w:trPr>
          <w:trHeight w:val="480"/>
        </w:trPr>
        <w:tc>
          <w:tcPr>
            <w:tcW w:w="2793"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c>
          <w:tcPr>
            <w:tcW w:w="7159" w:type="dxa"/>
            <w:vMerge/>
            <w:tcBorders>
              <w:top w:val="nil"/>
              <w:left w:val="single" w:sz="8" w:space="0" w:color="auto"/>
              <w:bottom w:val="single" w:sz="8" w:space="0" w:color="000000"/>
              <w:right w:val="single" w:sz="4" w:space="0" w:color="auto"/>
            </w:tcBorders>
            <w:hideMark/>
          </w:tcPr>
          <w:p w:rsidR="00371BD2" w:rsidRPr="00515C49" w:rsidRDefault="00371BD2" w:rsidP="00371BD2">
            <w:pPr>
              <w:spacing w:before="0" w:line="240" w:lineRule="auto"/>
              <w:ind w:left="0"/>
              <w:rPr>
                <w:rFonts w:cs="Arial"/>
                <w:color w:val="000000"/>
                <w:sz w:val="16"/>
                <w:szCs w:val="16"/>
              </w:rPr>
            </w:pPr>
          </w:p>
        </w:tc>
        <w:sdt>
          <w:sdtPr>
            <w:rPr>
              <w:rStyle w:val="Style9"/>
              <w:color w:val="auto"/>
              <w:sz w:val="96"/>
              <w:szCs w:val="96"/>
            </w:rPr>
            <w:id w:val="1164896790"/>
            <w14:checkbox>
              <w14:checked w14:val="0"/>
              <w14:checkedState w14:val="0050" w14:font="Wingdings 2"/>
              <w14:uncheckedState w14:val="002A" w14:font="Wingdings 2"/>
            </w14:checkbox>
          </w:sdtPr>
          <w:sdtContent>
            <w:tc>
              <w:tcPr>
                <w:tcW w:w="1339" w:type="dxa"/>
                <w:tcBorders>
                  <w:top w:val="single" w:sz="4" w:space="0" w:color="auto"/>
                  <w:left w:val="single" w:sz="4" w:space="0" w:color="auto"/>
                  <w:bottom w:val="single" w:sz="4" w:space="0" w:color="auto"/>
                  <w:right w:val="single" w:sz="4" w:space="0" w:color="auto"/>
                </w:tcBorders>
                <w:shd w:val="clear" w:color="auto" w:fill="auto"/>
              </w:tcPr>
              <w:p w:rsidR="00371BD2" w:rsidRDefault="00371BD2" w:rsidP="00371BD2">
                <w:pPr>
                  <w:ind w:left="0"/>
                </w:pPr>
                <w:r w:rsidRPr="00530E41">
                  <w:rPr>
                    <w:rStyle w:val="Style9"/>
                    <w:color w:val="auto"/>
                    <w:sz w:val="96"/>
                    <w:szCs w:val="96"/>
                  </w:rPr>
                  <w:sym w:font="Wingdings 2" w:char="F02A"/>
                </w:r>
              </w:p>
            </w:tc>
          </w:sdtContent>
        </w:sdt>
        <w:tc>
          <w:tcPr>
            <w:tcW w:w="7732" w:type="dxa"/>
            <w:tcBorders>
              <w:top w:val="nil"/>
              <w:left w:val="single" w:sz="4" w:space="0" w:color="auto"/>
              <w:bottom w:val="single" w:sz="8" w:space="0" w:color="auto"/>
              <w:right w:val="single" w:sz="8" w:space="0" w:color="auto"/>
            </w:tcBorders>
            <w:shd w:val="clear" w:color="auto" w:fill="auto"/>
            <w:hideMark/>
          </w:tcPr>
          <w:p w:rsidR="00371BD2" w:rsidRPr="00515C49" w:rsidRDefault="043A0D26" w:rsidP="00371BD2">
            <w:pPr>
              <w:spacing w:before="0" w:line="240" w:lineRule="auto"/>
              <w:ind w:left="0"/>
              <w:rPr>
                <w:rFonts w:cs="Arial"/>
                <w:sz w:val="16"/>
                <w:szCs w:val="16"/>
              </w:rPr>
            </w:pPr>
            <w:r w:rsidRPr="043A0D26">
              <w:rPr>
                <w:rFonts w:eastAsia="Arial" w:cs="Arial"/>
                <w:sz w:val="16"/>
                <w:szCs w:val="16"/>
              </w:rPr>
              <w:t>Yes but certificate not provided</w:t>
            </w:r>
          </w:p>
        </w:tc>
        <w:tc>
          <w:tcPr>
            <w:tcW w:w="1327" w:type="dxa"/>
            <w:tcBorders>
              <w:top w:val="nil"/>
              <w:left w:val="single" w:sz="8" w:space="0" w:color="auto"/>
              <w:bottom w:val="single" w:sz="8" w:space="0" w:color="000000" w:themeColor="text1"/>
              <w:right w:val="single" w:sz="8" w:space="0" w:color="auto"/>
            </w:tcBorders>
            <w:shd w:val="clear" w:color="auto" w:fill="FF9900"/>
          </w:tcPr>
          <w:p w:rsidR="00371BD2" w:rsidRPr="00515C49" w:rsidRDefault="043A0D26" w:rsidP="00371BD2">
            <w:pPr>
              <w:spacing w:before="0" w:line="240" w:lineRule="auto"/>
              <w:ind w:left="0"/>
              <w:rPr>
                <w:rFonts w:cs="Arial"/>
                <w:color w:val="000000"/>
                <w:sz w:val="16"/>
                <w:szCs w:val="16"/>
              </w:rPr>
            </w:pPr>
            <w:r w:rsidRPr="043A0D26">
              <w:rPr>
                <w:rFonts w:eastAsia="Arial" w:cs="Arial"/>
                <w:color w:val="FFFFFF" w:themeColor="background1"/>
                <w:sz w:val="16"/>
                <w:szCs w:val="16"/>
              </w:rPr>
              <w:t>Medium</w:t>
            </w:r>
          </w:p>
        </w:tc>
        <w:tc>
          <w:tcPr>
            <w:tcW w:w="1440" w:type="dxa"/>
            <w:vMerge/>
            <w:tcBorders>
              <w:top w:val="nil"/>
              <w:left w:val="single" w:sz="8" w:space="0" w:color="auto"/>
              <w:bottom w:val="single" w:sz="8" w:space="0" w:color="000000"/>
              <w:right w:val="single" w:sz="8" w:space="0" w:color="auto"/>
            </w:tcBorders>
            <w:hideMark/>
          </w:tcPr>
          <w:p w:rsidR="00371BD2" w:rsidRPr="00515C49" w:rsidRDefault="00371BD2" w:rsidP="00371BD2">
            <w:pPr>
              <w:spacing w:before="0" w:line="240" w:lineRule="auto"/>
              <w:ind w:left="0"/>
              <w:rPr>
                <w:rFonts w:cs="Arial"/>
                <w:color w:val="000000"/>
                <w:sz w:val="16"/>
                <w:szCs w:val="16"/>
              </w:rPr>
            </w:pPr>
          </w:p>
        </w:tc>
      </w:tr>
    </w:tbl>
    <w:p w:rsidR="00EF48A4" w:rsidRPr="00515C49" w:rsidRDefault="00EF48A4" w:rsidP="0060148A">
      <w:pPr>
        <w:pStyle w:val="BodyText1"/>
        <w:ind w:left="0"/>
        <w:rPr>
          <w:rFonts w:cs="Arial"/>
        </w:rPr>
        <w:sectPr w:rsidR="00EF48A4" w:rsidRPr="00515C49" w:rsidSect="00EF48A4">
          <w:headerReference w:type="default" r:id="rId38"/>
          <w:footerReference w:type="default" r:id="rId39"/>
          <w:pgSz w:w="23811" w:h="16838" w:orient="landscape" w:code="8"/>
          <w:pgMar w:top="1134" w:right="1134" w:bottom="1134" w:left="1134" w:header="397" w:footer="284" w:gutter="0"/>
          <w:cols w:space="708"/>
          <w:docGrid w:linePitch="360"/>
        </w:sectPr>
      </w:pPr>
    </w:p>
    <w:p w:rsidR="007B7363" w:rsidRDefault="00602F4D" w:rsidP="00602F4D">
      <w:pPr>
        <w:pStyle w:val="Heading1"/>
      </w:pPr>
      <w:bookmarkStart w:id="29" w:name="_Toc453923085"/>
      <w:r>
        <w:lastRenderedPageBreak/>
        <w:t>Evaluation assurance</w:t>
      </w:r>
      <w:bookmarkEnd w:id="29"/>
    </w:p>
    <w:p w:rsidR="00602F4D" w:rsidRDefault="00602F4D" w:rsidP="00602F4D">
      <w:pPr>
        <w:pStyle w:val="Heading2"/>
      </w:pPr>
      <w:bookmarkStart w:id="30" w:name="_Toc453923086"/>
      <w:r>
        <w:t>Queensland Government Cloud computing implementation model</w:t>
      </w:r>
      <w:bookmarkEnd w:id="30"/>
    </w:p>
    <w:p w:rsidR="00602F4D" w:rsidRPr="00F2053F" w:rsidRDefault="043A0D26" w:rsidP="00F2053F">
      <w:pPr>
        <w:pStyle w:val="BodyText1"/>
        <w:rPr>
          <w:rStyle w:val="BodytextChar0"/>
          <w:rFonts w:eastAsia="Arial"/>
        </w:rPr>
      </w:pPr>
      <w:r w:rsidRPr="043A0D26">
        <w:rPr>
          <w:rFonts w:eastAsia="Arial"/>
        </w:rPr>
        <w:t xml:space="preserve">The QGCIO maintains the </w:t>
      </w:r>
      <w:hyperlink r:id="rId40" w:history="1">
        <w:r w:rsidRPr="00F2053F">
          <w:rPr>
            <w:rStyle w:val="Hyperlink"/>
            <w:rFonts w:eastAsia="Arial" w:cs="Arial"/>
          </w:rPr>
          <w:t xml:space="preserve">Cloud </w:t>
        </w:r>
        <w:r w:rsidR="00F2053F" w:rsidRPr="00F2053F">
          <w:rPr>
            <w:rStyle w:val="Hyperlink"/>
            <w:rFonts w:eastAsia="Arial" w:cs="Arial"/>
          </w:rPr>
          <w:t>computing implementation model</w:t>
        </w:r>
      </w:hyperlink>
      <w:r w:rsidR="00F2053F">
        <w:rPr>
          <w:rFonts w:eastAsia="Arial"/>
        </w:rPr>
        <w:t xml:space="preserve"> which</w:t>
      </w:r>
      <w:r w:rsidRPr="043A0D26">
        <w:rPr>
          <w:rFonts w:eastAsia="Arial"/>
        </w:rPr>
        <w:t xml:space="preserve"> provides a strong set of guidelines to assist the business owner who may be considering purchasing an </w:t>
      </w:r>
      <w:r w:rsidR="007C4D03">
        <w:rPr>
          <w:rFonts w:eastAsia="Arial"/>
        </w:rPr>
        <w:t>as-a-service</w:t>
      </w:r>
      <w:r w:rsidRPr="043A0D26">
        <w:rPr>
          <w:rFonts w:eastAsia="Arial"/>
        </w:rPr>
        <w:t xml:space="preserve"> offering.</w:t>
      </w:r>
      <w:r w:rsidR="002E48AB">
        <w:rPr>
          <w:rFonts w:eastAsia="Arial"/>
        </w:rPr>
        <w:t xml:space="preserve"> </w:t>
      </w:r>
      <w:r w:rsidRPr="043A0D26">
        <w:rPr>
          <w:rFonts w:eastAsia="Arial"/>
        </w:rPr>
        <w:t xml:space="preserve">It guides the reader through all the base-level decisions and covers off in some detail ‘cloud readiness’ of the organisation as well as key implementation </w:t>
      </w:r>
      <w:r w:rsidRPr="00F2053F">
        <w:rPr>
          <w:rStyle w:val="BodytextChar0"/>
          <w:rFonts w:eastAsia="Arial"/>
        </w:rPr>
        <w:t>considerations for the business user.</w:t>
      </w:r>
      <w:r w:rsidR="002E48AB" w:rsidRPr="00F2053F">
        <w:rPr>
          <w:rStyle w:val="BodytextChar0"/>
          <w:rFonts w:eastAsia="Arial"/>
        </w:rPr>
        <w:t xml:space="preserve"> </w:t>
      </w:r>
    </w:p>
    <w:p w:rsidR="004D6305" w:rsidRDefault="004D6305" w:rsidP="004D6305">
      <w:pPr>
        <w:pStyle w:val="Heading2"/>
      </w:pPr>
      <w:bookmarkStart w:id="31" w:name="_Toc453923087"/>
      <w:r>
        <w:t>Independent evaluation of security and audit reports</w:t>
      </w:r>
      <w:bookmarkEnd w:id="31"/>
    </w:p>
    <w:p w:rsidR="004D6305" w:rsidRPr="00515C49" w:rsidRDefault="043A0D26" w:rsidP="006C3F39">
      <w:pPr>
        <w:pStyle w:val="BodyText1"/>
      </w:pPr>
      <w:r w:rsidRPr="043A0D26">
        <w:rPr>
          <w:rFonts w:eastAsia="Arial"/>
        </w:rPr>
        <w:t>When a business impact is considered moderate or above, or the information security classification is PROTECTED or higher, then due diligence would require a full evaluation assurance assessment as outlined in this guideline.</w:t>
      </w:r>
      <w:r w:rsidR="002E48AB">
        <w:rPr>
          <w:rFonts w:eastAsia="Arial"/>
        </w:rPr>
        <w:t xml:space="preserve"> </w:t>
      </w:r>
      <w:r w:rsidRPr="043A0D26">
        <w:rPr>
          <w:rFonts w:eastAsia="Arial"/>
        </w:rPr>
        <w:t>If the overall risk profile is low (for all business risk impact levels) and the solution is not dealing with sensitive data, then the requirement for assurance is reduced appropriately.</w:t>
      </w:r>
    </w:p>
    <w:p w:rsidR="004D6305" w:rsidRPr="00F2053F" w:rsidRDefault="043A0D26" w:rsidP="006C3F39">
      <w:pPr>
        <w:pStyle w:val="BodyText1"/>
      </w:pPr>
      <w:r w:rsidRPr="00F2053F">
        <w:rPr>
          <w:rFonts w:eastAsia="Arial"/>
        </w:rPr>
        <w:t>Once a business decision has been made to purchase a cloud service, agencies should seek any available independent analysis of the service and associated provider’s operating environment.</w:t>
      </w:r>
      <w:r w:rsidR="002E48AB" w:rsidRPr="00F2053F">
        <w:rPr>
          <w:rFonts w:eastAsia="Arial"/>
        </w:rPr>
        <w:t xml:space="preserve"> </w:t>
      </w:r>
      <w:r w:rsidRPr="00F2053F">
        <w:rPr>
          <w:rFonts w:eastAsia="Arial"/>
        </w:rPr>
        <w:t>Security reviews, penetration tests and audit reports may demonstrate compliance with information security and confidentiality, access control, service definitions, and service level agreement commitments in contracts.</w:t>
      </w:r>
      <w:r w:rsidR="002E48AB" w:rsidRPr="00F2053F">
        <w:rPr>
          <w:rFonts w:eastAsia="Arial"/>
        </w:rPr>
        <w:t xml:space="preserve"> </w:t>
      </w:r>
      <w:r w:rsidRPr="00F2053F">
        <w:rPr>
          <w:rFonts w:eastAsia="Arial"/>
        </w:rPr>
        <w:t xml:space="preserve">Many of these base requirements are outlined in the </w:t>
      </w:r>
      <w:hyperlink w:anchor="_Checklist_and_business" w:history="1">
        <w:r w:rsidRPr="00F2053F">
          <w:rPr>
            <w:rStyle w:val="Hyperlink"/>
            <w:rFonts w:eastAsia="Arial"/>
          </w:rPr>
          <w:t>decision support checklist in section 5</w:t>
        </w:r>
      </w:hyperlink>
      <w:r w:rsidRPr="00F2053F">
        <w:rPr>
          <w:rFonts w:eastAsia="Arial"/>
        </w:rPr>
        <w:t>.</w:t>
      </w:r>
      <w:r w:rsidR="002E48AB" w:rsidRPr="00F2053F">
        <w:rPr>
          <w:rFonts w:eastAsia="Arial"/>
        </w:rPr>
        <w:t xml:space="preserve"> </w:t>
      </w:r>
      <w:r w:rsidRPr="00F2053F">
        <w:rPr>
          <w:rFonts w:eastAsia="Arial"/>
        </w:rPr>
        <w:t>More detailed specifications can be found in other Queensland Government standards and those published by the Australian Signals Directorate (ASD), as outlined in the reference list in this guide.</w:t>
      </w:r>
      <w:hyperlink w:anchor="_Checklist_and_business" w:history="1"/>
    </w:p>
    <w:p w:rsidR="004D6305" w:rsidRDefault="004D6305" w:rsidP="004D6305">
      <w:pPr>
        <w:pStyle w:val="Heading2"/>
      </w:pPr>
      <w:bookmarkStart w:id="32" w:name="_Toc453923088"/>
      <w:r>
        <w:t>Trial access and ICT security tests</w:t>
      </w:r>
      <w:bookmarkEnd w:id="32"/>
    </w:p>
    <w:p w:rsidR="004D6305" w:rsidRPr="00515C49" w:rsidRDefault="043A0D26" w:rsidP="006C3F39">
      <w:pPr>
        <w:pStyle w:val="BodyText1"/>
      </w:pPr>
      <w:r>
        <w:t xml:space="preserve">Once a service provider has been selected, an agency should consider establishing a proof of concept </w:t>
      </w:r>
      <w:r w:rsidR="00F2053F">
        <w:t>(</w:t>
      </w:r>
      <w:proofErr w:type="spellStart"/>
      <w:r w:rsidR="00F2053F">
        <w:t>PoC</w:t>
      </w:r>
      <w:proofErr w:type="spellEnd"/>
      <w:r w:rsidR="00F2053F">
        <w:t xml:space="preserve">) </w:t>
      </w:r>
      <w:r>
        <w:t>environment.</w:t>
      </w:r>
      <w:r w:rsidR="002E48AB">
        <w:rPr>
          <w:rFonts w:eastAsia="Arial"/>
        </w:rPr>
        <w:t xml:space="preserve"> </w:t>
      </w:r>
      <w:r w:rsidRPr="043A0D26">
        <w:rPr>
          <w:rFonts w:eastAsia="Arial"/>
        </w:rPr>
        <w:t xml:space="preserve">A </w:t>
      </w:r>
      <w:proofErr w:type="spellStart"/>
      <w:r w:rsidRPr="043A0D26">
        <w:rPr>
          <w:rFonts w:eastAsia="Arial"/>
        </w:rPr>
        <w:t>PoC</w:t>
      </w:r>
      <w:proofErr w:type="spellEnd"/>
      <w:r w:rsidRPr="043A0D26">
        <w:rPr>
          <w:rFonts w:eastAsia="Arial"/>
        </w:rPr>
        <w:t xml:space="preserve"> will allow the agency to validate technical claims made by the service provider as well as provide a low risk environment for the agency to conduct those ICT security tests that have been deemed necessary.</w:t>
      </w:r>
      <w:r w:rsidR="002E48AB">
        <w:rPr>
          <w:rFonts w:eastAsia="Arial"/>
        </w:rPr>
        <w:t xml:space="preserve"> </w:t>
      </w:r>
      <w:r w:rsidRPr="043A0D26">
        <w:rPr>
          <w:rFonts w:eastAsia="Arial"/>
        </w:rPr>
        <w:t>These tests may range from no-security tests for low risk, low value services to complex and extensive security tests by accredited providers for high value, high risk implementations.</w:t>
      </w:r>
    </w:p>
    <w:p w:rsidR="004D6305" w:rsidRDefault="043A0D26" w:rsidP="006C3F39">
      <w:pPr>
        <w:pStyle w:val="BodyText1"/>
      </w:pPr>
      <w:r w:rsidRPr="043A0D26">
        <w:rPr>
          <w:rFonts w:eastAsia="Arial"/>
        </w:rPr>
        <w:t xml:space="preserve">There should be a clear </w:t>
      </w:r>
      <w:proofErr w:type="spellStart"/>
      <w:r w:rsidRPr="043A0D26">
        <w:rPr>
          <w:rFonts w:eastAsia="Arial"/>
        </w:rPr>
        <w:t>PoC</w:t>
      </w:r>
      <w:proofErr w:type="spellEnd"/>
      <w:r w:rsidRPr="043A0D26">
        <w:rPr>
          <w:rFonts w:eastAsia="Arial"/>
        </w:rPr>
        <w:t xml:space="preserve"> period or trigger for completion of the </w:t>
      </w:r>
      <w:proofErr w:type="spellStart"/>
      <w:r w:rsidRPr="043A0D26">
        <w:rPr>
          <w:rFonts w:eastAsia="Arial"/>
        </w:rPr>
        <w:t>PoC</w:t>
      </w:r>
      <w:proofErr w:type="spellEnd"/>
      <w:r w:rsidRPr="043A0D26">
        <w:rPr>
          <w:rFonts w:eastAsia="Arial"/>
        </w:rPr>
        <w:t xml:space="preserve">. At its completion, a review of the effectiveness of the solution concept should be conducted to inform the decision whether to roll forward into production. </w:t>
      </w:r>
      <w:proofErr w:type="spellStart"/>
      <w:r w:rsidRPr="043A0D26">
        <w:rPr>
          <w:rFonts w:eastAsia="Arial"/>
        </w:rPr>
        <w:t>PoCs</w:t>
      </w:r>
      <w:proofErr w:type="spellEnd"/>
      <w:r w:rsidRPr="043A0D26">
        <w:rPr>
          <w:rFonts w:eastAsia="Arial"/>
        </w:rPr>
        <w:t xml:space="preserve"> are often conducted and established in a manner that may not be suitable for production.</w:t>
      </w:r>
      <w:r w:rsidR="002E48AB">
        <w:rPr>
          <w:rFonts w:eastAsia="Arial"/>
        </w:rPr>
        <w:t xml:space="preserve"> </w:t>
      </w:r>
      <w:r w:rsidRPr="043A0D26">
        <w:rPr>
          <w:rFonts w:eastAsia="Arial"/>
        </w:rPr>
        <w:t>The review should identify further treatments required to be addressed prior to using in the final production environment.</w:t>
      </w:r>
      <w:r w:rsidR="002E48AB">
        <w:rPr>
          <w:rFonts w:eastAsia="Arial"/>
        </w:rPr>
        <w:t xml:space="preserve"> </w:t>
      </w:r>
      <w:r w:rsidRPr="043A0D26">
        <w:rPr>
          <w:rFonts w:eastAsia="Arial"/>
        </w:rPr>
        <w:t>These may include: configuration hardening, data flow understanding, network filtering and monitoring, logging, proper backups and other security considerations.</w:t>
      </w:r>
    </w:p>
    <w:p w:rsidR="004D6305" w:rsidRDefault="004D6305" w:rsidP="004D6305">
      <w:pPr>
        <w:pStyle w:val="Heading2"/>
      </w:pPr>
      <w:bookmarkStart w:id="33" w:name="_Toc453923089"/>
      <w:r>
        <w:t>Technical evaluation of claims</w:t>
      </w:r>
      <w:bookmarkEnd w:id="33"/>
    </w:p>
    <w:p w:rsidR="004D6305" w:rsidRPr="00515C49" w:rsidRDefault="043A0D26" w:rsidP="006C3F39">
      <w:pPr>
        <w:pStyle w:val="BodyText1"/>
      </w:pPr>
      <w:r w:rsidRPr="043A0D26">
        <w:rPr>
          <w:rFonts w:eastAsia="Arial"/>
        </w:rPr>
        <w:t xml:space="preserve">Agencies should seek a level of assurance over the validity and relevance of service provider claims. </w:t>
      </w:r>
    </w:p>
    <w:p w:rsidR="004D6305" w:rsidRPr="00515C49" w:rsidRDefault="043A0D26" w:rsidP="006C3F39">
      <w:pPr>
        <w:pStyle w:val="BodyText1"/>
      </w:pPr>
      <w:r w:rsidRPr="043A0D26">
        <w:rPr>
          <w:rFonts w:eastAsia="Arial"/>
        </w:rPr>
        <w:t xml:space="preserve">A common mistake is to trust in a certification or independent assessment that is not relevant to the planned solution. </w:t>
      </w:r>
    </w:p>
    <w:p w:rsidR="004D6305" w:rsidRDefault="043A0D26" w:rsidP="006C3F39">
      <w:pPr>
        <w:pStyle w:val="BodyText1"/>
      </w:pPr>
      <w:r w:rsidRPr="043A0D26">
        <w:rPr>
          <w:rFonts w:eastAsia="Arial"/>
        </w:rPr>
        <w:lastRenderedPageBreak/>
        <w:t xml:space="preserve">With non-trivial services that are integrated into other business flows, often only staff with specific technical and architectural knowledge of the planned solution can assess the applicability of claims and advise on further assurance steps. In these </w:t>
      </w:r>
      <w:proofErr w:type="gramStart"/>
      <w:r w:rsidRPr="043A0D26">
        <w:rPr>
          <w:rFonts w:eastAsia="Arial"/>
        </w:rPr>
        <w:t>cases</w:t>
      </w:r>
      <w:proofErr w:type="gramEnd"/>
      <w:r w:rsidRPr="043A0D26">
        <w:rPr>
          <w:rFonts w:eastAsia="Arial"/>
        </w:rPr>
        <w:t xml:space="preserve"> claims made by service providers should be referred to technical staff and architects for assessment of credibility and verification of relevance to the planned solution as it will be deployed.</w:t>
      </w:r>
    </w:p>
    <w:p w:rsidR="004D6305" w:rsidRDefault="004D6305" w:rsidP="004D6305">
      <w:pPr>
        <w:pStyle w:val="Heading2"/>
      </w:pPr>
      <w:bookmarkStart w:id="34" w:name="_Toc453923090"/>
      <w:r>
        <w:t>Embedded assurance claims in the contract</w:t>
      </w:r>
      <w:bookmarkEnd w:id="34"/>
    </w:p>
    <w:p w:rsidR="004D6305" w:rsidRDefault="043A0D26" w:rsidP="006C3F39">
      <w:pPr>
        <w:pStyle w:val="BodyText1"/>
      </w:pPr>
      <w:r w:rsidRPr="043A0D26">
        <w:rPr>
          <w:rFonts w:eastAsia="Arial"/>
        </w:rPr>
        <w:t>Service provider assurances provided as part of assessing suitability should be reflected in the contract with contractual remedies for breach or failure to adhere to those assurances.</w:t>
      </w:r>
    </w:p>
    <w:p w:rsidR="004D6305" w:rsidRDefault="004D6305" w:rsidP="004D6305">
      <w:pPr>
        <w:pStyle w:val="Heading1"/>
      </w:pPr>
      <w:bookmarkStart w:id="35" w:name="_Information_sharing"/>
      <w:bookmarkStart w:id="36" w:name="_Toc453923091"/>
      <w:bookmarkEnd w:id="35"/>
      <w:r>
        <w:t>Information sharing</w:t>
      </w:r>
      <w:bookmarkEnd w:id="36"/>
    </w:p>
    <w:p w:rsidR="004D6305" w:rsidRPr="00515C49" w:rsidRDefault="043A0D26" w:rsidP="004D6305">
      <w:pPr>
        <w:pStyle w:val="BodyText1"/>
        <w:rPr>
          <w:rFonts w:cs="Arial"/>
        </w:rPr>
      </w:pPr>
      <w:r w:rsidRPr="043A0D26">
        <w:rPr>
          <w:rFonts w:eastAsia="Arial" w:cs="Arial"/>
        </w:rPr>
        <w:t xml:space="preserve">The cloud and </w:t>
      </w:r>
      <w:r w:rsidR="007C4D03">
        <w:rPr>
          <w:rFonts w:eastAsia="Arial" w:cs="Arial"/>
        </w:rPr>
        <w:t>as-a-service</w:t>
      </w:r>
      <w:r w:rsidRPr="043A0D26">
        <w:rPr>
          <w:rFonts w:eastAsia="Arial" w:cs="Arial"/>
        </w:rPr>
        <w:t xml:space="preserve"> landscape is evolving rapidly with new services emerging daily and thus new security threats and vectors are evolving rapidly. (A vector is a path or means by which a malicious user can gain access to exploit system vulnerabilities.)</w:t>
      </w:r>
      <w:r w:rsidR="002E48AB">
        <w:rPr>
          <w:rFonts w:eastAsia="Arial" w:cs="Arial"/>
        </w:rPr>
        <w:t xml:space="preserve"> </w:t>
      </w:r>
    </w:p>
    <w:p w:rsidR="004D6305" w:rsidRPr="00515C49" w:rsidRDefault="043A0D26" w:rsidP="004D6305">
      <w:pPr>
        <w:pStyle w:val="BodyText1"/>
        <w:rPr>
          <w:rFonts w:cs="Arial"/>
        </w:rPr>
      </w:pPr>
      <w:r w:rsidRPr="043A0D26">
        <w:rPr>
          <w:rFonts w:eastAsia="Arial" w:cs="Arial"/>
        </w:rPr>
        <w:t>A common set of security assurance questions across Queensland Government agencies would help alleviate the compliance and auditing burden on service providers as well as assist those service providers in understanding the security requirements that agencies require.</w:t>
      </w:r>
    </w:p>
    <w:p w:rsidR="004D6305" w:rsidRPr="00515C49" w:rsidRDefault="043A0D26" w:rsidP="004D6305">
      <w:pPr>
        <w:pStyle w:val="BodyText1"/>
        <w:rPr>
          <w:rFonts w:cs="Arial"/>
        </w:rPr>
      </w:pPr>
      <w:r w:rsidRPr="043A0D26">
        <w:rPr>
          <w:rFonts w:eastAsia="Arial" w:cs="Arial"/>
        </w:rPr>
        <w:t>A Cloud Community of Practice (</w:t>
      </w:r>
      <w:proofErr w:type="spellStart"/>
      <w:r w:rsidRPr="043A0D26">
        <w:rPr>
          <w:rFonts w:eastAsia="Arial" w:cs="Arial"/>
        </w:rPr>
        <w:t>CoP</w:t>
      </w:r>
      <w:proofErr w:type="spellEnd"/>
      <w:r w:rsidRPr="043A0D26">
        <w:rPr>
          <w:rFonts w:eastAsia="Arial" w:cs="Arial"/>
        </w:rPr>
        <w:t xml:space="preserve">) has been established across Queensland Government. The aim of the </w:t>
      </w:r>
      <w:proofErr w:type="spellStart"/>
      <w:r w:rsidRPr="043A0D26">
        <w:rPr>
          <w:rFonts w:eastAsia="Arial" w:cs="Arial"/>
        </w:rPr>
        <w:t>CoP</w:t>
      </w:r>
      <w:proofErr w:type="spellEnd"/>
      <w:r w:rsidRPr="043A0D26">
        <w:rPr>
          <w:rFonts w:eastAsia="Arial" w:cs="Arial"/>
        </w:rPr>
        <w:t xml:space="preserve"> is to increase maturity and capability in cloud computing practices across whole-of-government. To find out how to connect with the Cloud </w:t>
      </w:r>
      <w:proofErr w:type="spellStart"/>
      <w:r w:rsidRPr="043A0D26">
        <w:rPr>
          <w:rFonts w:eastAsia="Arial" w:cs="Arial"/>
        </w:rPr>
        <w:t>CoP</w:t>
      </w:r>
      <w:proofErr w:type="spellEnd"/>
      <w:r w:rsidRPr="043A0D26">
        <w:rPr>
          <w:rFonts w:eastAsia="Arial" w:cs="Arial"/>
        </w:rPr>
        <w:t xml:space="preserve"> email: </w:t>
      </w:r>
      <w:hyperlink r:id="rId41" w:history="1">
        <w:r w:rsidR="00F2053F" w:rsidRPr="0084673A">
          <w:rPr>
            <w:rStyle w:val="Hyperlink"/>
            <w:rFonts w:eastAsia="Arial" w:cs="Arial"/>
          </w:rPr>
          <w:t>qgcio@qgcio.qld.gov.au</w:t>
        </w:r>
      </w:hyperlink>
      <w:r w:rsidRPr="043A0D26">
        <w:rPr>
          <w:rFonts w:eastAsia="Arial" w:cs="Arial"/>
        </w:rPr>
        <w:t>.</w:t>
      </w:r>
    </w:p>
    <w:p w:rsidR="00195B85" w:rsidRDefault="043A0D26" w:rsidP="004D6305">
      <w:pPr>
        <w:pStyle w:val="BodyText1"/>
        <w:rPr>
          <w:rFonts w:eastAsia="Arial" w:cs="Arial"/>
        </w:rPr>
      </w:pPr>
      <w:r w:rsidRPr="043A0D26">
        <w:rPr>
          <w:rFonts w:eastAsia="Arial" w:cs="Arial"/>
        </w:rPr>
        <w:t xml:space="preserve">Additionally, </w:t>
      </w:r>
      <w:r w:rsidRPr="00195B85">
        <w:rPr>
          <w:rFonts w:eastAsia="Arial" w:cs="Arial"/>
        </w:rPr>
        <w:t>the knowledge base (a place for agencies to share tools and guides) continues to be available through the QGCIO portal for agencies to share their own useful guidelines and resource material</w:t>
      </w:r>
      <w:r w:rsidR="00F2053F">
        <w:rPr>
          <w:rFonts w:eastAsia="Arial" w:cs="Arial"/>
        </w:rPr>
        <w:t xml:space="preserve"> (Queensland Government employees only)</w:t>
      </w:r>
      <w:r w:rsidRPr="00195B85">
        <w:rPr>
          <w:rFonts w:eastAsia="Arial" w:cs="Arial"/>
        </w:rPr>
        <w:t>.</w:t>
      </w:r>
    </w:p>
    <w:p w:rsidR="004D6305" w:rsidRDefault="004D6305" w:rsidP="004D6305">
      <w:pPr>
        <w:pStyle w:val="Heading2"/>
      </w:pPr>
      <w:bookmarkStart w:id="37" w:name="_Toc453923092"/>
      <w:r>
        <w:t>Contract clauses</w:t>
      </w:r>
      <w:bookmarkEnd w:id="37"/>
    </w:p>
    <w:p w:rsidR="000A046A" w:rsidRPr="006C3F39" w:rsidRDefault="000A046A" w:rsidP="006C3F39">
      <w:pPr>
        <w:pStyle w:val="BodyText1"/>
      </w:pPr>
      <w:r w:rsidRPr="006C3F39">
        <w:rPr>
          <w:rFonts w:eastAsia="Arial"/>
        </w:rPr>
        <w:t xml:space="preserve">Contract clauses used by agencies to mitigate </w:t>
      </w:r>
      <w:r w:rsidR="007C4D03" w:rsidRPr="006C3F39">
        <w:rPr>
          <w:rFonts w:eastAsia="Arial"/>
        </w:rPr>
        <w:t>as-a-service</w:t>
      </w:r>
      <w:r w:rsidRPr="006C3F39">
        <w:rPr>
          <w:rFonts w:eastAsia="Arial"/>
        </w:rPr>
        <w:t xml:space="preserve"> risk may have broader applicability, so sharing them will assist improvement in practices across the sector. </w:t>
      </w:r>
    </w:p>
    <w:p w:rsidR="00195B85" w:rsidRPr="006C3F39" w:rsidRDefault="00195B85" w:rsidP="006C3F39">
      <w:pPr>
        <w:rPr>
          <w:rFonts w:eastAsia="Arial"/>
        </w:rPr>
      </w:pPr>
      <w:r w:rsidRPr="006C3F39">
        <w:rPr>
          <w:rFonts w:eastAsia="Arial"/>
        </w:rPr>
        <w:t xml:space="preserve">The </w:t>
      </w:r>
      <w:hyperlink r:id="rId42" w:history="1">
        <w:r w:rsidRPr="006C3F39">
          <w:rPr>
            <w:rStyle w:val="Hyperlink"/>
            <w:rFonts w:eastAsia="Arial"/>
          </w:rPr>
          <w:t>Government Information Technology Contracting Framework documents page</w:t>
        </w:r>
      </w:hyperlink>
      <w:r w:rsidRPr="006C3F39">
        <w:rPr>
          <w:rFonts w:eastAsia="Arial"/>
        </w:rPr>
        <w:t xml:space="preserve"> provides contract resources. Included on this page is “Module 10 - Additional Provision for Cloud Services”.</w:t>
      </w:r>
    </w:p>
    <w:p w:rsidR="004D6305" w:rsidRPr="006C3F39" w:rsidRDefault="043A0D26" w:rsidP="006C3F39">
      <w:pPr>
        <w:pStyle w:val="BodyText1"/>
      </w:pPr>
      <w:r w:rsidRPr="006C3F39">
        <w:rPr>
          <w:rFonts w:eastAsia="Arial"/>
        </w:rPr>
        <w:t>Many cloud services are offered on standard service contracts with little or no scope for negotiated variations or use of a standard government contract template.</w:t>
      </w:r>
      <w:r w:rsidR="002E48AB" w:rsidRPr="006C3F39">
        <w:rPr>
          <w:rFonts w:eastAsia="Arial"/>
        </w:rPr>
        <w:t xml:space="preserve"> </w:t>
      </w:r>
      <w:r w:rsidRPr="006C3F39">
        <w:rPr>
          <w:rFonts w:eastAsia="Arial"/>
        </w:rPr>
        <w:t>It is important that agencies be aware of and address the potential risks when accepting vendor terms and conditions.</w:t>
      </w:r>
      <w:r w:rsidR="002E48AB" w:rsidRPr="006C3F39">
        <w:rPr>
          <w:rFonts w:eastAsia="Arial"/>
        </w:rPr>
        <w:t xml:space="preserve"> </w:t>
      </w:r>
      <w:r w:rsidRPr="006C3F39">
        <w:rPr>
          <w:rFonts w:eastAsia="Arial"/>
        </w:rPr>
        <w:t>Key issues and considerations include:</w:t>
      </w:r>
    </w:p>
    <w:p w:rsidR="004D6305" w:rsidRPr="00FF7D4A" w:rsidRDefault="043A0D26" w:rsidP="00E21C8F">
      <w:pPr>
        <w:pStyle w:val="Bullet1"/>
      </w:pPr>
      <w:r>
        <w:t>data security</w:t>
      </w:r>
    </w:p>
    <w:p w:rsidR="004D6305" w:rsidRPr="00FF7D4A" w:rsidRDefault="043A0D26" w:rsidP="00E21C8F">
      <w:pPr>
        <w:pStyle w:val="Bullet1"/>
      </w:pPr>
      <w:r>
        <w:t>back-up processes</w:t>
      </w:r>
    </w:p>
    <w:p w:rsidR="004D6305" w:rsidRPr="00FF7D4A" w:rsidRDefault="043A0D26" w:rsidP="00E21C8F">
      <w:pPr>
        <w:pStyle w:val="Bullet1"/>
      </w:pPr>
      <w:r>
        <w:t>that data sensitivity is catered for in level of security provided</w:t>
      </w:r>
    </w:p>
    <w:p w:rsidR="004D6305" w:rsidRPr="00FF7D4A" w:rsidRDefault="043A0D26" w:rsidP="00E21C8F">
      <w:pPr>
        <w:pStyle w:val="Bullet1"/>
      </w:pPr>
      <w:r>
        <w:t>dealing with security breaches</w:t>
      </w:r>
    </w:p>
    <w:p w:rsidR="004D6305" w:rsidRPr="00FF7D4A" w:rsidRDefault="043A0D26" w:rsidP="00E21C8F">
      <w:pPr>
        <w:pStyle w:val="Bullet1"/>
      </w:pPr>
      <w:r>
        <w:t>data privacy</w:t>
      </w:r>
    </w:p>
    <w:p w:rsidR="004D6305" w:rsidRPr="00E21C8F" w:rsidRDefault="043A0D26" w:rsidP="00E21C8F">
      <w:pPr>
        <w:pStyle w:val="Bullet1"/>
      </w:pPr>
      <w:r>
        <w:t>compliance with Australian Privacy Principles, 2104: (APP8 – cross border disclosures, APP11 - protecting personal information from interference, misuse, loss and unauthorised access, modification and disclosure)</w:t>
      </w:r>
    </w:p>
    <w:p w:rsidR="004D6305" w:rsidRPr="00FF7D4A" w:rsidRDefault="00F2053F" w:rsidP="00E21C8F">
      <w:pPr>
        <w:pStyle w:val="Bullet1"/>
      </w:pPr>
      <w:r>
        <w:t xml:space="preserve">location </w:t>
      </w:r>
      <w:r w:rsidR="043A0D26">
        <w:t>of data</w:t>
      </w:r>
    </w:p>
    <w:p w:rsidR="004D6305" w:rsidRPr="00FF7D4A" w:rsidRDefault="043A0D26" w:rsidP="00E21C8F">
      <w:pPr>
        <w:pStyle w:val="Bullet2"/>
      </w:pPr>
      <w:r>
        <w:lastRenderedPageBreak/>
        <w:t>onshore considerations</w:t>
      </w:r>
    </w:p>
    <w:p w:rsidR="004D6305" w:rsidRPr="00FF7D4A" w:rsidRDefault="043A0D26" w:rsidP="00E21C8F">
      <w:pPr>
        <w:pStyle w:val="Bullet2"/>
      </w:pPr>
      <w:r>
        <w:t>offshore considerations – legal jurisdiction, data access and recovery, legal restrictions on storage location, access by foreign governments</w:t>
      </w:r>
      <w:r w:rsidR="00F2053F">
        <w:t>.</w:t>
      </w:r>
    </w:p>
    <w:p w:rsidR="004D6305" w:rsidRPr="00FF7D4A" w:rsidRDefault="00F2053F" w:rsidP="00E21C8F">
      <w:pPr>
        <w:pStyle w:val="Bullet1"/>
      </w:pPr>
      <w:r>
        <w:t>confidentiality</w:t>
      </w:r>
    </w:p>
    <w:p w:rsidR="004D6305" w:rsidRPr="00FF7D4A" w:rsidRDefault="043A0D26" w:rsidP="00E21C8F">
      <w:pPr>
        <w:pStyle w:val="Bullet2"/>
      </w:pPr>
      <w:r>
        <w:t>signed confidentiality deeds for provider employees</w:t>
      </w:r>
    </w:p>
    <w:p w:rsidR="004D6305" w:rsidRPr="00FF7D4A" w:rsidRDefault="043A0D26" w:rsidP="00E21C8F">
      <w:pPr>
        <w:pStyle w:val="Bullet2"/>
      </w:pPr>
      <w:r>
        <w:t>notification requirements if data is accessed by foreign agencies</w:t>
      </w:r>
      <w:r w:rsidR="00F2053F">
        <w:t>.</w:t>
      </w:r>
    </w:p>
    <w:p w:rsidR="004D6305" w:rsidRPr="00FF7D4A" w:rsidRDefault="00F2053F" w:rsidP="00E21C8F">
      <w:pPr>
        <w:pStyle w:val="Bullet1"/>
      </w:pPr>
      <w:r>
        <w:t>liability</w:t>
      </w:r>
    </w:p>
    <w:p w:rsidR="004D6305" w:rsidRPr="00FF7D4A" w:rsidRDefault="043A0D26" w:rsidP="00E21C8F">
      <w:pPr>
        <w:pStyle w:val="Bullet2"/>
      </w:pPr>
      <w:r>
        <w:t>provider’s caps on liability</w:t>
      </w:r>
    </w:p>
    <w:p w:rsidR="004D6305" w:rsidRPr="00FF7D4A" w:rsidRDefault="043A0D26" w:rsidP="00E21C8F">
      <w:pPr>
        <w:pStyle w:val="Bullet2"/>
      </w:pPr>
      <w:r>
        <w:t>determining each party’s liabilities and relevant indemnities</w:t>
      </w:r>
      <w:r w:rsidR="00F2053F">
        <w:t>.</w:t>
      </w:r>
    </w:p>
    <w:p w:rsidR="004D6305" w:rsidRPr="00FF7D4A" w:rsidRDefault="00F2053F" w:rsidP="00E21C8F">
      <w:pPr>
        <w:pStyle w:val="Bullet1"/>
      </w:pPr>
      <w:r>
        <w:t>intellectual property</w:t>
      </w:r>
    </w:p>
    <w:p w:rsidR="004D6305" w:rsidRPr="00E21C8F" w:rsidRDefault="043A0D26" w:rsidP="00E21C8F">
      <w:pPr>
        <w:pStyle w:val="Bullet2"/>
      </w:pPr>
      <w:r>
        <w:t>the Queensland Government default position is ‘</w:t>
      </w:r>
      <w:r w:rsidRPr="043A0D26">
        <w:rPr>
          <w:rFonts w:eastAsia="Arial" w:cs="Arial"/>
        </w:rPr>
        <w:t>non-consultative co-ownership of</w:t>
      </w:r>
      <w:r>
        <w:t xml:space="preserve"> intellectual property’ (arising from action 2.05 of the Queensland Government ICT Strategy 2013-2017 Action Plan)</w:t>
      </w:r>
      <w:r w:rsidR="00F2053F">
        <w:t>.</w:t>
      </w:r>
    </w:p>
    <w:p w:rsidR="004D6305" w:rsidRPr="00FF7D4A" w:rsidRDefault="00F2053F" w:rsidP="00E21C8F">
      <w:pPr>
        <w:pStyle w:val="Bullet1"/>
      </w:pPr>
      <w:r>
        <w:t>warranties</w:t>
      </w:r>
    </w:p>
    <w:p w:rsidR="004D6305" w:rsidRPr="00FF7D4A" w:rsidRDefault="043A0D26" w:rsidP="00E21C8F">
      <w:pPr>
        <w:pStyle w:val="Bullet2"/>
      </w:pPr>
      <w:r>
        <w:t>providers’ desired limits on warranties, e.g. to ‘fit for purpose’</w:t>
      </w:r>
    </w:p>
    <w:p w:rsidR="004D6305" w:rsidRPr="00FF7D4A" w:rsidRDefault="043A0D26" w:rsidP="00E21C8F">
      <w:pPr>
        <w:pStyle w:val="Bullet2"/>
      </w:pPr>
      <w:r>
        <w:t>need for customer due diligence on warranties</w:t>
      </w:r>
    </w:p>
    <w:p w:rsidR="004D6305" w:rsidRPr="00FF7D4A" w:rsidRDefault="043A0D26" w:rsidP="00E21C8F">
      <w:pPr>
        <w:pStyle w:val="Bullet2"/>
      </w:pPr>
      <w:r>
        <w:t>arrangements for control of ‘functional changes’ by provider during the warranty period</w:t>
      </w:r>
      <w:r w:rsidR="00F2053F">
        <w:t>.</w:t>
      </w:r>
    </w:p>
    <w:p w:rsidR="004D6305" w:rsidRPr="00FF7D4A" w:rsidRDefault="00F2053F" w:rsidP="00E21C8F">
      <w:pPr>
        <w:pStyle w:val="Bullet1"/>
      </w:pPr>
      <w:r>
        <w:t>service levels</w:t>
      </w:r>
    </w:p>
    <w:p w:rsidR="004D6305" w:rsidRPr="00FF7D4A" w:rsidRDefault="043A0D26" w:rsidP="00E21C8F">
      <w:pPr>
        <w:pStyle w:val="Bullet2"/>
      </w:pPr>
      <w:r>
        <w:t>number of simultaneous users</w:t>
      </w:r>
    </w:p>
    <w:p w:rsidR="004D6305" w:rsidRPr="00FF7D4A" w:rsidRDefault="043A0D26" w:rsidP="00E21C8F">
      <w:pPr>
        <w:pStyle w:val="Bullet2"/>
      </w:pPr>
      <w:r>
        <w:t>service desk response times</w:t>
      </w:r>
    </w:p>
    <w:p w:rsidR="004D6305" w:rsidRPr="00FF7D4A" w:rsidRDefault="043A0D26" w:rsidP="00E21C8F">
      <w:pPr>
        <w:pStyle w:val="Bullet2"/>
      </w:pPr>
      <w:r>
        <w:t>change management controls</w:t>
      </w:r>
    </w:p>
    <w:p w:rsidR="004D6305" w:rsidRPr="00FF7D4A" w:rsidRDefault="043A0D26" w:rsidP="00E21C8F">
      <w:pPr>
        <w:pStyle w:val="Bullet2"/>
      </w:pPr>
      <w:r>
        <w:t>times service is available</w:t>
      </w:r>
    </w:p>
    <w:p w:rsidR="004D6305" w:rsidRPr="00FF7D4A" w:rsidRDefault="043A0D26" w:rsidP="00E21C8F">
      <w:pPr>
        <w:pStyle w:val="Bullet2"/>
      </w:pPr>
      <w:r>
        <w:t>performance metrics and measures</w:t>
      </w:r>
      <w:r w:rsidR="00F2053F">
        <w:t>.</w:t>
      </w:r>
    </w:p>
    <w:p w:rsidR="004D6305" w:rsidRPr="00FF7D4A" w:rsidRDefault="00F2053F" w:rsidP="00E21C8F">
      <w:pPr>
        <w:pStyle w:val="Bullet1"/>
      </w:pPr>
      <w:r>
        <w:t>termination</w:t>
      </w:r>
    </w:p>
    <w:p w:rsidR="000C3D0B" w:rsidRDefault="043A0D26" w:rsidP="000C3D0B">
      <w:pPr>
        <w:pStyle w:val="Bullet2"/>
      </w:pPr>
      <w:r>
        <w:t>termination for convenience or non-performance provisions</w:t>
      </w:r>
    </w:p>
    <w:p w:rsidR="004D6305" w:rsidRPr="000A046A" w:rsidRDefault="000A046A" w:rsidP="000C3D0B">
      <w:pPr>
        <w:pStyle w:val="Bullet2"/>
      </w:pPr>
      <w:r w:rsidRPr="000A046A">
        <w:t xml:space="preserve">transition out support including </w:t>
      </w:r>
      <w:r w:rsidR="043A0D26" w:rsidRPr="000A046A">
        <w:t xml:space="preserve">technical mechanisms and business </w:t>
      </w:r>
      <w:r w:rsidRPr="000A046A">
        <w:t>process considerations</w:t>
      </w:r>
      <w:r w:rsidR="043A0D26" w:rsidRPr="000A046A">
        <w:t xml:space="preserve"> to allow a successful </w:t>
      </w:r>
      <w:r w:rsidRPr="000A046A">
        <w:t xml:space="preserve">service migration </w:t>
      </w:r>
      <w:r w:rsidR="043A0D26" w:rsidRPr="000A046A">
        <w:t>at the end of the agreement.</w:t>
      </w:r>
    </w:p>
    <w:p w:rsidR="00E21C8F" w:rsidRDefault="00E21C8F" w:rsidP="00E21C8F">
      <w:pPr>
        <w:pStyle w:val="Heading2"/>
      </w:pPr>
      <w:bookmarkStart w:id="38" w:name="_Toc453923093"/>
      <w:r>
        <w:t>Risk treatment</w:t>
      </w:r>
      <w:bookmarkEnd w:id="38"/>
    </w:p>
    <w:p w:rsidR="00E21C8F" w:rsidRPr="00515C49" w:rsidRDefault="043A0D26" w:rsidP="006C3F39">
      <w:pPr>
        <w:pStyle w:val="BodyText1"/>
      </w:pPr>
      <w:r w:rsidRPr="043A0D26">
        <w:rPr>
          <w:rFonts w:eastAsia="Arial"/>
        </w:rPr>
        <w:t xml:space="preserve">Risk assessments of services already completed by other agencies may assist an agency in risk profiling of </w:t>
      </w:r>
      <w:r w:rsidR="007C4D03">
        <w:rPr>
          <w:rFonts w:eastAsia="Arial"/>
        </w:rPr>
        <w:t>as-a-service</w:t>
      </w:r>
      <w:r w:rsidRPr="043A0D26">
        <w:rPr>
          <w:rFonts w:eastAsia="Arial"/>
        </w:rPr>
        <w:t xml:space="preserve"> offerings.</w:t>
      </w:r>
    </w:p>
    <w:p w:rsidR="00E21C8F" w:rsidRPr="00515C49" w:rsidRDefault="043A0D26" w:rsidP="006C3F39">
      <w:pPr>
        <w:pStyle w:val="BodyText1"/>
      </w:pPr>
      <w:r w:rsidRPr="043A0D26">
        <w:rPr>
          <w:rFonts w:eastAsia="Arial"/>
        </w:rPr>
        <w:t>Policies and/or procedures adopted by agencies to mitigate risk where it is not possible to vary service provider terms and conditions may also be relevant to other agencies.</w:t>
      </w:r>
    </w:p>
    <w:p w:rsidR="00E21C8F" w:rsidRDefault="043A0D26" w:rsidP="006C3F39">
      <w:pPr>
        <w:pStyle w:val="BodyText1"/>
      </w:pPr>
      <w:r w:rsidRPr="043A0D26">
        <w:rPr>
          <w:rFonts w:eastAsia="Arial"/>
        </w:rPr>
        <w:t>Agencies should follow the ISO/IEC 31000 (and/or ISO 27005) Risk Management standard approach for the risk assessment using the 5 x 5 Impact and Likelihood risk assessment matrix.</w:t>
      </w:r>
      <w:r w:rsidR="002E48AB">
        <w:rPr>
          <w:rFonts w:eastAsia="Arial"/>
        </w:rPr>
        <w:t xml:space="preserve"> </w:t>
      </w:r>
      <w:r w:rsidRPr="043A0D26">
        <w:rPr>
          <w:rFonts w:eastAsia="Arial"/>
        </w:rPr>
        <w:t>This approach enables appropriate responses and risk treatments to be developed based upon a clear understanding of the risk environment.</w:t>
      </w:r>
      <w:r w:rsidR="002E48AB">
        <w:rPr>
          <w:rFonts w:eastAsia="Arial"/>
        </w:rPr>
        <w:t xml:space="preserve"> </w:t>
      </w:r>
      <w:r w:rsidRPr="043A0D26">
        <w:rPr>
          <w:rFonts w:eastAsia="Arial"/>
        </w:rPr>
        <w:t>It also provides a common language to facilitate the sharing of risk analyses and management plans between agencies.</w:t>
      </w:r>
    </w:p>
    <w:p w:rsidR="00E21C8F" w:rsidRDefault="00E21C8F" w:rsidP="00E21C8F">
      <w:pPr>
        <w:pStyle w:val="Heading2"/>
      </w:pPr>
      <w:bookmarkStart w:id="39" w:name="_Toc453923094"/>
      <w:r>
        <w:t>Security requirements</w:t>
      </w:r>
      <w:bookmarkEnd w:id="39"/>
    </w:p>
    <w:p w:rsidR="00E21C8F" w:rsidRDefault="043A0D26" w:rsidP="006C3F39">
      <w:pPr>
        <w:pStyle w:val="BodyText1"/>
      </w:pPr>
      <w:r w:rsidRPr="043A0D26">
        <w:rPr>
          <w:rFonts w:eastAsia="Arial"/>
        </w:rPr>
        <w:t>Agency specifications of security requirements for go-to-market documents may be appropriate for re-use for similar applications.</w:t>
      </w:r>
    </w:p>
    <w:p w:rsidR="447FA53A" w:rsidRDefault="447FA53A" w:rsidP="447FA53A">
      <w:pPr>
        <w:pStyle w:val="Heading1"/>
      </w:pPr>
      <w:bookmarkStart w:id="40" w:name="_Toc453923095"/>
      <w:r>
        <w:lastRenderedPageBreak/>
        <w:t xml:space="preserve">Security </w:t>
      </w:r>
      <w:r w:rsidR="00F2053F">
        <w:t xml:space="preserve">assurance guideline </w:t>
      </w:r>
      <w:r>
        <w:t>roadmap</w:t>
      </w:r>
      <w:bookmarkEnd w:id="40"/>
    </w:p>
    <w:p w:rsidR="447FA53A" w:rsidRDefault="043A0D26" w:rsidP="006C3F39">
      <w:pPr>
        <w:pStyle w:val="BodyText1"/>
      </w:pPr>
      <w:r w:rsidRPr="043A0D26">
        <w:rPr>
          <w:rFonts w:eastAsia="Arial"/>
        </w:rPr>
        <w:t xml:space="preserve">This document will be revised </w:t>
      </w:r>
      <w:r w:rsidR="00F2053F">
        <w:rPr>
          <w:rFonts w:eastAsia="Arial"/>
        </w:rPr>
        <w:t>throughout</w:t>
      </w:r>
      <w:r w:rsidRPr="043A0D26">
        <w:rPr>
          <w:rFonts w:eastAsia="Arial"/>
        </w:rPr>
        <w:t xml:space="preserve"> 2016 as part of the wider ICT </w:t>
      </w:r>
      <w:r w:rsidR="007C4D03">
        <w:rPr>
          <w:rFonts w:eastAsia="Arial"/>
        </w:rPr>
        <w:t>as-a-service</w:t>
      </w:r>
      <w:r w:rsidRPr="043A0D26">
        <w:rPr>
          <w:rFonts w:eastAsia="Arial"/>
        </w:rPr>
        <w:t xml:space="preserve"> review. It will incorporate lessons and material from the Cloud Computing Community of Practice.</w:t>
      </w:r>
    </w:p>
    <w:p w:rsidR="447FA53A" w:rsidRDefault="447FA53A" w:rsidP="447FA53A">
      <w:pPr>
        <w:pStyle w:val="BodyText"/>
      </w:pPr>
    </w:p>
    <w:p w:rsidR="00145E41" w:rsidRPr="00145E41" w:rsidRDefault="00145E41" w:rsidP="006517B2">
      <w:pPr>
        <w:pStyle w:val="BodyText"/>
      </w:pPr>
    </w:p>
    <w:p w:rsidR="00AD0A26" w:rsidRDefault="00E21C8F" w:rsidP="00B12183">
      <w:pPr>
        <w:pStyle w:val="Appendix1"/>
      </w:pPr>
      <w:bookmarkStart w:id="41" w:name="_Toc453923096"/>
      <w:r>
        <w:lastRenderedPageBreak/>
        <w:t>Demarcation of security roles and responsibilities</w:t>
      </w:r>
      <w:bookmarkEnd w:id="41"/>
    </w:p>
    <w:p w:rsidR="00E21C8F" w:rsidRDefault="043A0D26" w:rsidP="00E21C8F">
      <w:pPr>
        <w:pStyle w:val="BodyText1"/>
        <w:rPr>
          <w:rFonts w:cs="Arial"/>
        </w:rPr>
      </w:pPr>
      <w:r w:rsidRPr="043A0D26">
        <w:rPr>
          <w:rFonts w:eastAsia="Arial" w:cs="Arial"/>
        </w:rPr>
        <w:t>Prior to embarking on the security assurance process there needs to be a clear definition and understanding between the agency and the provider of security-relevant roles and responsibilities.</w:t>
      </w:r>
      <w:r w:rsidR="002E48AB">
        <w:rPr>
          <w:rFonts w:eastAsia="Arial" w:cs="Arial"/>
        </w:rPr>
        <w:t xml:space="preserve"> </w:t>
      </w:r>
      <w:r w:rsidRPr="043A0D26">
        <w:rPr>
          <w:rFonts w:eastAsia="Arial" w:cs="Arial"/>
        </w:rPr>
        <w:t xml:space="preserve">The lines of such a demarcation will vary greatly between </w:t>
      </w:r>
      <w:r w:rsidR="00F2053F">
        <w:rPr>
          <w:rFonts w:eastAsia="Arial" w:cs="Arial"/>
        </w:rPr>
        <w:t>s</w:t>
      </w:r>
      <w:r w:rsidRPr="043A0D26">
        <w:rPr>
          <w:rFonts w:eastAsia="Arial" w:cs="Arial"/>
        </w:rPr>
        <w:t xml:space="preserve">oftware </w:t>
      </w:r>
      <w:r w:rsidR="007C4D03">
        <w:rPr>
          <w:rFonts w:eastAsia="Arial" w:cs="Arial"/>
        </w:rPr>
        <w:t>as-a-service</w:t>
      </w:r>
      <w:r w:rsidRPr="043A0D26">
        <w:rPr>
          <w:rFonts w:eastAsia="Arial" w:cs="Arial"/>
        </w:rPr>
        <w:t xml:space="preserve"> (SaaS) offerings and </w:t>
      </w:r>
      <w:r w:rsidR="00F2053F">
        <w:rPr>
          <w:rFonts w:eastAsia="Arial" w:cs="Arial"/>
        </w:rPr>
        <w:t>i</w:t>
      </w:r>
      <w:r w:rsidRPr="043A0D26">
        <w:rPr>
          <w:rFonts w:eastAsia="Arial" w:cs="Arial"/>
        </w:rPr>
        <w:t xml:space="preserve">nfrastructure </w:t>
      </w:r>
      <w:r w:rsidR="007C4D03">
        <w:rPr>
          <w:rFonts w:eastAsia="Arial" w:cs="Arial"/>
        </w:rPr>
        <w:t>as-a-service</w:t>
      </w:r>
      <w:r w:rsidRPr="043A0D26">
        <w:rPr>
          <w:rFonts w:eastAsia="Arial" w:cs="Arial"/>
        </w:rPr>
        <w:t xml:space="preserve"> (IaaS) offerings, with the latter delegating more responsibility to the agency.</w:t>
      </w:r>
      <w:r w:rsidR="002E48AB">
        <w:rPr>
          <w:rFonts w:eastAsia="Arial" w:cs="Arial"/>
        </w:rPr>
        <w:t xml:space="preserve"> </w:t>
      </w:r>
      <w:r w:rsidRPr="043A0D26">
        <w:rPr>
          <w:rFonts w:eastAsia="Arial" w:cs="Arial"/>
        </w:rPr>
        <w:t>A typical and rational allocation of responsibility is shown in the following tables.</w:t>
      </w:r>
      <w:r w:rsidR="002E48AB">
        <w:rPr>
          <w:rFonts w:eastAsia="Arial" w:cs="Arial"/>
        </w:rPr>
        <w:t xml:space="preserve"> </w:t>
      </w:r>
      <w:r w:rsidRPr="043A0D26">
        <w:rPr>
          <w:rFonts w:eastAsia="Arial" w:cs="Arial"/>
        </w:rPr>
        <w:t>In any case, for each type of service, the agency and provider should clearly define which of them is responsible for all the items in the list below.</w:t>
      </w:r>
      <w:r w:rsidR="002E48AB">
        <w:rPr>
          <w:rFonts w:eastAsia="Arial" w:cs="Arial"/>
        </w:rPr>
        <w:t xml:space="preserve"> </w:t>
      </w:r>
      <w:r w:rsidRPr="043A0D26">
        <w:rPr>
          <w:rFonts w:eastAsia="Arial" w:cs="Arial"/>
        </w:rPr>
        <w:t xml:space="preserve">In the case of standard terms of service (i.e. no negotiation possible), </w:t>
      </w:r>
      <w:r w:rsidR="007C4D03">
        <w:rPr>
          <w:rFonts w:eastAsia="Arial" w:cs="Arial"/>
        </w:rPr>
        <w:t>as-a-service</w:t>
      </w:r>
      <w:r w:rsidRPr="043A0D26">
        <w:rPr>
          <w:rFonts w:eastAsia="Arial" w:cs="Arial"/>
        </w:rPr>
        <w:t xml:space="preserve"> agencies should verify what lies within their responsibility.</w:t>
      </w:r>
    </w:p>
    <w:p w:rsidR="00E21C8F" w:rsidRDefault="043A0D26" w:rsidP="00E21C8F">
      <w:pPr>
        <w:pStyle w:val="Appendixlvl2"/>
      </w:pPr>
      <w:r>
        <w:t xml:space="preserve">ICT </w:t>
      </w:r>
      <w:r w:rsidR="007C4D03">
        <w:t>as-a-service</w:t>
      </w:r>
      <w:r>
        <w:t xml:space="preserve"> criteria</w:t>
      </w:r>
    </w:p>
    <w:p w:rsidR="00E21C8F" w:rsidRPr="00515C49" w:rsidRDefault="043A0D26" w:rsidP="00E21C8F">
      <w:pPr>
        <w:pStyle w:val="BodyText1"/>
      </w:pPr>
      <w:r>
        <w:t xml:space="preserve">The security assurance guideline approach and principles are applicable to any </w:t>
      </w:r>
      <w:r w:rsidR="007C4D03">
        <w:t>as-a-service</w:t>
      </w:r>
      <w:r>
        <w:t xml:space="preserve"> procurement initiative.</w:t>
      </w:r>
    </w:p>
    <w:p w:rsidR="00E21C8F" w:rsidRPr="00515C49" w:rsidRDefault="043A0D26" w:rsidP="00E21C8F">
      <w:pPr>
        <w:pStyle w:val="BodyText1"/>
      </w:pPr>
      <w:r>
        <w:t xml:space="preserve">The most common forms of ICT service procurement are </w:t>
      </w:r>
      <w:r w:rsidR="00F2053F">
        <w:t>s</w:t>
      </w:r>
      <w:r>
        <w:t xml:space="preserve">oftware </w:t>
      </w:r>
      <w:r w:rsidR="007C4D03">
        <w:t>as-a-service</w:t>
      </w:r>
      <w:r>
        <w:t xml:space="preserve">, </w:t>
      </w:r>
      <w:r w:rsidR="00F2053F">
        <w:t>p</w:t>
      </w:r>
      <w:r>
        <w:t xml:space="preserve">latform </w:t>
      </w:r>
      <w:r w:rsidR="007C4D03">
        <w:t>as-a-service</w:t>
      </w:r>
      <w:r>
        <w:t xml:space="preserve">, and </w:t>
      </w:r>
      <w:r w:rsidR="00F2053F">
        <w:t>i</w:t>
      </w:r>
      <w:r>
        <w:t xml:space="preserve">nfrastructure </w:t>
      </w:r>
      <w:r w:rsidR="007C4D03">
        <w:t>as-a-service</w:t>
      </w:r>
      <w:r>
        <w:t>.</w:t>
      </w:r>
      <w:r w:rsidR="002E48AB">
        <w:t xml:space="preserve"> </w:t>
      </w:r>
      <w:r>
        <w:t>Therefore, below are the key considerations that are specifically applicable to each of the service type packages.</w:t>
      </w:r>
    </w:p>
    <w:p w:rsidR="00E21C8F" w:rsidRPr="00515C49" w:rsidRDefault="043A0D26" w:rsidP="00E21C8F">
      <w:pPr>
        <w:pStyle w:val="BodyText1"/>
      </w:pPr>
      <w:r>
        <w:t xml:space="preserve">Figure 3 </w:t>
      </w:r>
      <w:r w:rsidR="00F2053F">
        <w:t xml:space="preserve">below </w:t>
      </w:r>
      <w:r>
        <w:t>(source: Business Cloud News - November 16, 2015) delineates the responsibility between in-house service management and cloud service providers.</w:t>
      </w:r>
      <w:r w:rsidR="002E48AB">
        <w:t xml:space="preserve"> </w:t>
      </w:r>
      <w:r>
        <w:t>From a security assurance perspective, the need for due diligence is proportional to the service type that is procured and the extent of control that the agency has i.e. for SaaS, the end-to-end control for the service is with the cloud provider.</w:t>
      </w:r>
    </w:p>
    <w:p w:rsidR="00E21C8F" w:rsidRPr="00515C49" w:rsidRDefault="00E21C8F" w:rsidP="0055121B">
      <w:pPr>
        <w:pStyle w:val="Blankline"/>
      </w:pPr>
    </w:p>
    <w:p w:rsidR="00E21C8F" w:rsidRPr="00515C49" w:rsidRDefault="00E21C8F" w:rsidP="00E21C8F">
      <w:pPr>
        <w:pStyle w:val="BodyText1"/>
      </w:pPr>
      <w:r>
        <w:rPr>
          <w:noProof/>
        </w:rPr>
        <w:drawing>
          <wp:inline distT="0" distB="0" distL="0" distR="0" wp14:anchorId="2E040F39" wp14:editId="3B14616C">
            <wp:extent cx="5405933" cy="3063240"/>
            <wp:effectExtent l="0" t="0" r="4445" b="3810"/>
            <wp:docPr id="405585694" name="picture" descr="Kemp aas 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43" cstate="print">
                      <a:extLst>
                        <a:ext uri="{28A0092B-C50C-407E-A947-70E740481C1C}">
                          <a14:useLocalDpi xmlns:a14="http://schemas.microsoft.com/office/drawing/2010/main" val="0"/>
                        </a:ext>
                      </a:extLst>
                    </a:blip>
                    <a:srcRect r="767"/>
                    <a:stretch/>
                  </pic:blipFill>
                  <pic:spPr bwMode="auto">
                    <a:xfrm>
                      <a:off x="0" y="0"/>
                      <a:ext cx="5406521" cy="3063573"/>
                    </a:xfrm>
                    <a:prstGeom prst="rect">
                      <a:avLst/>
                    </a:prstGeom>
                    <a:ln>
                      <a:noFill/>
                    </a:ln>
                    <a:extLst>
                      <a:ext uri="{53640926-AAD7-44D8-BBD7-CCE9431645EC}">
                        <a14:shadowObscured xmlns:a14="http://schemas.microsoft.com/office/drawing/2010/main"/>
                      </a:ext>
                    </a:extLst>
                  </pic:spPr>
                </pic:pic>
              </a:graphicData>
            </a:graphic>
          </wp:inline>
        </w:drawing>
      </w:r>
    </w:p>
    <w:p w:rsidR="00E21C8F" w:rsidRPr="00E21C8F" w:rsidRDefault="00E21C8F" w:rsidP="00E21C8F">
      <w:pPr>
        <w:pStyle w:val="Caption"/>
      </w:pPr>
      <w:bookmarkStart w:id="42" w:name="_Toc448914519"/>
      <w:bookmarkStart w:id="43" w:name="_Toc453923119"/>
      <w:r w:rsidRPr="00515C49">
        <w:t xml:space="preserve">Figure </w:t>
      </w:r>
      <w:r w:rsidR="00F8550A">
        <w:fldChar w:fldCharType="begin"/>
      </w:r>
      <w:r w:rsidR="00F8550A">
        <w:instrText xml:space="preserve"> SEQ Figure \* ARABIC </w:instrText>
      </w:r>
      <w:r w:rsidR="00F8550A">
        <w:fldChar w:fldCharType="separate"/>
      </w:r>
      <w:r w:rsidRPr="345F88C1">
        <w:t>3</w:t>
      </w:r>
      <w:r w:rsidR="00F8550A">
        <w:fldChar w:fldCharType="end"/>
      </w:r>
      <w:r w:rsidRPr="00515C49">
        <w:t xml:space="preserve">. Customer </w:t>
      </w:r>
      <w:r w:rsidR="00F2053F" w:rsidRPr="00515C49">
        <w:t>managed to cloud service provider managed</w:t>
      </w:r>
      <w:r w:rsidRPr="00515C49">
        <w:t>: The Continuum of Cloud Services</w:t>
      </w:r>
      <w:bookmarkEnd w:id="42"/>
      <w:bookmarkEnd w:id="43"/>
    </w:p>
    <w:p w:rsidR="00AD0A26" w:rsidRDefault="043A0D26" w:rsidP="00B12183">
      <w:pPr>
        <w:pStyle w:val="Appendix2"/>
      </w:pPr>
      <w:r>
        <w:lastRenderedPageBreak/>
        <w:t>Software as-a-service</w:t>
      </w:r>
    </w:p>
    <w:tbl>
      <w:tblPr>
        <w:tblW w:w="9042" w:type="dxa"/>
        <w:tblInd w:w="82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113" w:type="dxa"/>
          <w:bottom w:w="28" w:type="dxa"/>
          <w:right w:w="113" w:type="dxa"/>
        </w:tblCellMar>
        <w:tblLook w:val="01E0" w:firstRow="1" w:lastRow="1" w:firstColumn="1" w:lastColumn="1" w:noHBand="0" w:noVBand="0"/>
      </w:tblPr>
      <w:tblGrid>
        <w:gridCol w:w="3709"/>
        <w:gridCol w:w="5333"/>
      </w:tblGrid>
      <w:tr w:rsidR="0055121B" w:rsidRPr="00515C49" w:rsidTr="043A0D26">
        <w:trPr>
          <w:tblHeader/>
        </w:trPr>
        <w:tc>
          <w:tcPr>
            <w:tcW w:w="3709" w:type="dxa"/>
            <w:tcBorders>
              <w:bottom w:val="single" w:sz="12" w:space="0" w:color="C0C0C0"/>
            </w:tcBorders>
            <w:shd w:val="clear" w:color="auto" w:fill="FFFFFF" w:themeFill="background1"/>
          </w:tcPr>
          <w:p w:rsidR="0055121B" w:rsidRPr="00515C49" w:rsidRDefault="043A0D26" w:rsidP="00A64BFD">
            <w:pPr>
              <w:ind w:left="23"/>
              <w:rPr>
                <w:rFonts w:cs="Arial"/>
                <w:b/>
              </w:rPr>
            </w:pPr>
            <w:r w:rsidRPr="043A0D26">
              <w:rPr>
                <w:rFonts w:eastAsia="Arial" w:cs="Arial"/>
                <w:b/>
                <w:bCs/>
              </w:rPr>
              <w:t>Agency</w:t>
            </w:r>
          </w:p>
        </w:tc>
        <w:tc>
          <w:tcPr>
            <w:tcW w:w="5333" w:type="dxa"/>
            <w:tcBorders>
              <w:bottom w:val="single" w:sz="12" w:space="0" w:color="C0C0C0"/>
            </w:tcBorders>
            <w:shd w:val="clear" w:color="auto" w:fill="FFFFFF" w:themeFill="background1"/>
          </w:tcPr>
          <w:p w:rsidR="0055121B" w:rsidRPr="00515C49" w:rsidRDefault="043A0D26" w:rsidP="00F2053F">
            <w:pPr>
              <w:ind w:left="29"/>
              <w:rPr>
                <w:rFonts w:cs="Arial"/>
                <w:b/>
              </w:rPr>
            </w:pPr>
            <w:r w:rsidRPr="043A0D26">
              <w:rPr>
                <w:rFonts w:eastAsia="Arial" w:cs="Arial"/>
                <w:b/>
                <w:bCs/>
              </w:rPr>
              <w:t>As-a-</w:t>
            </w:r>
            <w:r w:rsidR="00F2053F">
              <w:rPr>
                <w:rFonts w:eastAsia="Arial" w:cs="Arial"/>
                <w:b/>
                <w:bCs/>
              </w:rPr>
              <w:t>s</w:t>
            </w:r>
            <w:r w:rsidRPr="043A0D26">
              <w:rPr>
                <w:rFonts w:eastAsia="Arial" w:cs="Arial"/>
                <w:b/>
                <w:bCs/>
              </w:rPr>
              <w:t>ervice provider</w:t>
            </w:r>
          </w:p>
        </w:tc>
      </w:tr>
      <w:tr w:rsidR="0055121B" w:rsidRPr="00515C49" w:rsidTr="043A0D26">
        <w:tblPrEx>
          <w:tblCellMar>
            <w:top w:w="57" w:type="dxa"/>
            <w:left w:w="119" w:type="dxa"/>
            <w:right w:w="119" w:type="dxa"/>
          </w:tblCellMar>
        </w:tblPrEx>
        <w:tc>
          <w:tcPr>
            <w:tcW w:w="3709" w:type="dxa"/>
            <w:tcBorders>
              <w:top w:val="single" w:sz="12" w:space="0" w:color="C0C0C0"/>
            </w:tcBorders>
            <w:shd w:val="clear" w:color="auto" w:fill="E6E6E6"/>
          </w:tcPr>
          <w:p w:rsidR="0055121B" w:rsidRPr="00515C49" w:rsidRDefault="00F2053F" w:rsidP="043A0D26">
            <w:pPr>
              <w:pStyle w:val="TableText"/>
              <w:numPr>
                <w:ilvl w:val="0"/>
                <w:numId w:val="36"/>
              </w:numPr>
              <w:spacing w:after="0"/>
              <w:rPr>
                <w:rFonts w:eastAsia="Arial" w:cs="Arial"/>
                <w:b/>
                <w:bCs/>
                <w:lang w:eastAsia="en-AU"/>
              </w:rPr>
            </w:pPr>
            <w:r w:rsidRPr="043A0D26">
              <w:rPr>
                <w:rFonts w:eastAsia="Arial" w:cs="Arial"/>
                <w:lang w:eastAsia="en-AU"/>
              </w:rPr>
              <w:t xml:space="preserve">Compliance </w:t>
            </w:r>
            <w:r w:rsidR="043A0D26" w:rsidRPr="043A0D26">
              <w:rPr>
                <w:rFonts w:eastAsia="Arial" w:cs="Arial"/>
                <w:lang w:eastAsia="en-AU"/>
              </w:rPr>
              <w:t>with data protection law in respect of agency data collected and processed</w:t>
            </w:r>
          </w:p>
          <w:p w:rsidR="0055121B" w:rsidRPr="00515C49" w:rsidRDefault="00F2053F" w:rsidP="043A0D26">
            <w:pPr>
              <w:pStyle w:val="TableText"/>
              <w:numPr>
                <w:ilvl w:val="0"/>
                <w:numId w:val="36"/>
              </w:numPr>
              <w:spacing w:after="0"/>
              <w:rPr>
                <w:rFonts w:eastAsia="Arial" w:cs="Arial"/>
                <w:b/>
                <w:bCs/>
                <w:lang w:eastAsia="en-AU"/>
              </w:rPr>
            </w:pPr>
            <w:r w:rsidRPr="043A0D26">
              <w:rPr>
                <w:rFonts w:eastAsia="Arial" w:cs="Arial"/>
                <w:lang w:eastAsia="en-AU"/>
              </w:rPr>
              <w:t xml:space="preserve">Maintenance </w:t>
            </w:r>
            <w:r w:rsidR="043A0D26" w:rsidRPr="043A0D26">
              <w:rPr>
                <w:rFonts w:eastAsia="Arial" w:cs="Arial"/>
                <w:lang w:eastAsia="en-AU"/>
              </w:rPr>
              <w:t>of the agency identity management systems</w:t>
            </w:r>
          </w:p>
          <w:p w:rsidR="0055121B" w:rsidRPr="00515C49" w:rsidRDefault="00F2053F" w:rsidP="043A0D26">
            <w:pPr>
              <w:pStyle w:val="TableText"/>
              <w:numPr>
                <w:ilvl w:val="0"/>
                <w:numId w:val="36"/>
              </w:numPr>
              <w:spacing w:after="0"/>
              <w:rPr>
                <w:rFonts w:eastAsia="Arial" w:cs="Arial"/>
                <w:b/>
                <w:bCs/>
                <w:lang w:eastAsia="en-AU"/>
              </w:rPr>
            </w:pPr>
            <w:r w:rsidRPr="043A0D26">
              <w:rPr>
                <w:rFonts w:eastAsia="Arial" w:cs="Arial"/>
                <w:lang w:eastAsia="en-AU"/>
              </w:rPr>
              <w:t xml:space="preserve">Management </w:t>
            </w:r>
            <w:r w:rsidR="043A0D26" w:rsidRPr="043A0D26">
              <w:rPr>
                <w:rFonts w:eastAsia="Arial" w:cs="Arial"/>
                <w:lang w:eastAsia="en-AU"/>
              </w:rPr>
              <w:t xml:space="preserve">of the agency identity management systems </w:t>
            </w:r>
          </w:p>
          <w:p w:rsidR="0055121B" w:rsidRPr="00515C49" w:rsidRDefault="00F2053F" w:rsidP="043A0D26">
            <w:pPr>
              <w:pStyle w:val="TableText"/>
              <w:numPr>
                <w:ilvl w:val="0"/>
                <w:numId w:val="36"/>
              </w:numPr>
              <w:spacing w:after="0"/>
              <w:rPr>
                <w:rFonts w:eastAsia="Arial" w:cs="Arial"/>
                <w:b/>
                <w:bCs/>
                <w:lang w:eastAsia="en-AU"/>
              </w:rPr>
            </w:pPr>
            <w:r w:rsidRPr="043A0D26">
              <w:rPr>
                <w:rFonts w:eastAsia="Arial" w:cs="Arial"/>
                <w:lang w:eastAsia="en-AU"/>
              </w:rPr>
              <w:t xml:space="preserve">Management </w:t>
            </w:r>
            <w:r w:rsidR="043A0D26" w:rsidRPr="043A0D26">
              <w:rPr>
                <w:rFonts w:eastAsia="Arial" w:cs="Arial"/>
                <w:lang w:eastAsia="en-AU"/>
              </w:rPr>
              <w:t>of authentication platforms, active directory integration and or federation (including enforcing password policy).</w:t>
            </w:r>
          </w:p>
        </w:tc>
        <w:tc>
          <w:tcPr>
            <w:tcW w:w="5333" w:type="dxa"/>
            <w:tcBorders>
              <w:top w:val="single" w:sz="12" w:space="0" w:color="C0C0C0"/>
            </w:tcBorders>
            <w:shd w:val="clear" w:color="auto" w:fill="auto"/>
          </w:tcPr>
          <w:p w:rsidR="0055121B" w:rsidRPr="00515C49" w:rsidRDefault="043A0D26" w:rsidP="043A0D26">
            <w:pPr>
              <w:pStyle w:val="ListParagraph"/>
              <w:numPr>
                <w:ilvl w:val="0"/>
                <w:numId w:val="35"/>
              </w:numPr>
              <w:spacing w:before="60"/>
              <w:rPr>
                <w:rFonts w:eastAsia="Arial" w:cs="Arial"/>
              </w:rPr>
            </w:pPr>
            <w:r w:rsidRPr="043A0D26">
              <w:rPr>
                <w:rFonts w:eastAsia="Arial" w:cs="Arial"/>
              </w:rPr>
              <w:t>physical support infrastructure such as facilities, rack space, power, cooling and structured cabling</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physical infrastructure security and availability for infrastructure including servers, storage and network bandwidth</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Operating systems patch management and hardening procedures</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security platform configuration including firewall rules, access control lists and IDS/IPS tuning</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systems management and monitoring</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security platform maintenance including firewall, bastion routers, host intrusion detection service (IDS)/ intrusion prevention service (IPS), antivirus, packet filtering</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log collection and security monitoring</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management, patching and maintenance of the application software.</w:t>
            </w:r>
          </w:p>
        </w:tc>
      </w:tr>
      <w:tr w:rsidR="0055121B" w:rsidRPr="00515C49" w:rsidTr="043A0D26">
        <w:tblPrEx>
          <w:tblCellMar>
            <w:top w:w="57" w:type="dxa"/>
            <w:left w:w="119" w:type="dxa"/>
            <w:right w:w="119" w:type="dxa"/>
          </w:tblCellMar>
        </w:tblPrEx>
        <w:tc>
          <w:tcPr>
            <w:tcW w:w="3709" w:type="dxa"/>
            <w:shd w:val="clear" w:color="auto" w:fill="E6E6E6"/>
          </w:tcPr>
          <w:p w:rsidR="0055121B" w:rsidRPr="00515C49" w:rsidRDefault="043A0D26" w:rsidP="00A64BFD">
            <w:pPr>
              <w:pStyle w:val="TableText"/>
              <w:ind w:left="360"/>
              <w:rPr>
                <w:rFonts w:eastAsia="Arial" w:cs="Arial"/>
                <w:b/>
                <w:bCs/>
                <w:lang w:eastAsia="en-AU"/>
              </w:rPr>
            </w:pPr>
            <w:r w:rsidRPr="043A0D26">
              <w:rPr>
                <w:rFonts w:eastAsia="Arial" w:cs="Arial"/>
                <w:lang w:eastAsia="en-AU"/>
              </w:rPr>
              <w:t>Relative risk: Low to medium</w:t>
            </w:r>
          </w:p>
        </w:tc>
        <w:tc>
          <w:tcPr>
            <w:tcW w:w="5333" w:type="dxa"/>
            <w:shd w:val="clear" w:color="auto" w:fill="auto"/>
          </w:tcPr>
          <w:p w:rsidR="0055121B" w:rsidRPr="00515C49" w:rsidRDefault="0055121B" w:rsidP="00A64BFD">
            <w:pPr>
              <w:pStyle w:val="ListParagraph"/>
              <w:ind w:left="360"/>
              <w:rPr>
                <w:rFonts w:cs="Arial"/>
                <w:szCs w:val="20"/>
              </w:rPr>
            </w:pPr>
          </w:p>
        </w:tc>
      </w:tr>
    </w:tbl>
    <w:p w:rsidR="0055121B" w:rsidRDefault="043A0D26" w:rsidP="0055121B">
      <w:pPr>
        <w:pStyle w:val="Appendixlvl2"/>
      </w:pPr>
      <w:r>
        <w:t>Platform as-a-service</w:t>
      </w:r>
    </w:p>
    <w:tbl>
      <w:tblPr>
        <w:tblW w:w="9042" w:type="dxa"/>
        <w:tblInd w:w="82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113" w:type="dxa"/>
          <w:bottom w:w="28" w:type="dxa"/>
          <w:right w:w="113" w:type="dxa"/>
        </w:tblCellMar>
        <w:tblLook w:val="01E0" w:firstRow="1" w:lastRow="1" w:firstColumn="1" w:lastColumn="1" w:noHBand="0" w:noVBand="0"/>
      </w:tblPr>
      <w:tblGrid>
        <w:gridCol w:w="3709"/>
        <w:gridCol w:w="5333"/>
      </w:tblGrid>
      <w:tr w:rsidR="0055121B" w:rsidRPr="00515C49" w:rsidTr="043A0D26">
        <w:tc>
          <w:tcPr>
            <w:tcW w:w="3709" w:type="dxa"/>
            <w:tcBorders>
              <w:bottom w:val="single" w:sz="12" w:space="0" w:color="C0C0C0"/>
            </w:tcBorders>
            <w:shd w:val="clear" w:color="auto" w:fill="FFFFFF" w:themeFill="background1"/>
          </w:tcPr>
          <w:p w:rsidR="0055121B" w:rsidRPr="00515C49" w:rsidRDefault="043A0D26" w:rsidP="00A64BFD">
            <w:pPr>
              <w:ind w:left="23"/>
              <w:rPr>
                <w:rFonts w:cs="Arial"/>
                <w:b/>
              </w:rPr>
            </w:pPr>
            <w:r w:rsidRPr="043A0D26">
              <w:rPr>
                <w:rFonts w:eastAsia="Arial" w:cs="Arial"/>
                <w:b/>
                <w:bCs/>
              </w:rPr>
              <w:t>Agency</w:t>
            </w:r>
          </w:p>
        </w:tc>
        <w:tc>
          <w:tcPr>
            <w:tcW w:w="5333" w:type="dxa"/>
            <w:tcBorders>
              <w:bottom w:val="single" w:sz="12" w:space="0" w:color="C0C0C0"/>
            </w:tcBorders>
            <w:shd w:val="clear" w:color="auto" w:fill="FFFFFF" w:themeFill="background1"/>
          </w:tcPr>
          <w:p w:rsidR="0055121B" w:rsidRPr="00515C49" w:rsidRDefault="043A0D26" w:rsidP="00F2053F">
            <w:pPr>
              <w:ind w:left="29"/>
              <w:rPr>
                <w:rFonts w:cs="Arial"/>
                <w:b/>
              </w:rPr>
            </w:pPr>
            <w:r w:rsidRPr="043A0D26">
              <w:rPr>
                <w:rFonts w:eastAsia="Arial" w:cs="Arial"/>
                <w:b/>
                <w:bCs/>
              </w:rPr>
              <w:t>As-a-</w:t>
            </w:r>
            <w:r w:rsidR="00F2053F">
              <w:rPr>
                <w:rFonts w:eastAsia="Arial" w:cs="Arial"/>
                <w:b/>
                <w:bCs/>
              </w:rPr>
              <w:t>s</w:t>
            </w:r>
            <w:r w:rsidRPr="043A0D26">
              <w:rPr>
                <w:rFonts w:eastAsia="Arial" w:cs="Arial"/>
                <w:b/>
                <w:bCs/>
              </w:rPr>
              <w:t>ervice provider</w:t>
            </w:r>
          </w:p>
        </w:tc>
      </w:tr>
      <w:tr w:rsidR="0055121B" w:rsidRPr="00515C49" w:rsidTr="043A0D26">
        <w:tblPrEx>
          <w:tblCellMar>
            <w:top w:w="57" w:type="dxa"/>
            <w:left w:w="119" w:type="dxa"/>
            <w:right w:w="119" w:type="dxa"/>
          </w:tblCellMar>
        </w:tblPrEx>
        <w:tc>
          <w:tcPr>
            <w:tcW w:w="3709" w:type="dxa"/>
            <w:tcBorders>
              <w:top w:val="single" w:sz="12" w:space="0" w:color="C0C0C0"/>
            </w:tcBorders>
            <w:shd w:val="clear" w:color="auto" w:fill="E6E6E6"/>
          </w:tcPr>
          <w:p w:rsidR="0055121B"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t>maintenance of agency identity management systems</w:t>
            </w:r>
          </w:p>
          <w:p w:rsidR="0055121B"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t xml:space="preserve">management of agency identity management system </w:t>
            </w:r>
          </w:p>
          <w:p w:rsidR="0055121B"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t>management of authentication platforms, active directory integration and or federation (including enforcing password policy).</w:t>
            </w:r>
            <w:r w:rsidR="002E48AB">
              <w:rPr>
                <w:rFonts w:eastAsia="Arial" w:cs="Arial"/>
                <w:lang w:eastAsia="en-AU"/>
              </w:rPr>
              <w:t xml:space="preserve"> </w:t>
            </w:r>
          </w:p>
        </w:tc>
        <w:tc>
          <w:tcPr>
            <w:tcW w:w="5333" w:type="dxa"/>
            <w:tcBorders>
              <w:top w:val="single" w:sz="12" w:space="0" w:color="C0C0C0"/>
            </w:tcBorders>
            <w:shd w:val="clear" w:color="auto" w:fill="auto"/>
          </w:tcPr>
          <w:p w:rsidR="0055121B" w:rsidRPr="00515C49" w:rsidRDefault="043A0D26" w:rsidP="043A0D26">
            <w:pPr>
              <w:pStyle w:val="ListParagraph"/>
              <w:numPr>
                <w:ilvl w:val="0"/>
                <w:numId w:val="35"/>
              </w:numPr>
              <w:spacing w:before="60"/>
              <w:rPr>
                <w:rFonts w:eastAsia="Arial" w:cs="Arial"/>
              </w:rPr>
            </w:pPr>
            <w:r w:rsidRPr="043A0D26">
              <w:rPr>
                <w:rFonts w:eastAsia="Arial" w:cs="Arial"/>
              </w:rPr>
              <w:t>physical support infrastructure such as facilities, rack space, power, cooling and structured cabling</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physical infrastructure security and availability for infrastructure including servers, storage and network bandwidth</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 xml:space="preserve">OS patch management and hardening procedures </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security platform configuration including firewall rules, access control lists and IDS/IPS tuning</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systems monitoring</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security platform maintenance including firewall, bastion routers, host IDS/IPS, antivirus, packet filtering</w:t>
            </w:r>
          </w:p>
          <w:p w:rsidR="0055121B" w:rsidRPr="00515C49" w:rsidRDefault="043A0D26" w:rsidP="043A0D26">
            <w:pPr>
              <w:pStyle w:val="ListParagraph"/>
              <w:numPr>
                <w:ilvl w:val="0"/>
                <w:numId w:val="35"/>
              </w:numPr>
              <w:spacing w:before="60"/>
              <w:rPr>
                <w:rFonts w:eastAsia="Arial" w:cs="Arial"/>
              </w:rPr>
            </w:pPr>
            <w:r w:rsidRPr="043A0D26">
              <w:rPr>
                <w:rFonts w:eastAsia="Arial" w:cs="Arial"/>
              </w:rPr>
              <w:t>log collection and security monitoring.</w:t>
            </w:r>
          </w:p>
        </w:tc>
      </w:tr>
      <w:tr w:rsidR="0055121B" w:rsidRPr="00515C49" w:rsidTr="043A0D26">
        <w:tblPrEx>
          <w:tblCellMar>
            <w:top w:w="57" w:type="dxa"/>
            <w:left w:w="119" w:type="dxa"/>
            <w:right w:w="119" w:type="dxa"/>
          </w:tblCellMar>
        </w:tblPrEx>
        <w:tc>
          <w:tcPr>
            <w:tcW w:w="3709" w:type="dxa"/>
            <w:shd w:val="clear" w:color="auto" w:fill="E6E6E6"/>
          </w:tcPr>
          <w:p w:rsidR="0055121B" w:rsidRPr="00515C49" w:rsidRDefault="043A0D26" w:rsidP="00A64BFD">
            <w:pPr>
              <w:pStyle w:val="TableText"/>
              <w:ind w:left="360"/>
              <w:rPr>
                <w:rFonts w:eastAsia="Arial" w:cs="Arial"/>
                <w:b/>
                <w:bCs/>
                <w:lang w:eastAsia="en-AU"/>
              </w:rPr>
            </w:pPr>
            <w:r w:rsidRPr="043A0D26">
              <w:rPr>
                <w:rFonts w:eastAsia="Arial" w:cs="Arial"/>
                <w:lang w:eastAsia="en-AU"/>
              </w:rPr>
              <w:t>Relative risk: Medium to high</w:t>
            </w:r>
          </w:p>
        </w:tc>
        <w:tc>
          <w:tcPr>
            <w:tcW w:w="5333" w:type="dxa"/>
            <w:shd w:val="clear" w:color="auto" w:fill="auto"/>
          </w:tcPr>
          <w:p w:rsidR="0055121B" w:rsidRPr="00515C49" w:rsidRDefault="0055121B" w:rsidP="00A64BFD">
            <w:pPr>
              <w:pStyle w:val="ListParagraph"/>
              <w:ind w:left="360"/>
              <w:rPr>
                <w:rFonts w:cs="Arial"/>
                <w:szCs w:val="20"/>
              </w:rPr>
            </w:pPr>
          </w:p>
        </w:tc>
      </w:tr>
    </w:tbl>
    <w:p w:rsidR="0055121B" w:rsidRDefault="043A0D26" w:rsidP="0055121B">
      <w:pPr>
        <w:pStyle w:val="Appendixlvl2"/>
      </w:pPr>
      <w:r>
        <w:t>Infrastructure as-a-service</w:t>
      </w:r>
    </w:p>
    <w:tbl>
      <w:tblPr>
        <w:tblW w:w="9042" w:type="dxa"/>
        <w:tblInd w:w="82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113" w:type="dxa"/>
          <w:bottom w:w="28" w:type="dxa"/>
          <w:right w:w="113" w:type="dxa"/>
        </w:tblCellMar>
        <w:tblLook w:val="01E0" w:firstRow="1" w:lastRow="1" w:firstColumn="1" w:lastColumn="1" w:noHBand="0" w:noVBand="0"/>
      </w:tblPr>
      <w:tblGrid>
        <w:gridCol w:w="3709"/>
        <w:gridCol w:w="5333"/>
      </w:tblGrid>
      <w:tr w:rsidR="006E6B99" w:rsidRPr="00515C49" w:rsidTr="043A0D26">
        <w:trPr>
          <w:tblHeader/>
        </w:trPr>
        <w:tc>
          <w:tcPr>
            <w:tcW w:w="3709" w:type="dxa"/>
            <w:tcBorders>
              <w:bottom w:val="single" w:sz="12" w:space="0" w:color="C0C0C0"/>
            </w:tcBorders>
            <w:shd w:val="clear" w:color="auto" w:fill="FFFFFF" w:themeFill="background1"/>
          </w:tcPr>
          <w:p w:rsidR="006E6B99" w:rsidRPr="00515C49" w:rsidRDefault="043A0D26" w:rsidP="00A64BFD">
            <w:pPr>
              <w:ind w:left="23"/>
              <w:rPr>
                <w:rFonts w:cs="Arial"/>
                <w:b/>
              </w:rPr>
            </w:pPr>
            <w:r w:rsidRPr="043A0D26">
              <w:rPr>
                <w:rFonts w:eastAsia="Arial" w:cs="Arial"/>
                <w:b/>
                <w:bCs/>
              </w:rPr>
              <w:t>Agency</w:t>
            </w:r>
          </w:p>
        </w:tc>
        <w:tc>
          <w:tcPr>
            <w:tcW w:w="5333" w:type="dxa"/>
            <w:tcBorders>
              <w:bottom w:val="single" w:sz="12" w:space="0" w:color="C0C0C0"/>
            </w:tcBorders>
            <w:shd w:val="clear" w:color="auto" w:fill="FFFFFF" w:themeFill="background1"/>
          </w:tcPr>
          <w:p w:rsidR="006E6B99" w:rsidRPr="00515C49" w:rsidRDefault="043A0D26" w:rsidP="00F2053F">
            <w:pPr>
              <w:ind w:left="29"/>
              <w:rPr>
                <w:rFonts w:cs="Arial"/>
                <w:b/>
              </w:rPr>
            </w:pPr>
            <w:r w:rsidRPr="043A0D26">
              <w:rPr>
                <w:rFonts w:eastAsia="Arial" w:cs="Arial"/>
                <w:b/>
                <w:bCs/>
              </w:rPr>
              <w:t>As-a-</w:t>
            </w:r>
            <w:r w:rsidR="00F2053F">
              <w:rPr>
                <w:rFonts w:eastAsia="Arial" w:cs="Arial"/>
                <w:b/>
                <w:bCs/>
              </w:rPr>
              <w:t>s</w:t>
            </w:r>
            <w:r w:rsidRPr="043A0D26">
              <w:rPr>
                <w:rFonts w:eastAsia="Arial" w:cs="Arial"/>
                <w:b/>
                <w:bCs/>
              </w:rPr>
              <w:t>ervice provider</w:t>
            </w:r>
          </w:p>
        </w:tc>
      </w:tr>
      <w:tr w:rsidR="006E6B99" w:rsidRPr="00515C49" w:rsidTr="043A0D26">
        <w:tblPrEx>
          <w:tblCellMar>
            <w:top w:w="57" w:type="dxa"/>
            <w:left w:w="119" w:type="dxa"/>
            <w:right w:w="119" w:type="dxa"/>
          </w:tblCellMar>
        </w:tblPrEx>
        <w:tc>
          <w:tcPr>
            <w:tcW w:w="3709" w:type="dxa"/>
            <w:tcBorders>
              <w:top w:val="single" w:sz="12" w:space="0" w:color="C0C0C0"/>
            </w:tcBorders>
            <w:shd w:val="clear" w:color="auto" w:fill="E6E6E6"/>
          </w:tcPr>
          <w:p w:rsidR="006E6B99"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t>maintenance of agency identity management systems</w:t>
            </w:r>
          </w:p>
          <w:p w:rsidR="006E6B99"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t xml:space="preserve">management of agency identity management system </w:t>
            </w:r>
          </w:p>
          <w:p w:rsidR="006E6B99"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t>management of authentication platforms, active directory integration and or federation (including enforcing password policy)</w:t>
            </w:r>
            <w:r w:rsidR="002E48AB">
              <w:rPr>
                <w:rFonts w:eastAsia="Arial" w:cs="Arial"/>
                <w:lang w:eastAsia="en-AU"/>
              </w:rPr>
              <w:t xml:space="preserve"> </w:t>
            </w:r>
          </w:p>
          <w:p w:rsidR="006E6B99"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lastRenderedPageBreak/>
              <w:t>management of guest OS patch and hardening procedures (check also any conflict between customer hardening procedure and provider security policy)</w:t>
            </w:r>
          </w:p>
          <w:p w:rsidR="006E6B99"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t>configuration of guest security platform including firewall rules, access control lists and IDS/IPS tuning</w:t>
            </w:r>
          </w:p>
          <w:p w:rsidR="006E6B99"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t>guest systems monitoring</w:t>
            </w:r>
          </w:p>
          <w:p w:rsidR="006E6B99" w:rsidRPr="00515C49" w:rsidRDefault="043A0D26" w:rsidP="043A0D26">
            <w:pPr>
              <w:pStyle w:val="TableText"/>
              <w:numPr>
                <w:ilvl w:val="0"/>
                <w:numId w:val="36"/>
              </w:numPr>
              <w:spacing w:after="0"/>
              <w:rPr>
                <w:rFonts w:eastAsia="Arial" w:cs="Arial"/>
                <w:b/>
                <w:bCs/>
                <w:lang w:eastAsia="en-AU"/>
              </w:rPr>
            </w:pPr>
            <w:r w:rsidRPr="043A0D26">
              <w:rPr>
                <w:rFonts w:eastAsia="Arial" w:cs="Arial"/>
              </w:rPr>
              <w:t>security platform maintenance including firewall, bastion routers, host IDS/IPS, antivirus, packet filtering</w:t>
            </w:r>
          </w:p>
          <w:p w:rsidR="006E6B99" w:rsidRPr="00515C49" w:rsidRDefault="043A0D26" w:rsidP="043A0D26">
            <w:pPr>
              <w:pStyle w:val="TableText"/>
              <w:numPr>
                <w:ilvl w:val="0"/>
                <w:numId w:val="36"/>
              </w:numPr>
              <w:spacing w:after="0"/>
              <w:rPr>
                <w:rFonts w:eastAsia="Arial" w:cs="Arial"/>
                <w:b/>
                <w:bCs/>
                <w:lang w:eastAsia="en-AU"/>
              </w:rPr>
            </w:pPr>
            <w:r w:rsidRPr="043A0D26">
              <w:rPr>
                <w:rFonts w:eastAsia="Arial" w:cs="Arial"/>
                <w:lang w:eastAsia="en-AU"/>
              </w:rPr>
              <w:t xml:space="preserve">log collection and security monitoring Maintenance of identity management system. </w:t>
            </w:r>
          </w:p>
        </w:tc>
        <w:tc>
          <w:tcPr>
            <w:tcW w:w="5333" w:type="dxa"/>
            <w:tcBorders>
              <w:top w:val="single" w:sz="12" w:space="0" w:color="C0C0C0"/>
            </w:tcBorders>
            <w:shd w:val="clear" w:color="auto" w:fill="auto"/>
          </w:tcPr>
          <w:p w:rsidR="006E6B99" w:rsidRPr="00515C49" w:rsidRDefault="043A0D26" w:rsidP="043A0D26">
            <w:pPr>
              <w:pStyle w:val="ListParagraph"/>
              <w:numPr>
                <w:ilvl w:val="0"/>
                <w:numId w:val="35"/>
              </w:numPr>
              <w:spacing w:before="60"/>
              <w:rPr>
                <w:rFonts w:eastAsia="Arial" w:cs="Arial"/>
              </w:rPr>
            </w:pPr>
            <w:r w:rsidRPr="043A0D26">
              <w:rPr>
                <w:rFonts w:eastAsia="Arial" w:cs="Arial"/>
              </w:rPr>
              <w:lastRenderedPageBreak/>
              <w:t xml:space="preserve">physical support infrastructure such as facilities, rack space, power, cooling and structured cabling </w:t>
            </w:r>
          </w:p>
          <w:p w:rsidR="006E6B99" w:rsidRPr="00515C49" w:rsidRDefault="043A0D26" w:rsidP="043A0D26">
            <w:pPr>
              <w:pStyle w:val="ListParagraph"/>
              <w:numPr>
                <w:ilvl w:val="0"/>
                <w:numId w:val="35"/>
              </w:numPr>
              <w:spacing w:before="60"/>
              <w:rPr>
                <w:rFonts w:eastAsia="Arial" w:cs="Arial"/>
              </w:rPr>
            </w:pPr>
            <w:r w:rsidRPr="043A0D26">
              <w:rPr>
                <w:rFonts w:eastAsia="Arial" w:cs="Arial"/>
              </w:rPr>
              <w:t>physical infrastructure security and availability for infrastructure including servers, storage and network bandwidth</w:t>
            </w:r>
          </w:p>
          <w:p w:rsidR="006E6B99" w:rsidRPr="00515C49" w:rsidRDefault="043A0D26" w:rsidP="043A0D26">
            <w:pPr>
              <w:pStyle w:val="ListParagraph"/>
              <w:numPr>
                <w:ilvl w:val="0"/>
                <w:numId w:val="35"/>
              </w:numPr>
              <w:spacing w:before="60"/>
              <w:rPr>
                <w:rFonts w:eastAsia="Arial" w:cs="Arial"/>
              </w:rPr>
            </w:pPr>
            <w:r w:rsidRPr="043A0D26">
              <w:rPr>
                <w:rFonts w:eastAsia="Arial" w:cs="Arial"/>
              </w:rPr>
              <w:t>host systems including hypervisors, virtual firewalls and other supporting infrastructure.</w:t>
            </w:r>
          </w:p>
        </w:tc>
      </w:tr>
      <w:tr w:rsidR="006E6B99" w:rsidRPr="00515C49" w:rsidTr="043A0D26">
        <w:tblPrEx>
          <w:tblCellMar>
            <w:top w:w="57" w:type="dxa"/>
            <w:left w:w="119" w:type="dxa"/>
            <w:right w:w="119" w:type="dxa"/>
          </w:tblCellMar>
        </w:tblPrEx>
        <w:tc>
          <w:tcPr>
            <w:tcW w:w="3709" w:type="dxa"/>
            <w:shd w:val="clear" w:color="auto" w:fill="E6E6E6"/>
          </w:tcPr>
          <w:p w:rsidR="006E6B99" w:rsidRPr="00515C49" w:rsidRDefault="043A0D26" w:rsidP="00A64BFD">
            <w:pPr>
              <w:pStyle w:val="TableText"/>
              <w:ind w:left="360"/>
              <w:rPr>
                <w:rFonts w:eastAsia="Arial" w:cs="Arial"/>
                <w:b/>
                <w:bCs/>
                <w:lang w:eastAsia="en-AU"/>
              </w:rPr>
            </w:pPr>
            <w:r w:rsidRPr="043A0D26">
              <w:rPr>
                <w:rFonts w:eastAsia="Arial" w:cs="Arial"/>
                <w:lang w:eastAsia="en-AU"/>
              </w:rPr>
              <w:t>Relative risk: High</w:t>
            </w:r>
          </w:p>
        </w:tc>
        <w:tc>
          <w:tcPr>
            <w:tcW w:w="5333" w:type="dxa"/>
            <w:shd w:val="clear" w:color="auto" w:fill="auto"/>
          </w:tcPr>
          <w:p w:rsidR="006E6B99" w:rsidRPr="00515C49" w:rsidRDefault="006E6B99" w:rsidP="00A64BFD">
            <w:pPr>
              <w:ind w:left="0"/>
              <w:rPr>
                <w:rFonts w:cs="Arial"/>
                <w:sz w:val="20"/>
              </w:rPr>
            </w:pPr>
          </w:p>
        </w:tc>
      </w:tr>
    </w:tbl>
    <w:p w:rsidR="0055121B" w:rsidRDefault="006E6B99" w:rsidP="006E6B99">
      <w:pPr>
        <w:pStyle w:val="Appendix"/>
      </w:pPr>
      <w:bookmarkStart w:id="44" w:name="_Toc453923097"/>
      <w:r>
        <w:lastRenderedPageBreak/>
        <w:t>Evaluation – selection criteria</w:t>
      </w:r>
      <w:bookmarkEnd w:id="44"/>
    </w:p>
    <w:p w:rsidR="006E6B99" w:rsidRDefault="043A0D26" w:rsidP="006E6B99">
      <w:pPr>
        <w:pStyle w:val="Appendixlvl2"/>
      </w:pPr>
      <w:r>
        <w:t>Application/service profile</w:t>
      </w:r>
    </w:p>
    <w:p w:rsidR="006E6B99" w:rsidRPr="00FF7D4A" w:rsidRDefault="043A0D26" w:rsidP="006E6B99">
      <w:pPr>
        <w:pStyle w:val="BodyText1"/>
      </w:pPr>
      <w:r>
        <w:t xml:space="preserve">The following general criteria should be considered as part of the evaluation of any application or system that is potentially being migrated or implemented as an ICT </w:t>
      </w:r>
      <w:r w:rsidR="007C4D03">
        <w:t>as-a-service</w:t>
      </w:r>
      <w:r>
        <w:t xml:space="preserve"> offering:</w:t>
      </w:r>
    </w:p>
    <w:p w:rsidR="006E6B99" w:rsidRPr="00FF7D4A" w:rsidRDefault="043A0D26" w:rsidP="006E6B99">
      <w:pPr>
        <w:pStyle w:val="Bullet1"/>
      </w:pPr>
      <w:r>
        <w:t>What is the risk profile with the preferred vendor?</w:t>
      </w:r>
    </w:p>
    <w:p w:rsidR="006E6B99" w:rsidRPr="00FF7D4A" w:rsidRDefault="043A0D26" w:rsidP="006E6B99">
      <w:pPr>
        <w:pStyle w:val="Bullet1"/>
      </w:pPr>
      <w:r>
        <w:t>From a cost benefit perspective, what are the application’s costs in-house versus a service offering by a cloud vendor?</w:t>
      </w:r>
      <w:r w:rsidR="002E48AB">
        <w:t xml:space="preserve"> </w:t>
      </w:r>
      <w:r>
        <w:t>(This would examine but not be limited to: licence costs, WAN data usage, maintenance costs, migration costs, integration costs, restructuring costs either related to in-house support e.g. service desk capability etc., network management upgrade costs, asset depreciation cost, support contract negotiation etc.)</w:t>
      </w:r>
    </w:p>
    <w:p w:rsidR="006E6B99" w:rsidRPr="00FF7D4A" w:rsidRDefault="043A0D26" w:rsidP="006E6B99">
      <w:pPr>
        <w:pStyle w:val="Bullet1"/>
      </w:pPr>
      <w:r>
        <w:t>Can one environment be moved?</w:t>
      </w:r>
      <w:r w:rsidR="002E48AB">
        <w:t xml:space="preserve"> </w:t>
      </w:r>
      <w:r>
        <w:t>For example, can a specific production test/development application be moved without moving the corresponding production environment?</w:t>
      </w:r>
    </w:p>
    <w:p w:rsidR="006E6B99" w:rsidRDefault="043A0D26" w:rsidP="006E6B99">
      <w:pPr>
        <w:pStyle w:val="Bullet1"/>
      </w:pPr>
      <w:r>
        <w:t>What are the data management requirements?</w:t>
      </w:r>
      <w:r w:rsidR="002E48AB">
        <w:t xml:space="preserve"> </w:t>
      </w:r>
      <w:r>
        <w:t>This relates to backups and tiering.</w:t>
      </w:r>
    </w:p>
    <w:p w:rsidR="006E6B99" w:rsidRDefault="043A0D26" w:rsidP="006E6B99">
      <w:pPr>
        <w:pStyle w:val="Appendixlvl2"/>
      </w:pPr>
      <w:r>
        <w:t>SaaS criteria</w:t>
      </w:r>
    </w:p>
    <w:p w:rsidR="00250E13" w:rsidRPr="00DB608A" w:rsidRDefault="043A0D26" w:rsidP="00250E13">
      <w:pPr>
        <w:pStyle w:val="BodyText1"/>
      </w:pPr>
      <w:r>
        <w:t>The following criteria should be considered as part of evaluating SaaS packages:</w:t>
      </w:r>
    </w:p>
    <w:p w:rsidR="00250E13" w:rsidRPr="00DB608A" w:rsidRDefault="043A0D26" w:rsidP="00250E13">
      <w:pPr>
        <w:pStyle w:val="Bullet1"/>
      </w:pPr>
      <w:r>
        <w:t>What is the application’s service availability requirement?</w:t>
      </w:r>
    </w:p>
    <w:p w:rsidR="00250E13" w:rsidRPr="00DB608A" w:rsidRDefault="043A0D26" w:rsidP="00250E13">
      <w:pPr>
        <w:pStyle w:val="Bullet1"/>
      </w:pPr>
      <w:r>
        <w:t>What are the application’s performance requirements?</w:t>
      </w:r>
    </w:p>
    <w:p w:rsidR="00250E13" w:rsidRPr="00DB608A" w:rsidRDefault="043A0D26" w:rsidP="00250E13">
      <w:pPr>
        <w:pStyle w:val="Bullet1"/>
      </w:pPr>
      <w:r>
        <w:t>What resilience is required by the application? Consider the following:</w:t>
      </w:r>
    </w:p>
    <w:p w:rsidR="00250E13" w:rsidRPr="00DB608A" w:rsidRDefault="043A0D26" w:rsidP="00250E13">
      <w:pPr>
        <w:pStyle w:val="Bullet2"/>
      </w:pPr>
      <w:r>
        <w:t xml:space="preserve">Recovery </w:t>
      </w:r>
      <w:r w:rsidR="00F2053F">
        <w:t xml:space="preserve">level objective </w:t>
      </w:r>
      <w:r>
        <w:t>(RLO) refers to the level of availability a service needs to be recovered to, following a disruption.</w:t>
      </w:r>
      <w:r w:rsidR="002E48AB">
        <w:t xml:space="preserve"> </w:t>
      </w:r>
      <w:r>
        <w:t>An RLO will be time-specific, e.g. a service must be available during business hours of operation; and it may be location-specific, e.g. the service must be available to specific departments or building floors, but it is not essential at others.</w:t>
      </w:r>
    </w:p>
    <w:p w:rsidR="00250E13" w:rsidRPr="00DB608A" w:rsidRDefault="043A0D26" w:rsidP="00250E13">
      <w:pPr>
        <w:pStyle w:val="Bullet2"/>
      </w:pPr>
      <w:r>
        <w:t xml:space="preserve">Recovery </w:t>
      </w:r>
      <w:r w:rsidR="00F2053F">
        <w:t xml:space="preserve">point objective </w:t>
      </w:r>
      <w:r>
        <w:t>(RPO) is the point at which loss of data is tolerated as a result of disruption and recovery of a service.</w:t>
      </w:r>
      <w:r w:rsidR="002E48AB">
        <w:t xml:space="preserve"> </w:t>
      </w:r>
      <w:r>
        <w:t>For example:</w:t>
      </w:r>
    </w:p>
    <w:p w:rsidR="00250E13" w:rsidRPr="00DB608A" w:rsidRDefault="043A0D26" w:rsidP="00250E13">
      <w:pPr>
        <w:pStyle w:val="Bullet3"/>
      </w:pPr>
      <w:r>
        <w:t>zero RPO means that no data loss is tolerated</w:t>
      </w:r>
    </w:p>
    <w:p w:rsidR="00250E13" w:rsidRPr="00DB608A" w:rsidRDefault="043A0D26" w:rsidP="00250E13">
      <w:pPr>
        <w:pStyle w:val="Bullet3"/>
      </w:pPr>
      <w:r>
        <w:t>1 day RPO means that up to one day loss of data is tolerated.</w:t>
      </w:r>
    </w:p>
    <w:p w:rsidR="00250E13" w:rsidRPr="00DB608A" w:rsidRDefault="043A0D26" w:rsidP="00250E13">
      <w:pPr>
        <w:pStyle w:val="Bullet2"/>
      </w:pPr>
      <w:r>
        <w:t>Recovery Time Objective (RTO) is the elapsed time needed for recovery of a service after a disruption.</w:t>
      </w:r>
    </w:p>
    <w:p w:rsidR="00250E13" w:rsidRPr="00DB608A" w:rsidRDefault="043A0D26" w:rsidP="00250E13">
      <w:pPr>
        <w:pStyle w:val="Bullet1"/>
      </w:pPr>
      <w:r>
        <w:t>what application and/or data integration requirements are required?</w:t>
      </w:r>
    </w:p>
    <w:p w:rsidR="00250E13" w:rsidRPr="00DB608A" w:rsidRDefault="043A0D26" w:rsidP="00250E13">
      <w:pPr>
        <w:pStyle w:val="Bullet1"/>
      </w:pPr>
      <w:r>
        <w:t>can the existing security environment/policy of the application or service be maintained by the provider or if not, can the application accept a new security risk profile?</w:t>
      </w:r>
    </w:p>
    <w:p w:rsidR="00250E13" w:rsidRPr="00DB608A" w:rsidRDefault="043A0D26" w:rsidP="00250E13">
      <w:pPr>
        <w:pStyle w:val="Bullet1"/>
      </w:pPr>
      <w:r>
        <w:t xml:space="preserve">in moving an application to an </w:t>
      </w:r>
      <w:r w:rsidR="007C4D03">
        <w:t>as-a-service</w:t>
      </w:r>
      <w:r>
        <w:t xml:space="preserve"> model, what is the financial impact of the data transmission and retrieval, that is what WAN data volume costs, will be incurred?</w:t>
      </w:r>
    </w:p>
    <w:p w:rsidR="00250E13" w:rsidRPr="00DB608A" w:rsidRDefault="043A0D26" w:rsidP="00250E13">
      <w:pPr>
        <w:pStyle w:val="Bullet1"/>
      </w:pPr>
      <w:r>
        <w:t>has the application realised the cost benefit analysis as per its business case objectives?</w:t>
      </w:r>
      <w:r w:rsidR="002E48AB">
        <w:t xml:space="preserve"> </w:t>
      </w:r>
    </w:p>
    <w:p w:rsidR="00250E13" w:rsidRPr="00DB608A" w:rsidRDefault="043A0D26" w:rsidP="00250E13">
      <w:pPr>
        <w:pStyle w:val="Bullet1"/>
      </w:pPr>
      <w:r>
        <w:t>what administration controls are provided and can these be used to assign read and write privileges to other users?</w:t>
      </w:r>
    </w:p>
    <w:p w:rsidR="006E6B99" w:rsidRDefault="043A0D26" w:rsidP="00250E13">
      <w:pPr>
        <w:pStyle w:val="Bullet1"/>
      </w:pPr>
      <w:r>
        <w:t>is the SaaS access control fine grained and can it be customised to your organisation’s policy?</w:t>
      </w:r>
    </w:p>
    <w:p w:rsidR="006E6B99" w:rsidRDefault="043A0D26" w:rsidP="00250E13">
      <w:pPr>
        <w:pStyle w:val="Appendixlvl2"/>
      </w:pPr>
      <w:r>
        <w:lastRenderedPageBreak/>
        <w:t>PaaS criteria</w:t>
      </w:r>
    </w:p>
    <w:p w:rsidR="00250E13" w:rsidRPr="00DB608A" w:rsidRDefault="043A0D26" w:rsidP="006C3F39">
      <w:pPr>
        <w:pStyle w:val="BodyText1"/>
      </w:pPr>
      <w:r>
        <w:t>Generally speaking, PaaS service providers are responsible for the security of the platform software stack; the following questions of the service provider should assist in evaluating their offerings:</w:t>
      </w:r>
    </w:p>
    <w:p w:rsidR="00250E13" w:rsidRPr="00DB608A" w:rsidRDefault="043A0D26" w:rsidP="00250E13">
      <w:pPr>
        <w:pStyle w:val="Bullet1"/>
      </w:pPr>
      <w:r>
        <w:t>request information on how multi-tenanted applications are isolated from each other – a high level description of containment and isolation measures is required.</w:t>
      </w:r>
    </w:p>
    <w:p w:rsidR="00250E13" w:rsidRPr="00DB608A" w:rsidRDefault="043A0D26" w:rsidP="00250E13">
      <w:pPr>
        <w:pStyle w:val="Bullet1"/>
      </w:pPr>
      <w:r>
        <w:t>what assurance can the PaaS provider give that access to your data is restricted to your enterprise users and to the applications you own?</w:t>
      </w:r>
    </w:p>
    <w:p w:rsidR="00250E13" w:rsidRPr="00DB608A" w:rsidRDefault="043A0D26" w:rsidP="00250E13">
      <w:pPr>
        <w:pStyle w:val="Bullet1"/>
      </w:pPr>
      <w:r>
        <w:t>the platform architecture should be classic ‘sandbox’ – does the provider ensure that the PaaS platform sandbox is monitored for new bugs and vulnerabilities?</w:t>
      </w:r>
    </w:p>
    <w:p w:rsidR="006E6B99" w:rsidRDefault="043A0D26" w:rsidP="00250E13">
      <w:pPr>
        <w:pStyle w:val="Bullet1"/>
      </w:pPr>
      <w:r>
        <w:t>PaaS providers should be able to offer a set of security features (re-useable amongst their clients) – do these include user authentication, single sign on, authorisation (privilege management), and SSL/TLS (made available via an API)?</w:t>
      </w:r>
    </w:p>
    <w:p w:rsidR="00250E13" w:rsidRDefault="043A0D26" w:rsidP="00250E13">
      <w:pPr>
        <w:pStyle w:val="Appendixlvl2"/>
      </w:pPr>
      <w:r>
        <w:t>IaaS criteria</w:t>
      </w:r>
    </w:p>
    <w:p w:rsidR="00250E13" w:rsidRPr="00DB608A" w:rsidRDefault="043A0D26" w:rsidP="006C3F39">
      <w:pPr>
        <w:pStyle w:val="BodyText1"/>
      </w:pPr>
      <w:r>
        <w:t xml:space="preserve">IaaS service providers treat IaaS applications and services as a </w:t>
      </w:r>
      <w:r w:rsidR="00F2053F">
        <w:t>‘</w:t>
      </w:r>
      <w:r>
        <w:t>black box</w:t>
      </w:r>
      <w:r w:rsidR="00F2053F">
        <w:t>’</w:t>
      </w:r>
      <w:r>
        <w:t>. Agencies are responsible for the operation and management of their applications and services.</w:t>
      </w:r>
      <w:r w:rsidR="002E48AB">
        <w:t xml:space="preserve"> </w:t>
      </w:r>
      <w:r>
        <w:t>The following is a brief checklist/description relating to best practice for secure application design and management:</w:t>
      </w:r>
    </w:p>
    <w:p w:rsidR="00250E13" w:rsidRPr="00DB608A" w:rsidRDefault="043A0D26" w:rsidP="00250E13">
      <w:pPr>
        <w:pStyle w:val="Bullet1"/>
      </w:pPr>
      <w:r>
        <w:t xml:space="preserve">Cloud deployed applications must be designed for the internet threat model (even if they are deployed as part of </w:t>
      </w:r>
      <w:r w:rsidR="00F2053F">
        <w:t xml:space="preserve">virtual private cloud </w:t>
      </w:r>
      <w:r>
        <w:t>(VPC).</w:t>
      </w:r>
      <w:r w:rsidR="002E48AB">
        <w:t xml:space="preserve"> </w:t>
      </w:r>
      <w:r>
        <w:t>They must be designed/embedded with standard security countermeasures to guard against the common web vulnerabilities (see Open Web Application Security Project (OWASP) guides)</w:t>
      </w:r>
    </w:p>
    <w:p w:rsidR="00250E13" w:rsidRDefault="00F2053F" w:rsidP="00250E13">
      <w:pPr>
        <w:pStyle w:val="Bullet1"/>
      </w:pPr>
      <w:r>
        <w:t>A</w:t>
      </w:r>
      <w:r w:rsidR="043A0D26">
        <w:t xml:space="preserve">gencies are responsible for keeping their applications up to date – and must therefore ensure they have a patch strategy (to ensure their applications are screened from malware and hackers scanning for vulnerabilities to gain unauthorised access to their data within the cloud). Agencies should not be tempted to use custom implementations of </w:t>
      </w:r>
      <w:r>
        <w:t xml:space="preserve">authentication, authorisation and accounting </w:t>
      </w:r>
      <w:r w:rsidR="043A0D26">
        <w:t>(AAA) as these can become weak if not properly implemented.</w:t>
      </w:r>
    </w:p>
    <w:p w:rsidR="00250E13" w:rsidRDefault="043A0D26" w:rsidP="00250E13">
      <w:pPr>
        <w:pStyle w:val="Appendixlvl2"/>
      </w:pPr>
      <w:r>
        <w:t>As-a-service candidacy criteria</w:t>
      </w:r>
    </w:p>
    <w:p w:rsidR="00250E13" w:rsidRPr="00DB608A" w:rsidRDefault="043A0D26" w:rsidP="006C3F39">
      <w:pPr>
        <w:pStyle w:val="BodyText1"/>
      </w:pPr>
      <w:r>
        <w:t xml:space="preserve">The following criteria should be used when assessing the viability of migrating applications or systems to an </w:t>
      </w:r>
      <w:r w:rsidR="007C4D03">
        <w:t>as-a-service</w:t>
      </w:r>
      <w:r>
        <w:t xml:space="preserve"> model:</w:t>
      </w:r>
    </w:p>
    <w:p w:rsidR="00250E13" w:rsidRPr="00DB608A" w:rsidRDefault="043A0D26" w:rsidP="00250E13">
      <w:pPr>
        <w:pStyle w:val="Bullet1"/>
      </w:pPr>
      <w:r>
        <w:t>systems which are not part of the active network</w:t>
      </w:r>
    </w:p>
    <w:p w:rsidR="00250E13" w:rsidRPr="00DB608A" w:rsidRDefault="043A0D26" w:rsidP="00250E13">
      <w:pPr>
        <w:pStyle w:val="Bullet1"/>
      </w:pPr>
      <w:r>
        <w:t>applications that do not require tight integration with the active network</w:t>
      </w:r>
    </w:p>
    <w:p w:rsidR="00250E13" w:rsidRPr="00DB608A" w:rsidRDefault="043A0D26" w:rsidP="00250E13">
      <w:pPr>
        <w:pStyle w:val="Bullet1"/>
      </w:pPr>
      <w:r>
        <w:t>applications that do not require guaranteed, consistent (high) performance and availability</w:t>
      </w:r>
    </w:p>
    <w:p w:rsidR="00250E13" w:rsidRPr="00DB608A" w:rsidRDefault="043A0D26" w:rsidP="00250E13">
      <w:pPr>
        <w:pStyle w:val="Bullet1"/>
      </w:pPr>
      <w:r>
        <w:t>applications or systems which do not provide security functions or support security functionality</w:t>
      </w:r>
    </w:p>
    <w:p w:rsidR="00250E13" w:rsidRPr="00DB608A" w:rsidRDefault="043A0D26" w:rsidP="00250E13">
      <w:pPr>
        <w:pStyle w:val="Bullet1"/>
      </w:pPr>
      <w:r>
        <w:t>applications that do not have low network latency requirements</w:t>
      </w:r>
    </w:p>
    <w:p w:rsidR="00250E13" w:rsidRPr="00DB608A" w:rsidRDefault="043A0D26" w:rsidP="00250E13">
      <w:pPr>
        <w:pStyle w:val="Bullet1"/>
      </w:pPr>
      <w:r>
        <w:t>applications or data that do not require higher security levels than can be contracted by the cloud provider</w:t>
      </w:r>
    </w:p>
    <w:p w:rsidR="00250E13" w:rsidRDefault="043A0D26" w:rsidP="00250E13">
      <w:pPr>
        <w:pStyle w:val="Bullet1"/>
      </w:pPr>
      <w:r>
        <w:t>applications which do not require large amounts of data to be transferred in or out of the organisation’s network (e.g. data warehouse systems).</w:t>
      </w:r>
    </w:p>
    <w:p w:rsidR="00250E13" w:rsidRDefault="043A0D26" w:rsidP="00250E13">
      <w:pPr>
        <w:pStyle w:val="Appendixlvl2"/>
      </w:pPr>
      <w:r>
        <w:lastRenderedPageBreak/>
        <w:t>Implementation criteria</w:t>
      </w:r>
    </w:p>
    <w:p w:rsidR="00250E13" w:rsidRDefault="043A0D26" w:rsidP="00250E13">
      <w:pPr>
        <w:pStyle w:val="Appendixlvl3"/>
      </w:pPr>
      <w:r>
        <w:t xml:space="preserve">ICT </w:t>
      </w:r>
      <w:r w:rsidR="007C4D03">
        <w:t>as-a-service</w:t>
      </w:r>
      <w:r>
        <w:t xml:space="preserve"> governance considerations</w:t>
      </w:r>
    </w:p>
    <w:p w:rsidR="00250E13" w:rsidRPr="00DB608A" w:rsidRDefault="043A0D26" w:rsidP="006C3F39">
      <w:pPr>
        <w:pStyle w:val="BodyText1"/>
      </w:pPr>
      <w:r>
        <w:t xml:space="preserve">From a governance perspective, the following should be addressed as part of the implementation of any ICT </w:t>
      </w:r>
      <w:r w:rsidR="007C4D03">
        <w:t>as-a-service</w:t>
      </w:r>
      <w:r>
        <w:t>:</w:t>
      </w:r>
    </w:p>
    <w:p w:rsidR="00250E13" w:rsidRPr="00DB608A" w:rsidRDefault="043A0D26" w:rsidP="00250E13">
      <w:pPr>
        <w:pStyle w:val="Bullet1"/>
      </w:pPr>
      <w:r>
        <w:t>risk management (increased complexity and reduced direct control)</w:t>
      </w:r>
    </w:p>
    <w:p w:rsidR="00250E13" w:rsidRPr="00DB608A" w:rsidRDefault="043A0D26" w:rsidP="00250E13">
      <w:pPr>
        <w:pStyle w:val="Bullet1"/>
      </w:pPr>
      <w:r>
        <w:t>impact on change management</w:t>
      </w:r>
    </w:p>
    <w:p w:rsidR="00250E13" w:rsidRPr="00DB608A" w:rsidRDefault="043A0D26" w:rsidP="00250E13">
      <w:pPr>
        <w:pStyle w:val="Bullet1"/>
      </w:pPr>
      <w:r>
        <w:t>compliance, internal and external to the organisation (as this relates to applicable government laws, regulations and policies, standards)</w:t>
      </w:r>
    </w:p>
    <w:p w:rsidR="00250E13" w:rsidRPr="00DB608A" w:rsidRDefault="043A0D26" w:rsidP="00250E13">
      <w:pPr>
        <w:pStyle w:val="Bullet1"/>
      </w:pPr>
      <w:r>
        <w:t>conformance, internal and external to the organisation (as this relates to privacy laws, commercial confidentiality, intellectual property and security)</w:t>
      </w:r>
    </w:p>
    <w:p w:rsidR="00250E13" w:rsidRPr="00DB608A" w:rsidRDefault="043A0D26" w:rsidP="00250E13">
      <w:pPr>
        <w:pStyle w:val="Bullet1"/>
      </w:pPr>
      <w:r>
        <w:t>operational rules (archiving, backups, audit copies)</w:t>
      </w:r>
    </w:p>
    <w:p w:rsidR="00250E13" w:rsidRPr="00DB608A" w:rsidRDefault="043A0D26" w:rsidP="00250E13">
      <w:pPr>
        <w:pStyle w:val="Bullet1"/>
      </w:pPr>
      <w:r>
        <w:t>what new skills and competences are required?</w:t>
      </w:r>
      <w:r w:rsidR="002E48AB">
        <w:t xml:space="preserve"> </w:t>
      </w:r>
      <w:r>
        <w:t>(this may entail re-engineering the current workforce through either training or hiring in skills)</w:t>
      </w:r>
    </w:p>
    <w:p w:rsidR="00250E13" w:rsidRPr="00DB608A" w:rsidRDefault="043A0D26" w:rsidP="00250E13">
      <w:pPr>
        <w:pStyle w:val="Bullet1"/>
      </w:pPr>
      <w:r>
        <w:t>is there a change to the organisation structure?</w:t>
      </w:r>
    </w:p>
    <w:p w:rsidR="00250E13" w:rsidRPr="00DB608A" w:rsidRDefault="043A0D26" w:rsidP="00250E13">
      <w:pPr>
        <w:pStyle w:val="Bullet1"/>
      </w:pPr>
      <w:r>
        <w:t>how will the organisation monitor and audit the new service?</w:t>
      </w:r>
      <w:r w:rsidR="002E48AB">
        <w:t xml:space="preserve"> </w:t>
      </w:r>
    </w:p>
    <w:p w:rsidR="00250E13" w:rsidRPr="00DB608A" w:rsidRDefault="043A0D26" w:rsidP="00250E13">
      <w:pPr>
        <w:pStyle w:val="Bullet1"/>
      </w:pPr>
      <w:r>
        <w:t xml:space="preserve">what processes and workflows will be impacted and need to be updated? </w:t>
      </w:r>
    </w:p>
    <w:p w:rsidR="00250E13" w:rsidRPr="00DB608A" w:rsidRDefault="043A0D26" w:rsidP="00250E13">
      <w:pPr>
        <w:pStyle w:val="Bullet1"/>
      </w:pPr>
      <w:r>
        <w:t>is there a change to the configuration management process?</w:t>
      </w:r>
    </w:p>
    <w:p w:rsidR="00250E13" w:rsidRPr="00DB608A" w:rsidRDefault="00250E13" w:rsidP="00250E13">
      <w:pPr>
        <w:pStyle w:val="Appendixlvl3"/>
        <w:rPr>
          <w:rFonts w:asciiTheme="minorEastAsia" w:eastAsiaTheme="minorEastAsia" w:hAnsiTheme="minorEastAsia" w:cstheme="minorEastAsia"/>
        </w:rPr>
      </w:pPr>
      <w:bookmarkStart w:id="45" w:name="_Toc448238316"/>
      <w:r w:rsidRPr="00DB608A">
        <w:t>Security and risk governance considerations</w:t>
      </w:r>
      <w:bookmarkEnd w:id="45"/>
    </w:p>
    <w:p w:rsidR="00250E13" w:rsidRPr="00DB608A" w:rsidRDefault="043A0D26" w:rsidP="006C3F39">
      <w:pPr>
        <w:pStyle w:val="BodyText1"/>
      </w:pPr>
      <w:r>
        <w:t xml:space="preserve">From a security and risk perspective, the following process and controls should be evaluated on an ongoing basis to maintain the integrity of the agency’s ICT security posture. </w:t>
      </w:r>
    </w:p>
    <w:p w:rsidR="00250E13" w:rsidRPr="00DB608A" w:rsidRDefault="043A0D26" w:rsidP="00250E13">
      <w:pPr>
        <w:pStyle w:val="Bullet1"/>
      </w:pPr>
      <w:r>
        <w:t xml:space="preserve">are initial and ongoing processes and controls in place to ensure that the security posture of the service provider’s ICT environment is maintained consistently throughout the operation of any cloud service. </w:t>
      </w:r>
    </w:p>
    <w:p w:rsidR="00250E13" w:rsidRDefault="043A0D26" w:rsidP="00250E13">
      <w:pPr>
        <w:pStyle w:val="Bullet1"/>
      </w:pPr>
      <w:r>
        <w:t>similarly, this includes processes and activities to ensure that the risks are periodically remedied in light of new policies, new threats or new business requirements.</w:t>
      </w:r>
    </w:p>
    <w:p w:rsidR="00B12296" w:rsidRPr="003E735F" w:rsidRDefault="00B12296" w:rsidP="00B12183">
      <w:pPr>
        <w:pStyle w:val="Appendixlvl3"/>
        <w:numPr>
          <w:ilvl w:val="0"/>
          <w:numId w:val="0"/>
        </w:numPr>
      </w:pPr>
    </w:p>
    <w:sectPr w:rsidR="00B12296" w:rsidRPr="003E735F" w:rsidSect="00B5132B">
      <w:headerReference w:type="default" r:id="rId44"/>
      <w:footerReference w:type="default" r:id="rId45"/>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50A" w:rsidRDefault="00F8550A" w:rsidP="00766CCB">
      <w:r>
        <w:separator/>
      </w:r>
    </w:p>
    <w:p w:rsidR="00F8550A" w:rsidRDefault="00F8550A" w:rsidP="00766CCB"/>
    <w:p w:rsidR="00F8550A" w:rsidRDefault="00F8550A" w:rsidP="00766CCB"/>
    <w:p w:rsidR="00F8550A" w:rsidRDefault="00F8550A" w:rsidP="00766CCB"/>
  </w:endnote>
  <w:endnote w:type="continuationSeparator" w:id="0">
    <w:p w:rsidR="00F8550A" w:rsidRDefault="00F8550A" w:rsidP="00766CCB">
      <w:r>
        <w:continuationSeparator/>
      </w:r>
    </w:p>
    <w:p w:rsidR="00F8550A" w:rsidRDefault="00F8550A" w:rsidP="00766CCB"/>
    <w:p w:rsidR="00F8550A" w:rsidRDefault="00F8550A" w:rsidP="00766CCB"/>
    <w:p w:rsidR="00F8550A" w:rsidRDefault="00F8550A"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altName w:val="Times New Roman"/>
    <w:panose1 w:val="00000000000000000000"/>
    <w:charset w:val="00"/>
    <w:family w:val="roman"/>
    <w:notTrueType/>
    <w:pitch w:val="default"/>
  </w:font>
  <w:font w:name="Arial,Open Sans,Helvetica">
    <w:altName w:val="Times New Roman"/>
    <w:panose1 w:val="00000000000000000000"/>
    <w:charset w:val="00"/>
    <w:family w:val="roman"/>
    <w:notTrueType/>
    <w:pitch w:val="default"/>
  </w:font>
  <w:font w:name="Arial,Arial,Arial,">
    <w:altName w:val="Times New Roman"/>
    <w:panose1 w:val="00000000000000000000"/>
    <w:charset w:val="00"/>
    <w:family w:val="roman"/>
    <w:notTrueType/>
    <w:pitch w:val="default"/>
  </w:font>
  <w:font w:name="Arial,Arial Bold">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Verdan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0A" w:rsidRPr="006517B2" w:rsidRDefault="00F8550A" w:rsidP="00E55257">
    <w:pPr>
      <w:pStyle w:val="Footerred"/>
      <w:pBdr>
        <w:top w:val="single" w:sz="4" w:space="1" w:color="808080"/>
      </w:pBdr>
      <w:rPr>
        <w:color w:val="A6A6A6" w:themeColor="background1" w:themeShade="A6"/>
      </w:rPr>
    </w:pPr>
    <w:r>
      <w:rPr>
        <w:caps w:val="0"/>
        <w:color w:val="A6A6A6" w:themeColor="background1" w:themeShade="A6"/>
      </w:rPr>
      <w:t xml:space="preserve">Final </w:t>
    </w:r>
    <w:r w:rsidRPr="345F88C1">
      <w:rPr>
        <w:rFonts w:eastAsia="Arial"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 xml:space="preserve">v1.0.0 </w:t>
    </w:r>
    <w:r w:rsidRPr="345F88C1">
      <w:rPr>
        <w:rFonts w:eastAsia="Arial"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June 2016</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345F88C1">
      <w:rPr>
        <w:caps w:val="0"/>
        <w:noProof/>
        <w:color w:val="A6A6A6" w:themeColor="background1" w:themeShade="A6"/>
      </w:rPr>
      <w:fldChar w:fldCharType="begin"/>
    </w:r>
    <w:r w:rsidRPr="006517B2">
      <w:rPr>
        <w:caps w:val="0"/>
        <w:color w:val="A6A6A6" w:themeColor="background1" w:themeShade="A6"/>
      </w:rPr>
      <w:instrText xml:space="preserve"> PAGE </w:instrText>
    </w:r>
    <w:r w:rsidRPr="345F88C1">
      <w:rPr>
        <w:caps w:val="0"/>
        <w:color w:val="A6A6A6" w:themeColor="background1" w:themeShade="A6"/>
      </w:rPr>
      <w:fldChar w:fldCharType="separate"/>
    </w:r>
    <w:r w:rsidR="00536336">
      <w:rPr>
        <w:caps w:val="0"/>
        <w:noProof/>
        <w:color w:val="A6A6A6" w:themeColor="background1" w:themeShade="A6"/>
      </w:rPr>
      <w:t>14</w:t>
    </w:r>
    <w:r w:rsidRPr="345F88C1">
      <w:rPr>
        <w:caps w:val="0"/>
        <w:noProof/>
        <w:color w:val="A6A6A6" w:themeColor="background1" w:themeShade="A6"/>
      </w:rPr>
      <w:fldChar w:fldCharType="end"/>
    </w:r>
    <w:r w:rsidRPr="006517B2">
      <w:rPr>
        <w:caps w:val="0"/>
        <w:color w:val="A6A6A6" w:themeColor="background1" w:themeShade="A6"/>
      </w:rPr>
      <w:t xml:space="preserve"> of </w:t>
    </w:r>
    <w:r w:rsidRPr="345F88C1">
      <w:rPr>
        <w:caps w:val="0"/>
        <w:noProof/>
        <w:color w:val="A6A6A6" w:themeColor="background1" w:themeShade="A6"/>
      </w:rPr>
      <w:fldChar w:fldCharType="begin"/>
    </w:r>
    <w:r w:rsidRPr="006517B2">
      <w:rPr>
        <w:caps w:val="0"/>
        <w:color w:val="A6A6A6" w:themeColor="background1" w:themeShade="A6"/>
      </w:rPr>
      <w:instrText xml:space="preserve"> NUMPAGES </w:instrText>
    </w:r>
    <w:r w:rsidRPr="345F88C1">
      <w:rPr>
        <w:caps w:val="0"/>
        <w:color w:val="A6A6A6" w:themeColor="background1" w:themeShade="A6"/>
      </w:rPr>
      <w:fldChar w:fldCharType="separate"/>
    </w:r>
    <w:r w:rsidR="00536336">
      <w:rPr>
        <w:caps w:val="0"/>
        <w:noProof/>
        <w:color w:val="A6A6A6" w:themeColor="background1" w:themeShade="A6"/>
      </w:rPr>
      <w:t>33</w:t>
    </w:r>
    <w:r w:rsidRPr="345F88C1">
      <w:rPr>
        <w:caps w:val="0"/>
        <w:noProof/>
        <w:color w:val="A6A6A6" w:themeColor="background1" w:themeShade="A6"/>
      </w:rPr>
      <w:fldChar w:fldCharType="end"/>
    </w:r>
  </w:p>
  <w:p w:rsidR="00F8550A" w:rsidRPr="002E48AB" w:rsidRDefault="00F8550A" w:rsidP="00E55257">
    <w:pPr>
      <w:pStyle w:val="Footerred"/>
      <w:pBdr>
        <w:top w:val="none" w:sz="0" w:space="0" w:color="auto"/>
      </w:pBdr>
      <w:jc w:val="center"/>
      <w:rPr>
        <w:caps w:val="0"/>
      </w:rPr>
    </w:pPr>
    <w:r w:rsidRPr="002E48AB">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0A" w:rsidRDefault="00F8550A" w:rsidP="006517B2">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0A" w:rsidRPr="006517B2" w:rsidRDefault="00F8550A" w:rsidP="0043280B">
    <w:pPr>
      <w:pStyle w:val="Footerred"/>
      <w:pBdr>
        <w:top w:val="single" w:sz="4" w:space="1" w:color="808080"/>
      </w:pBdr>
      <w:tabs>
        <w:tab w:val="clear" w:pos="9639"/>
        <w:tab w:val="right" w:pos="21543"/>
      </w:tabs>
      <w:rPr>
        <w:color w:val="A6A6A6" w:themeColor="background1" w:themeShade="A6"/>
      </w:rPr>
    </w:pPr>
    <w:r>
      <w:rPr>
        <w:caps w:val="0"/>
        <w:color w:val="A6A6A6" w:themeColor="background1" w:themeShade="A6"/>
      </w:rPr>
      <w:t xml:space="preserve">Final </w:t>
    </w:r>
    <w:r w:rsidRPr="345F88C1">
      <w:rPr>
        <w:rFonts w:eastAsia="Arial"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 xml:space="preserve">v1.0.0 </w:t>
    </w:r>
    <w:r w:rsidRPr="345F88C1">
      <w:rPr>
        <w:rFonts w:eastAsia="Arial"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June 2016</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345F88C1">
      <w:rPr>
        <w:caps w:val="0"/>
        <w:noProof/>
        <w:color w:val="A6A6A6" w:themeColor="background1" w:themeShade="A6"/>
      </w:rPr>
      <w:fldChar w:fldCharType="begin"/>
    </w:r>
    <w:r w:rsidRPr="006517B2">
      <w:rPr>
        <w:caps w:val="0"/>
        <w:color w:val="A6A6A6" w:themeColor="background1" w:themeShade="A6"/>
      </w:rPr>
      <w:instrText xml:space="preserve"> PAGE </w:instrText>
    </w:r>
    <w:r w:rsidRPr="345F88C1">
      <w:rPr>
        <w:caps w:val="0"/>
        <w:color w:val="A6A6A6" w:themeColor="background1" w:themeShade="A6"/>
      </w:rPr>
      <w:fldChar w:fldCharType="separate"/>
    </w:r>
    <w:r w:rsidR="00536336">
      <w:rPr>
        <w:caps w:val="0"/>
        <w:noProof/>
        <w:color w:val="A6A6A6" w:themeColor="background1" w:themeShade="A6"/>
      </w:rPr>
      <w:t>20</w:t>
    </w:r>
    <w:r w:rsidRPr="345F88C1">
      <w:rPr>
        <w:caps w:val="0"/>
        <w:noProof/>
        <w:color w:val="A6A6A6" w:themeColor="background1" w:themeShade="A6"/>
      </w:rPr>
      <w:fldChar w:fldCharType="end"/>
    </w:r>
    <w:r w:rsidRPr="006517B2">
      <w:rPr>
        <w:caps w:val="0"/>
        <w:color w:val="A6A6A6" w:themeColor="background1" w:themeShade="A6"/>
      </w:rPr>
      <w:t xml:space="preserve"> of </w:t>
    </w:r>
    <w:r w:rsidRPr="345F88C1">
      <w:rPr>
        <w:caps w:val="0"/>
        <w:noProof/>
        <w:color w:val="A6A6A6" w:themeColor="background1" w:themeShade="A6"/>
      </w:rPr>
      <w:fldChar w:fldCharType="begin"/>
    </w:r>
    <w:r w:rsidRPr="006517B2">
      <w:rPr>
        <w:caps w:val="0"/>
        <w:color w:val="A6A6A6" w:themeColor="background1" w:themeShade="A6"/>
      </w:rPr>
      <w:instrText xml:space="preserve"> NUMPAGES </w:instrText>
    </w:r>
    <w:r w:rsidRPr="345F88C1">
      <w:rPr>
        <w:caps w:val="0"/>
        <w:color w:val="A6A6A6" w:themeColor="background1" w:themeShade="A6"/>
      </w:rPr>
      <w:fldChar w:fldCharType="separate"/>
    </w:r>
    <w:r w:rsidR="00536336">
      <w:rPr>
        <w:caps w:val="0"/>
        <w:noProof/>
        <w:color w:val="A6A6A6" w:themeColor="background1" w:themeShade="A6"/>
      </w:rPr>
      <w:t>33</w:t>
    </w:r>
    <w:r w:rsidRPr="345F88C1">
      <w:rPr>
        <w:caps w:val="0"/>
        <w:noProof/>
        <w:color w:val="A6A6A6" w:themeColor="background1" w:themeShade="A6"/>
      </w:rPr>
      <w:fldChar w:fldCharType="end"/>
    </w:r>
  </w:p>
  <w:p w:rsidR="00F8550A" w:rsidRPr="002E48AB" w:rsidRDefault="00F8550A" w:rsidP="00E55257">
    <w:pPr>
      <w:pStyle w:val="Footerred"/>
      <w:pBdr>
        <w:top w:val="none" w:sz="0" w:space="0" w:color="auto"/>
      </w:pBdr>
      <w:jc w:val="center"/>
      <w:rPr>
        <w:caps w:val="0"/>
      </w:rPr>
    </w:pPr>
    <w:r w:rsidRPr="002E48AB">
      <w:rPr>
        <w:caps w:val="0"/>
      </w:rP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0A" w:rsidRPr="006517B2" w:rsidRDefault="00F8550A" w:rsidP="00E55257">
    <w:pPr>
      <w:pStyle w:val="Footerred"/>
      <w:pBdr>
        <w:top w:val="single" w:sz="4" w:space="1" w:color="808080"/>
      </w:pBdr>
      <w:rPr>
        <w:color w:val="A6A6A6" w:themeColor="background1" w:themeShade="A6"/>
      </w:rPr>
    </w:pPr>
    <w:r>
      <w:rPr>
        <w:caps w:val="0"/>
        <w:color w:val="A6A6A6" w:themeColor="background1" w:themeShade="A6"/>
      </w:rPr>
      <w:t xml:space="preserve">Final </w:t>
    </w:r>
    <w:r w:rsidRPr="345F88C1">
      <w:rPr>
        <w:rFonts w:eastAsia="Arial"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 xml:space="preserve">v1.0.0 </w:t>
    </w:r>
    <w:r w:rsidRPr="345F88C1">
      <w:rPr>
        <w:rFonts w:eastAsia="Arial"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June 2016</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345F88C1">
      <w:rPr>
        <w:caps w:val="0"/>
        <w:noProof/>
        <w:color w:val="A6A6A6" w:themeColor="background1" w:themeShade="A6"/>
      </w:rPr>
      <w:fldChar w:fldCharType="begin"/>
    </w:r>
    <w:r w:rsidRPr="006517B2">
      <w:rPr>
        <w:caps w:val="0"/>
        <w:color w:val="A6A6A6" w:themeColor="background1" w:themeShade="A6"/>
      </w:rPr>
      <w:instrText xml:space="preserve"> PAGE </w:instrText>
    </w:r>
    <w:r w:rsidRPr="345F88C1">
      <w:rPr>
        <w:caps w:val="0"/>
        <w:color w:val="A6A6A6" w:themeColor="background1" w:themeShade="A6"/>
      </w:rPr>
      <w:fldChar w:fldCharType="separate"/>
    </w:r>
    <w:r w:rsidR="00536336">
      <w:rPr>
        <w:caps w:val="0"/>
        <w:noProof/>
        <w:color w:val="A6A6A6" w:themeColor="background1" w:themeShade="A6"/>
      </w:rPr>
      <w:t>33</w:t>
    </w:r>
    <w:r w:rsidRPr="345F88C1">
      <w:rPr>
        <w:caps w:val="0"/>
        <w:noProof/>
        <w:color w:val="A6A6A6" w:themeColor="background1" w:themeShade="A6"/>
      </w:rPr>
      <w:fldChar w:fldCharType="end"/>
    </w:r>
    <w:r w:rsidRPr="006517B2">
      <w:rPr>
        <w:caps w:val="0"/>
        <w:color w:val="A6A6A6" w:themeColor="background1" w:themeShade="A6"/>
      </w:rPr>
      <w:t xml:space="preserve"> of </w:t>
    </w:r>
    <w:r w:rsidRPr="345F88C1">
      <w:rPr>
        <w:caps w:val="0"/>
        <w:noProof/>
        <w:color w:val="A6A6A6" w:themeColor="background1" w:themeShade="A6"/>
      </w:rPr>
      <w:fldChar w:fldCharType="begin"/>
    </w:r>
    <w:r w:rsidRPr="006517B2">
      <w:rPr>
        <w:caps w:val="0"/>
        <w:color w:val="A6A6A6" w:themeColor="background1" w:themeShade="A6"/>
      </w:rPr>
      <w:instrText xml:space="preserve"> NUMPAGES </w:instrText>
    </w:r>
    <w:r w:rsidRPr="345F88C1">
      <w:rPr>
        <w:caps w:val="0"/>
        <w:color w:val="A6A6A6" w:themeColor="background1" w:themeShade="A6"/>
      </w:rPr>
      <w:fldChar w:fldCharType="separate"/>
    </w:r>
    <w:r w:rsidR="00536336">
      <w:rPr>
        <w:caps w:val="0"/>
        <w:noProof/>
        <w:color w:val="A6A6A6" w:themeColor="background1" w:themeShade="A6"/>
      </w:rPr>
      <w:t>33</w:t>
    </w:r>
    <w:r w:rsidRPr="345F88C1">
      <w:rPr>
        <w:caps w:val="0"/>
        <w:noProof/>
        <w:color w:val="A6A6A6" w:themeColor="background1" w:themeShade="A6"/>
      </w:rPr>
      <w:fldChar w:fldCharType="end"/>
    </w:r>
  </w:p>
  <w:p w:rsidR="00F8550A" w:rsidRPr="006C3F39" w:rsidRDefault="00F8550A" w:rsidP="00E55257">
    <w:pPr>
      <w:pStyle w:val="Footerred"/>
      <w:pBdr>
        <w:top w:val="none" w:sz="0" w:space="0" w:color="auto"/>
      </w:pBdr>
      <w:jc w:val="center"/>
      <w:rPr>
        <w:caps w:val="0"/>
      </w:rPr>
    </w:pPr>
    <w:r w:rsidRPr="006C3F39">
      <w:rPr>
        <w:caps w:val="0"/>
      </w:rP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50A" w:rsidRDefault="00F8550A" w:rsidP="00766CCB">
      <w:r>
        <w:separator/>
      </w:r>
    </w:p>
  </w:footnote>
  <w:footnote w:type="continuationSeparator" w:id="0">
    <w:p w:rsidR="00F8550A" w:rsidRDefault="00F8550A" w:rsidP="00766CCB">
      <w:r>
        <w:continuationSeparator/>
      </w:r>
    </w:p>
  </w:footnote>
  <w:footnote w:type="continuationNotice" w:id="1">
    <w:p w:rsidR="00F8550A" w:rsidRDefault="00F8550A"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0A" w:rsidRDefault="00F8550A"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sidRPr="002E48AB">
      <w:rPr>
        <w:color w:val="FF0000"/>
        <w:sz w:val="16"/>
        <w:szCs w:val="16"/>
      </w:rPr>
      <w:t>PUBLIC</w:t>
    </w:r>
    <w:r>
      <w:tab/>
    </w:r>
    <w:r>
      <w:rPr>
        <w:sz w:val="16"/>
        <w:szCs w:val="16"/>
      </w:rPr>
      <w:t>ICT as-a-service security assurance guideline</w:t>
    </w:r>
  </w:p>
  <w:p w:rsidR="00F8550A" w:rsidRPr="00E55257" w:rsidRDefault="00F8550A"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0A" w:rsidRDefault="00F8550A" w:rsidP="006517B2">
    <w:pPr>
      <w:pStyle w:val="Header"/>
      <w:pBdr>
        <w:bottom w:val="none" w:sz="0" w:space="0" w:color="auto"/>
      </w:pBdr>
    </w:pPr>
    <w:r>
      <w:rPr>
        <w:noProof/>
      </w:rPr>
      <w:drawing>
        <wp:anchor distT="0" distB="0" distL="114300" distR="114300" simplePos="0" relativeHeight="251660288" behindDoc="1" locked="0" layoutInCell="1" allowOverlap="1" wp14:anchorId="6C3C4949" wp14:editId="5FD47186">
          <wp:simplePos x="0" y="0"/>
          <wp:positionH relativeFrom="page">
            <wp:posOffset>0</wp:posOffset>
          </wp:positionH>
          <wp:positionV relativeFrom="page">
            <wp:posOffset>596265</wp:posOffset>
          </wp:positionV>
          <wp:extent cx="7570470" cy="10078720"/>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74141331" wp14:editId="4131461F">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50A" w:rsidRPr="00A867F7" w:rsidRDefault="00F8550A"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41331" id="_x0000_t202" coordsize="21600,21600" o:spt="202" path="m,l,21600r21600,l21600,xe">
              <v:stroke joinstyle="miter"/>
              <v:path gradientshapeok="t" o:connecttype="rect"/>
            </v:shapetype>
            <v:shape id="Text Box 5" o:spid="_x0000_s1026" type="#_x0000_t202" style="position:absolute;margin-left:48.2pt;margin-top:754.95pt;width:180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F8550A" w:rsidRPr="00A867F7" w:rsidRDefault="00F8550A" w:rsidP="00766CCB">
                    <w:pPr>
                      <w:rPr>
                        <w:rStyle w:val="Titlepageinfo"/>
                      </w:rPr>
                    </w:pPr>
                  </w:p>
                </w:txbxContent>
              </v:textbox>
              <w10:wrap anchorx="page" anchory="page"/>
            </v:shape>
          </w:pict>
        </mc:Fallback>
      </mc:AlternateContent>
    </w:r>
    <w:r>
      <w:rPr>
        <w:noProof/>
      </w:rPr>
      <w:drawing>
        <wp:anchor distT="0" distB="0" distL="114300" distR="114300" simplePos="0" relativeHeight="251656192" behindDoc="1" locked="0" layoutInCell="1" allowOverlap="1" wp14:anchorId="1A5BEEE7" wp14:editId="53E8CD03">
          <wp:simplePos x="0" y="0"/>
          <wp:positionH relativeFrom="page">
            <wp:posOffset>252095</wp:posOffset>
          </wp:positionH>
          <wp:positionV relativeFrom="page">
            <wp:posOffset>9613265</wp:posOffset>
          </wp:positionV>
          <wp:extent cx="7048500" cy="904875"/>
          <wp:effectExtent l="0" t="0" r="0" b="0"/>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0A" w:rsidRDefault="00F8550A" w:rsidP="00766C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0A" w:rsidRDefault="00F8550A" w:rsidP="0043280B">
    <w:pPr>
      <w:pStyle w:val="Header"/>
      <w:pBdr>
        <w:top w:val="single" w:sz="4" w:space="1" w:color="808080"/>
        <w:bottom w:val="single" w:sz="4" w:space="1" w:color="808080"/>
      </w:pBdr>
      <w:tabs>
        <w:tab w:val="clear" w:pos="4153"/>
        <w:tab w:val="clear" w:pos="8306"/>
        <w:tab w:val="center" w:pos="10773"/>
        <w:tab w:val="right" w:pos="21543"/>
      </w:tabs>
      <w:spacing w:before="120" w:after="120" w:line="280" w:lineRule="atLeast"/>
    </w:pPr>
    <w:r>
      <w:rPr>
        <w:sz w:val="16"/>
        <w:szCs w:val="16"/>
      </w:rPr>
      <w:t>QGEA</w:t>
    </w:r>
    <w:r>
      <w:tab/>
    </w:r>
    <w:r w:rsidRPr="002E48AB">
      <w:rPr>
        <w:color w:val="FF0000"/>
        <w:sz w:val="16"/>
        <w:szCs w:val="16"/>
      </w:rPr>
      <w:t>PUBLIC</w:t>
    </w:r>
    <w:r>
      <w:tab/>
    </w:r>
    <w:r>
      <w:rPr>
        <w:sz w:val="16"/>
        <w:szCs w:val="16"/>
      </w:rPr>
      <w:t>ICT as-a-service security assurance guideline</w:t>
    </w:r>
  </w:p>
  <w:p w:rsidR="00F8550A" w:rsidRPr="00E55257" w:rsidRDefault="00F8550A" w:rsidP="00E5525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50A" w:rsidRDefault="00F8550A"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sidRPr="006C3F39">
      <w:rPr>
        <w:color w:val="FF0000"/>
        <w:sz w:val="16"/>
        <w:szCs w:val="16"/>
      </w:rPr>
      <w:t>PUBLIC</w:t>
    </w:r>
    <w:r>
      <w:tab/>
    </w:r>
    <w:r>
      <w:rPr>
        <w:sz w:val="16"/>
        <w:szCs w:val="16"/>
      </w:rPr>
      <w:t>ICT as-a-service security assurance guideline</w:t>
    </w:r>
  </w:p>
  <w:p w:rsidR="00F8550A" w:rsidRPr="00E55257" w:rsidRDefault="00F8550A" w:rsidP="00E552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59976C3"/>
    <w:multiLevelType w:val="hybridMultilevel"/>
    <w:tmpl w:val="C98C755C"/>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6"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487E09"/>
    <w:multiLevelType w:val="hybridMultilevel"/>
    <w:tmpl w:val="05D2BB84"/>
    <w:lvl w:ilvl="0" w:tplc="A49C758C">
      <w:start w:val="1"/>
      <w:numFmt w:val="bullet"/>
      <w:lvlText w:val="­"/>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1" w15:restartNumberingAfterBreak="0">
    <w:nsid w:val="37770CEB"/>
    <w:multiLevelType w:val="hybridMultilevel"/>
    <w:tmpl w:val="72B06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8416299"/>
    <w:multiLevelType w:val="hybridMultilevel"/>
    <w:tmpl w:val="8B608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4" w15:restartNumberingAfterBreak="0">
    <w:nsid w:val="42784627"/>
    <w:multiLevelType w:val="hybridMultilevel"/>
    <w:tmpl w:val="24EE34E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30"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31" w15:restartNumberingAfterBreak="0">
    <w:nsid w:val="5B214D00"/>
    <w:multiLevelType w:val="hybridMultilevel"/>
    <w:tmpl w:val="EF74BFCA"/>
    <w:lvl w:ilvl="0" w:tplc="2132CC9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DB2E9A"/>
    <w:multiLevelType w:val="hybridMultilevel"/>
    <w:tmpl w:val="00900F16"/>
    <w:lvl w:ilvl="0" w:tplc="3782DBE2">
      <w:start w:val="1"/>
      <w:numFmt w:val="decimal"/>
      <w:lvlText w:val="%1."/>
      <w:lvlJc w:val="left"/>
      <w:pPr>
        <w:ind w:left="720" w:hanging="360"/>
      </w:pPr>
    </w:lvl>
    <w:lvl w:ilvl="1" w:tplc="1932D9CE">
      <w:start w:val="1"/>
      <w:numFmt w:val="lowerLetter"/>
      <w:lvlText w:val="%2."/>
      <w:lvlJc w:val="left"/>
      <w:pPr>
        <w:ind w:left="1440" w:hanging="360"/>
      </w:pPr>
    </w:lvl>
    <w:lvl w:ilvl="2" w:tplc="77961184">
      <w:start w:val="1"/>
      <w:numFmt w:val="lowerRoman"/>
      <w:lvlText w:val="%3."/>
      <w:lvlJc w:val="right"/>
      <w:pPr>
        <w:ind w:left="2160" w:hanging="180"/>
      </w:pPr>
    </w:lvl>
    <w:lvl w:ilvl="3" w:tplc="470027AE">
      <w:start w:val="1"/>
      <w:numFmt w:val="decimal"/>
      <w:lvlText w:val="%4."/>
      <w:lvlJc w:val="left"/>
      <w:pPr>
        <w:ind w:left="2880" w:hanging="360"/>
      </w:pPr>
    </w:lvl>
    <w:lvl w:ilvl="4" w:tplc="BFDAA040">
      <w:start w:val="1"/>
      <w:numFmt w:val="lowerLetter"/>
      <w:lvlText w:val="%5."/>
      <w:lvlJc w:val="left"/>
      <w:pPr>
        <w:ind w:left="3600" w:hanging="360"/>
      </w:pPr>
    </w:lvl>
    <w:lvl w:ilvl="5" w:tplc="2878D218">
      <w:start w:val="1"/>
      <w:numFmt w:val="lowerRoman"/>
      <w:lvlText w:val="%6."/>
      <w:lvlJc w:val="right"/>
      <w:pPr>
        <w:ind w:left="4320" w:hanging="180"/>
      </w:pPr>
    </w:lvl>
    <w:lvl w:ilvl="6" w:tplc="6BDA1D3E">
      <w:start w:val="1"/>
      <w:numFmt w:val="decimal"/>
      <w:lvlText w:val="%7."/>
      <w:lvlJc w:val="left"/>
      <w:pPr>
        <w:ind w:left="5040" w:hanging="360"/>
      </w:pPr>
    </w:lvl>
    <w:lvl w:ilvl="7" w:tplc="57C6D834">
      <w:start w:val="1"/>
      <w:numFmt w:val="lowerLetter"/>
      <w:lvlText w:val="%8."/>
      <w:lvlJc w:val="left"/>
      <w:pPr>
        <w:ind w:left="5760" w:hanging="360"/>
      </w:pPr>
    </w:lvl>
    <w:lvl w:ilvl="8" w:tplc="F05487B2">
      <w:start w:val="1"/>
      <w:numFmt w:val="lowerRoman"/>
      <w:lvlText w:val="%9."/>
      <w:lvlJc w:val="right"/>
      <w:pPr>
        <w:ind w:left="6480" w:hanging="180"/>
      </w:pPr>
    </w:lvl>
  </w:abstractNum>
  <w:abstractNum w:abstractNumId="34"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7"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8"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9"/>
  </w:num>
  <w:num w:numId="13">
    <w:abstractNumId w:val="34"/>
  </w:num>
  <w:num w:numId="14">
    <w:abstractNumId w:val="23"/>
  </w:num>
  <w:num w:numId="15">
    <w:abstractNumId w:val="36"/>
  </w:num>
  <w:num w:numId="16">
    <w:abstractNumId w:val="35"/>
  </w:num>
  <w:num w:numId="17">
    <w:abstractNumId w:val="37"/>
  </w:num>
  <w:num w:numId="18">
    <w:abstractNumId w:val="30"/>
  </w:num>
  <w:num w:numId="19">
    <w:abstractNumId w:val="29"/>
  </w:num>
  <w:num w:numId="20">
    <w:abstractNumId w:val="12"/>
  </w:num>
  <w:num w:numId="21">
    <w:abstractNumId w:val="16"/>
  </w:num>
  <w:num w:numId="22">
    <w:abstractNumId w:val="27"/>
  </w:num>
  <w:num w:numId="23">
    <w:abstractNumId w:val="18"/>
  </w:num>
  <w:num w:numId="24">
    <w:abstractNumId w:val="20"/>
  </w:num>
  <w:num w:numId="25">
    <w:abstractNumId w:val="28"/>
  </w:num>
  <w:num w:numId="26">
    <w:abstractNumId w:val="14"/>
  </w:num>
  <w:num w:numId="27">
    <w:abstractNumId w:val="13"/>
  </w:num>
  <w:num w:numId="28">
    <w:abstractNumId w:val="38"/>
  </w:num>
  <w:num w:numId="29">
    <w:abstractNumId w:val="10"/>
  </w:num>
  <w:num w:numId="30">
    <w:abstractNumId w:val="15"/>
  </w:num>
  <w:num w:numId="31">
    <w:abstractNumId w:val="32"/>
  </w:num>
  <w:num w:numId="32">
    <w:abstractNumId w:val="26"/>
  </w:num>
  <w:num w:numId="33">
    <w:abstractNumId w:val="30"/>
  </w:num>
  <w:num w:numId="34">
    <w:abstractNumId w:val="31"/>
  </w:num>
  <w:num w:numId="35">
    <w:abstractNumId w:val="21"/>
  </w:num>
  <w:num w:numId="36">
    <w:abstractNumId w:val="22"/>
  </w:num>
  <w:num w:numId="37">
    <w:abstractNumId w:val="24"/>
  </w:num>
  <w:num w:numId="38">
    <w:abstractNumId w:val="33"/>
  </w:num>
  <w:num w:numId="39">
    <w:abstractNumId w:val="17"/>
  </w:num>
  <w:num w:numId="4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DF4"/>
    <w:rsid w:val="0000322A"/>
    <w:rsid w:val="0000548D"/>
    <w:rsid w:val="00010D0B"/>
    <w:rsid w:val="00012CF0"/>
    <w:rsid w:val="00013A6E"/>
    <w:rsid w:val="000160B4"/>
    <w:rsid w:val="00023993"/>
    <w:rsid w:val="00024427"/>
    <w:rsid w:val="0003232D"/>
    <w:rsid w:val="000373DC"/>
    <w:rsid w:val="00037832"/>
    <w:rsid w:val="00045DB8"/>
    <w:rsid w:val="00045ECF"/>
    <w:rsid w:val="00055798"/>
    <w:rsid w:val="000624E0"/>
    <w:rsid w:val="000658E9"/>
    <w:rsid w:val="00067AC8"/>
    <w:rsid w:val="00067D1B"/>
    <w:rsid w:val="00071755"/>
    <w:rsid w:val="00076AFC"/>
    <w:rsid w:val="000852D2"/>
    <w:rsid w:val="00087270"/>
    <w:rsid w:val="000971C7"/>
    <w:rsid w:val="000A046A"/>
    <w:rsid w:val="000A6C2E"/>
    <w:rsid w:val="000B13CF"/>
    <w:rsid w:val="000B62BB"/>
    <w:rsid w:val="000C0B75"/>
    <w:rsid w:val="000C3D0B"/>
    <w:rsid w:val="000C4BA3"/>
    <w:rsid w:val="000D1205"/>
    <w:rsid w:val="000D158A"/>
    <w:rsid w:val="000D5487"/>
    <w:rsid w:val="000D6339"/>
    <w:rsid w:val="000E2C15"/>
    <w:rsid w:val="000E4901"/>
    <w:rsid w:val="000E4CEE"/>
    <w:rsid w:val="000E5D3E"/>
    <w:rsid w:val="000E655A"/>
    <w:rsid w:val="000F03BA"/>
    <w:rsid w:val="000F159E"/>
    <w:rsid w:val="000F6342"/>
    <w:rsid w:val="00102AC2"/>
    <w:rsid w:val="00117E7A"/>
    <w:rsid w:val="0012019F"/>
    <w:rsid w:val="00124184"/>
    <w:rsid w:val="0013052B"/>
    <w:rsid w:val="001348ED"/>
    <w:rsid w:val="00136375"/>
    <w:rsid w:val="00141168"/>
    <w:rsid w:val="00142BBB"/>
    <w:rsid w:val="00143885"/>
    <w:rsid w:val="00143BF8"/>
    <w:rsid w:val="00144746"/>
    <w:rsid w:val="00145E41"/>
    <w:rsid w:val="00150A2F"/>
    <w:rsid w:val="001548C7"/>
    <w:rsid w:val="00154C89"/>
    <w:rsid w:val="0015571E"/>
    <w:rsid w:val="00161EDA"/>
    <w:rsid w:val="00162518"/>
    <w:rsid w:val="0016317D"/>
    <w:rsid w:val="0017064B"/>
    <w:rsid w:val="00176B29"/>
    <w:rsid w:val="00181374"/>
    <w:rsid w:val="00191E69"/>
    <w:rsid w:val="0019205A"/>
    <w:rsid w:val="00192F10"/>
    <w:rsid w:val="0019483B"/>
    <w:rsid w:val="00194F2B"/>
    <w:rsid w:val="001959F8"/>
    <w:rsid w:val="00195B85"/>
    <w:rsid w:val="001A22BE"/>
    <w:rsid w:val="001A239C"/>
    <w:rsid w:val="001A457A"/>
    <w:rsid w:val="001B02EA"/>
    <w:rsid w:val="001B0504"/>
    <w:rsid w:val="001B130F"/>
    <w:rsid w:val="001B45D5"/>
    <w:rsid w:val="001B7DE2"/>
    <w:rsid w:val="001C3407"/>
    <w:rsid w:val="001C5E18"/>
    <w:rsid w:val="001C6EEE"/>
    <w:rsid w:val="001C7971"/>
    <w:rsid w:val="001D0AB4"/>
    <w:rsid w:val="001D0B3B"/>
    <w:rsid w:val="001E4E73"/>
    <w:rsid w:val="001F5F67"/>
    <w:rsid w:val="001F5F8B"/>
    <w:rsid w:val="0020359B"/>
    <w:rsid w:val="00204D98"/>
    <w:rsid w:val="002071CB"/>
    <w:rsid w:val="00212916"/>
    <w:rsid w:val="00213943"/>
    <w:rsid w:val="00217165"/>
    <w:rsid w:val="0022094E"/>
    <w:rsid w:val="002211B9"/>
    <w:rsid w:val="002255B4"/>
    <w:rsid w:val="00230A10"/>
    <w:rsid w:val="00230ABD"/>
    <w:rsid w:val="00231866"/>
    <w:rsid w:val="00237DA5"/>
    <w:rsid w:val="00245492"/>
    <w:rsid w:val="00250E13"/>
    <w:rsid w:val="00250E15"/>
    <w:rsid w:val="00251BA2"/>
    <w:rsid w:val="00260A8D"/>
    <w:rsid w:val="00262BC5"/>
    <w:rsid w:val="00264343"/>
    <w:rsid w:val="00264CD3"/>
    <w:rsid w:val="002714BB"/>
    <w:rsid w:val="00275FB8"/>
    <w:rsid w:val="00280BC6"/>
    <w:rsid w:val="00282E8A"/>
    <w:rsid w:val="00294748"/>
    <w:rsid w:val="00296E03"/>
    <w:rsid w:val="002A49E3"/>
    <w:rsid w:val="002A69A8"/>
    <w:rsid w:val="002B014A"/>
    <w:rsid w:val="002B4138"/>
    <w:rsid w:val="002C4084"/>
    <w:rsid w:val="002C5D86"/>
    <w:rsid w:val="002C625D"/>
    <w:rsid w:val="002E429D"/>
    <w:rsid w:val="002E48AB"/>
    <w:rsid w:val="002E544F"/>
    <w:rsid w:val="002E5DE8"/>
    <w:rsid w:val="002F118D"/>
    <w:rsid w:val="002F54F4"/>
    <w:rsid w:val="002F77AE"/>
    <w:rsid w:val="003069DF"/>
    <w:rsid w:val="003117E8"/>
    <w:rsid w:val="0031308B"/>
    <w:rsid w:val="0031375B"/>
    <w:rsid w:val="00316316"/>
    <w:rsid w:val="00321527"/>
    <w:rsid w:val="00321AFA"/>
    <w:rsid w:val="00327531"/>
    <w:rsid w:val="003314E1"/>
    <w:rsid w:val="00335B2D"/>
    <w:rsid w:val="003436FE"/>
    <w:rsid w:val="0034633D"/>
    <w:rsid w:val="003522BE"/>
    <w:rsid w:val="0035344C"/>
    <w:rsid w:val="00371AD6"/>
    <w:rsid w:val="00371BD2"/>
    <w:rsid w:val="003728F8"/>
    <w:rsid w:val="00374CD9"/>
    <w:rsid w:val="003759A6"/>
    <w:rsid w:val="00380EDB"/>
    <w:rsid w:val="00381078"/>
    <w:rsid w:val="00384FEB"/>
    <w:rsid w:val="0038546E"/>
    <w:rsid w:val="0039133B"/>
    <w:rsid w:val="00393AC3"/>
    <w:rsid w:val="0039642A"/>
    <w:rsid w:val="00396DF4"/>
    <w:rsid w:val="003A26F6"/>
    <w:rsid w:val="003A3EFE"/>
    <w:rsid w:val="003A5399"/>
    <w:rsid w:val="003B0412"/>
    <w:rsid w:val="003B1F14"/>
    <w:rsid w:val="003B1F45"/>
    <w:rsid w:val="003B358E"/>
    <w:rsid w:val="003B5C4B"/>
    <w:rsid w:val="003C3A7F"/>
    <w:rsid w:val="003D06B1"/>
    <w:rsid w:val="003D2B38"/>
    <w:rsid w:val="003E716D"/>
    <w:rsid w:val="003E735F"/>
    <w:rsid w:val="003F0240"/>
    <w:rsid w:val="003F3430"/>
    <w:rsid w:val="003F38C4"/>
    <w:rsid w:val="003F4D98"/>
    <w:rsid w:val="003F622F"/>
    <w:rsid w:val="00402910"/>
    <w:rsid w:val="00407D8F"/>
    <w:rsid w:val="0041149D"/>
    <w:rsid w:val="0042465B"/>
    <w:rsid w:val="00425443"/>
    <w:rsid w:val="0043280B"/>
    <w:rsid w:val="0043297F"/>
    <w:rsid w:val="00446E17"/>
    <w:rsid w:val="00461A2F"/>
    <w:rsid w:val="00462879"/>
    <w:rsid w:val="00465527"/>
    <w:rsid w:val="00465B0D"/>
    <w:rsid w:val="00485DEE"/>
    <w:rsid w:val="0049099C"/>
    <w:rsid w:val="004A6FEB"/>
    <w:rsid w:val="004B14A0"/>
    <w:rsid w:val="004B473E"/>
    <w:rsid w:val="004C1C7E"/>
    <w:rsid w:val="004C22CB"/>
    <w:rsid w:val="004C694F"/>
    <w:rsid w:val="004C763B"/>
    <w:rsid w:val="004D02F6"/>
    <w:rsid w:val="004D0310"/>
    <w:rsid w:val="004D199F"/>
    <w:rsid w:val="004D353E"/>
    <w:rsid w:val="004D3880"/>
    <w:rsid w:val="004D6305"/>
    <w:rsid w:val="004D63D6"/>
    <w:rsid w:val="004F0A9A"/>
    <w:rsid w:val="004F3D74"/>
    <w:rsid w:val="004F635E"/>
    <w:rsid w:val="00503B8B"/>
    <w:rsid w:val="00506597"/>
    <w:rsid w:val="005070CB"/>
    <w:rsid w:val="00517438"/>
    <w:rsid w:val="00521B95"/>
    <w:rsid w:val="00527E24"/>
    <w:rsid w:val="0053138B"/>
    <w:rsid w:val="00536336"/>
    <w:rsid w:val="00537EA2"/>
    <w:rsid w:val="0054291F"/>
    <w:rsid w:val="005452FB"/>
    <w:rsid w:val="0055121B"/>
    <w:rsid w:val="00553180"/>
    <w:rsid w:val="00554FDE"/>
    <w:rsid w:val="005569FE"/>
    <w:rsid w:val="00556CB2"/>
    <w:rsid w:val="00560E74"/>
    <w:rsid w:val="00571312"/>
    <w:rsid w:val="005750A7"/>
    <w:rsid w:val="005757D8"/>
    <w:rsid w:val="0058571F"/>
    <w:rsid w:val="005866FC"/>
    <w:rsid w:val="00591588"/>
    <w:rsid w:val="00593886"/>
    <w:rsid w:val="005945A5"/>
    <w:rsid w:val="005A54F1"/>
    <w:rsid w:val="005A5F28"/>
    <w:rsid w:val="005B3086"/>
    <w:rsid w:val="005C1DCD"/>
    <w:rsid w:val="005D34D7"/>
    <w:rsid w:val="005D65A5"/>
    <w:rsid w:val="005E5065"/>
    <w:rsid w:val="005E7B99"/>
    <w:rsid w:val="005F34B3"/>
    <w:rsid w:val="005F72D8"/>
    <w:rsid w:val="0060148A"/>
    <w:rsid w:val="00601AFD"/>
    <w:rsid w:val="00602F4D"/>
    <w:rsid w:val="00610FC6"/>
    <w:rsid w:val="00611131"/>
    <w:rsid w:val="00613D0D"/>
    <w:rsid w:val="00616B01"/>
    <w:rsid w:val="00625A55"/>
    <w:rsid w:val="006334ED"/>
    <w:rsid w:val="006364EA"/>
    <w:rsid w:val="0064176D"/>
    <w:rsid w:val="00641A40"/>
    <w:rsid w:val="00647D16"/>
    <w:rsid w:val="00650D7A"/>
    <w:rsid w:val="006517B2"/>
    <w:rsid w:val="00652611"/>
    <w:rsid w:val="00653A37"/>
    <w:rsid w:val="006543A5"/>
    <w:rsid w:val="00656672"/>
    <w:rsid w:val="00663D57"/>
    <w:rsid w:val="00676FEE"/>
    <w:rsid w:val="00677657"/>
    <w:rsid w:val="00677B28"/>
    <w:rsid w:val="00680847"/>
    <w:rsid w:val="00683E19"/>
    <w:rsid w:val="00685004"/>
    <w:rsid w:val="006910B3"/>
    <w:rsid w:val="006A30A0"/>
    <w:rsid w:val="006A4F21"/>
    <w:rsid w:val="006B1867"/>
    <w:rsid w:val="006B1FD5"/>
    <w:rsid w:val="006B22B2"/>
    <w:rsid w:val="006B2302"/>
    <w:rsid w:val="006B4CFD"/>
    <w:rsid w:val="006B6233"/>
    <w:rsid w:val="006C3F39"/>
    <w:rsid w:val="006C7A5F"/>
    <w:rsid w:val="006D5D95"/>
    <w:rsid w:val="006E37B9"/>
    <w:rsid w:val="006E6B99"/>
    <w:rsid w:val="006F41C6"/>
    <w:rsid w:val="006F4289"/>
    <w:rsid w:val="006F77F7"/>
    <w:rsid w:val="00700472"/>
    <w:rsid w:val="00700F1D"/>
    <w:rsid w:val="00702C47"/>
    <w:rsid w:val="00705373"/>
    <w:rsid w:val="00706A30"/>
    <w:rsid w:val="00715B8F"/>
    <w:rsid w:val="0072013F"/>
    <w:rsid w:val="00727284"/>
    <w:rsid w:val="00730FDB"/>
    <w:rsid w:val="00732EC2"/>
    <w:rsid w:val="00733482"/>
    <w:rsid w:val="00735CBD"/>
    <w:rsid w:val="007361B7"/>
    <w:rsid w:val="007416A3"/>
    <w:rsid w:val="00742E5B"/>
    <w:rsid w:val="00743696"/>
    <w:rsid w:val="007449DC"/>
    <w:rsid w:val="0074781B"/>
    <w:rsid w:val="00750113"/>
    <w:rsid w:val="00753046"/>
    <w:rsid w:val="00754C94"/>
    <w:rsid w:val="00754F1F"/>
    <w:rsid w:val="007575A4"/>
    <w:rsid w:val="007659E1"/>
    <w:rsid w:val="00766CCB"/>
    <w:rsid w:val="0077077A"/>
    <w:rsid w:val="007739E7"/>
    <w:rsid w:val="00776DE0"/>
    <w:rsid w:val="00785E82"/>
    <w:rsid w:val="00785F19"/>
    <w:rsid w:val="007861C3"/>
    <w:rsid w:val="00793E52"/>
    <w:rsid w:val="00795CCB"/>
    <w:rsid w:val="007A041B"/>
    <w:rsid w:val="007A1E0A"/>
    <w:rsid w:val="007A3856"/>
    <w:rsid w:val="007A7BB8"/>
    <w:rsid w:val="007B1541"/>
    <w:rsid w:val="007B1A97"/>
    <w:rsid w:val="007B7363"/>
    <w:rsid w:val="007C0FBB"/>
    <w:rsid w:val="007C4D03"/>
    <w:rsid w:val="007C5ED8"/>
    <w:rsid w:val="007D23D6"/>
    <w:rsid w:val="007D572A"/>
    <w:rsid w:val="007E6A6E"/>
    <w:rsid w:val="007F13C5"/>
    <w:rsid w:val="007F5483"/>
    <w:rsid w:val="00802927"/>
    <w:rsid w:val="00811045"/>
    <w:rsid w:val="00831408"/>
    <w:rsid w:val="00831C20"/>
    <w:rsid w:val="008328EC"/>
    <w:rsid w:val="0083517A"/>
    <w:rsid w:val="00835906"/>
    <w:rsid w:val="008363A1"/>
    <w:rsid w:val="00836B27"/>
    <w:rsid w:val="0083743C"/>
    <w:rsid w:val="00841365"/>
    <w:rsid w:val="00846079"/>
    <w:rsid w:val="0084723C"/>
    <w:rsid w:val="00850195"/>
    <w:rsid w:val="008519A0"/>
    <w:rsid w:val="008667A6"/>
    <w:rsid w:val="008730F0"/>
    <w:rsid w:val="008876B7"/>
    <w:rsid w:val="00894F79"/>
    <w:rsid w:val="008952B9"/>
    <w:rsid w:val="008959E0"/>
    <w:rsid w:val="008A1536"/>
    <w:rsid w:val="008A32D4"/>
    <w:rsid w:val="008A6272"/>
    <w:rsid w:val="008A66AD"/>
    <w:rsid w:val="008B322D"/>
    <w:rsid w:val="008B56B1"/>
    <w:rsid w:val="008C052A"/>
    <w:rsid w:val="008C08D6"/>
    <w:rsid w:val="008C3B96"/>
    <w:rsid w:val="008C406A"/>
    <w:rsid w:val="008C689D"/>
    <w:rsid w:val="008C68F5"/>
    <w:rsid w:val="008D54E6"/>
    <w:rsid w:val="008E1070"/>
    <w:rsid w:val="008E196C"/>
    <w:rsid w:val="008E3100"/>
    <w:rsid w:val="008E411F"/>
    <w:rsid w:val="008E63BF"/>
    <w:rsid w:val="008F03C8"/>
    <w:rsid w:val="008F0DF8"/>
    <w:rsid w:val="008F34F7"/>
    <w:rsid w:val="008F468B"/>
    <w:rsid w:val="008F6567"/>
    <w:rsid w:val="008F77FB"/>
    <w:rsid w:val="008F78BE"/>
    <w:rsid w:val="0090257C"/>
    <w:rsid w:val="009039E0"/>
    <w:rsid w:val="00905112"/>
    <w:rsid w:val="00907C93"/>
    <w:rsid w:val="009123BB"/>
    <w:rsid w:val="009142A2"/>
    <w:rsid w:val="00914647"/>
    <w:rsid w:val="00916A2F"/>
    <w:rsid w:val="00920865"/>
    <w:rsid w:val="00926541"/>
    <w:rsid w:val="00926995"/>
    <w:rsid w:val="00935771"/>
    <w:rsid w:val="009445A0"/>
    <w:rsid w:val="00947135"/>
    <w:rsid w:val="009534F0"/>
    <w:rsid w:val="009570C4"/>
    <w:rsid w:val="009653D8"/>
    <w:rsid w:val="009702EA"/>
    <w:rsid w:val="00973DE6"/>
    <w:rsid w:val="009755F7"/>
    <w:rsid w:val="00975EF3"/>
    <w:rsid w:val="00984041"/>
    <w:rsid w:val="009A5B89"/>
    <w:rsid w:val="009B171D"/>
    <w:rsid w:val="009B34E6"/>
    <w:rsid w:val="009B67C1"/>
    <w:rsid w:val="009C04C0"/>
    <w:rsid w:val="009C2FA6"/>
    <w:rsid w:val="009C3D89"/>
    <w:rsid w:val="009C52CF"/>
    <w:rsid w:val="009C7864"/>
    <w:rsid w:val="009D1A88"/>
    <w:rsid w:val="009D2237"/>
    <w:rsid w:val="009D233D"/>
    <w:rsid w:val="009D3F26"/>
    <w:rsid w:val="009E1622"/>
    <w:rsid w:val="009E22E2"/>
    <w:rsid w:val="009E4138"/>
    <w:rsid w:val="009E450C"/>
    <w:rsid w:val="009F00D3"/>
    <w:rsid w:val="009F289E"/>
    <w:rsid w:val="009F480E"/>
    <w:rsid w:val="009F6F5D"/>
    <w:rsid w:val="009F7209"/>
    <w:rsid w:val="00A03E05"/>
    <w:rsid w:val="00A049F6"/>
    <w:rsid w:val="00A17977"/>
    <w:rsid w:val="00A17D34"/>
    <w:rsid w:val="00A23244"/>
    <w:rsid w:val="00A2418A"/>
    <w:rsid w:val="00A246DE"/>
    <w:rsid w:val="00A26C77"/>
    <w:rsid w:val="00A33454"/>
    <w:rsid w:val="00A344E4"/>
    <w:rsid w:val="00A35B47"/>
    <w:rsid w:val="00A37179"/>
    <w:rsid w:val="00A4289A"/>
    <w:rsid w:val="00A42F6E"/>
    <w:rsid w:val="00A465B4"/>
    <w:rsid w:val="00A46C31"/>
    <w:rsid w:val="00A5303F"/>
    <w:rsid w:val="00A565FA"/>
    <w:rsid w:val="00A61C5B"/>
    <w:rsid w:val="00A62083"/>
    <w:rsid w:val="00A64BFD"/>
    <w:rsid w:val="00A71094"/>
    <w:rsid w:val="00A74A36"/>
    <w:rsid w:val="00A920B8"/>
    <w:rsid w:val="00A950AC"/>
    <w:rsid w:val="00A95B77"/>
    <w:rsid w:val="00AA358E"/>
    <w:rsid w:val="00AA4489"/>
    <w:rsid w:val="00AA49F7"/>
    <w:rsid w:val="00AA772E"/>
    <w:rsid w:val="00AB1085"/>
    <w:rsid w:val="00AB136D"/>
    <w:rsid w:val="00AB2D22"/>
    <w:rsid w:val="00AC03F1"/>
    <w:rsid w:val="00AC46E8"/>
    <w:rsid w:val="00AC4D6A"/>
    <w:rsid w:val="00AC787F"/>
    <w:rsid w:val="00AD0A26"/>
    <w:rsid w:val="00AD28D1"/>
    <w:rsid w:val="00AD3D11"/>
    <w:rsid w:val="00AD6087"/>
    <w:rsid w:val="00AE0FD9"/>
    <w:rsid w:val="00AE30B9"/>
    <w:rsid w:val="00AE6D7D"/>
    <w:rsid w:val="00AE749D"/>
    <w:rsid w:val="00AF4AF7"/>
    <w:rsid w:val="00AF5148"/>
    <w:rsid w:val="00AF55DD"/>
    <w:rsid w:val="00B12183"/>
    <w:rsid w:val="00B12296"/>
    <w:rsid w:val="00B155B4"/>
    <w:rsid w:val="00B21214"/>
    <w:rsid w:val="00B23AA9"/>
    <w:rsid w:val="00B23C7F"/>
    <w:rsid w:val="00B25278"/>
    <w:rsid w:val="00B30BCE"/>
    <w:rsid w:val="00B31FA8"/>
    <w:rsid w:val="00B34784"/>
    <w:rsid w:val="00B34BB2"/>
    <w:rsid w:val="00B44DAE"/>
    <w:rsid w:val="00B5132B"/>
    <w:rsid w:val="00B53029"/>
    <w:rsid w:val="00B70BAE"/>
    <w:rsid w:val="00B7315F"/>
    <w:rsid w:val="00B767E0"/>
    <w:rsid w:val="00B97C38"/>
    <w:rsid w:val="00BA1B72"/>
    <w:rsid w:val="00BB2720"/>
    <w:rsid w:val="00BB41D1"/>
    <w:rsid w:val="00BB472B"/>
    <w:rsid w:val="00BC5859"/>
    <w:rsid w:val="00BD0119"/>
    <w:rsid w:val="00BD0C70"/>
    <w:rsid w:val="00BD48E2"/>
    <w:rsid w:val="00BD5F09"/>
    <w:rsid w:val="00BD7D8F"/>
    <w:rsid w:val="00BE0090"/>
    <w:rsid w:val="00BE083C"/>
    <w:rsid w:val="00BE120B"/>
    <w:rsid w:val="00BF083E"/>
    <w:rsid w:val="00BF4985"/>
    <w:rsid w:val="00BF62D8"/>
    <w:rsid w:val="00BF6FA0"/>
    <w:rsid w:val="00C0176B"/>
    <w:rsid w:val="00C02707"/>
    <w:rsid w:val="00C03CF2"/>
    <w:rsid w:val="00C04112"/>
    <w:rsid w:val="00C205AD"/>
    <w:rsid w:val="00C21003"/>
    <w:rsid w:val="00C307D3"/>
    <w:rsid w:val="00C314B4"/>
    <w:rsid w:val="00C36DB7"/>
    <w:rsid w:val="00C4004B"/>
    <w:rsid w:val="00C400B3"/>
    <w:rsid w:val="00C40C29"/>
    <w:rsid w:val="00C43C82"/>
    <w:rsid w:val="00C4432A"/>
    <w:rsid w:val="00C55D94"/>
    <w:rsid w:val="00C61919"/>
    <w:rsid w:val="00C63A57"/>
    <w:rsid w:val="00C64EAB"/>
    <w:rsid w:val="00C72637"/>
    <w:rsid w:val="00C80CC4"/>
    <w:rsid w:val="00C8650F"/>
    <w:rsid w:val="00C90CA3"/>
    <w:rsid w:val="00CA23BE"/>
    <w:rsid w:val="00CA30A2"/>
    <w:rsid w:val="00CA319B"/>
    <w:rsid w:val="00CA72BA"/>
    <w:rsid w:val="00CA79F6"/>
    <w:rsid w:val="00CB5ADB"/>
    <w:rsid w:val="00CB7AFA"/>
    <w:rsid w:val="00CC7907"/>
    <w:rsid w:val="00CD5BDA"/>
    <w:rsid w:val="00CD7B9D"/>
    <w:rsid w:val="00CE563A"/>
    <w:rsid w:val="00CF2664"/>
    <w:rsid w:val="00D025ED"/>
    <w:rsid w:val="00D03743"/>
    <w:rsid w:val="00D05983"/>
    <w:rsid w:val="00D1247E"/>
    <w:rsid w:val="00D1459E"/>
    <w:rsid w:val="00D16D58"/>
    <w:rsid w:val="00D16E4B"/>
    <w:rsid w:val="00D214E2"/>
    <w:rsid w:val="00D2270B"/>
    <w:rsid w:val="00D23DDF"/>
    <w:rsid w:val="00D24DDF"/>
    <w:rsid w:val="00D34416"/>
    <w:rsid w:val="00D35B3E"/>
    <w:rsid w:val="00D40D58"/>
    <w:rsid w:val="00D431C0"/>
    <w:rsid w:val="00D4635A"/>
    <w:rsid w:val="00D52ABD"/>
    <w:rsid w:val="00D545BE"/>
    <w:rsid w:val="00D65970"/>
    <w:rsid w:val="00D74334"/>
    <w:rsid w:val="00D751D9"/>
    <w:rsid w:val="00D76875"/>
    <w:rsid w:val="00D76CC9"/>
    <w:rsid w:val="00D7711E"/>
    <w:rsid w:val="00D771C1"/>
    <w:rsid w:val="00D8192C"/>
    <w:rsid w:val="00D826F2"/>
    <w:rsid w:val="00D8464E"/>
    <w:rsid w:val="00D97333"/>
    <w:rsid w:val="00DA01C9"/>
    <w:rsid w:val="00DA0BD7"/>
    <w:rsid w:val="00DA3627"/>
    <w:rsid w:val="00DB10DB"/>
    <w:rsid w:val="00DB5961"/>
    <w:rsid w:val="00DD27BE"/>
    <w:rsid w:val="00DD2812"/>
    <w:rsid w:val="00DD4464"/>
    <w:rsid w:val="00DE0B3C"/>
    <w:rsid w:val="00DE6BBA"/>
    <w:rsid w:val="00DF0280"/>
    <w:rsid w:val="00DF617A"/>
    <w:rsid w:val="00E03F78"/>
    <w:rsid w:val="00E044BB"/>
    <w:rsid w:val="00E1461C"/>
    <w:rsid w:val="00E14D55"/>
    <w:rsid w:val="00E203E6"/>
    <w:rsid w:val="00E21617"/>
    <w:rsid w:val="00E21C8F"/>
    <w:rsid w:val="00E21E6F"/>
    <w:rsid w:val="00E2362A"/>
    <w:rsid w:val="00E322F0"/>
    <w:rsid w:val="00E447D6"/>
    <w:rsid w:val="00E45264"/>
    <w:rsid w:val="00E55257"/>
    <w:rsid w:val="00E55419"/>
    <w:rsid w:val="00E558DD"/>
    <w:rsid w:val="00E60293"/>
    <w:rsid w:val="00E622C0"/>
    <w:rsid w:val="00E6416D"/>
    <w:rsid w:val="00E64BAF"/>
    <w:rsid w:val="00E66994"/>
    <w:rsid w:val="00E70A10"/>
    <w:rsid w:val="00E71998"/>
    <w:rsid w:val="00E77924"/>
    <w:rsid w:val="00E81F59"/>
    <w:rsid w:val="00E839CE"/>
    <w:rsid w:val="00E91DDC"/>
    <w:rsid w:val="00E92294"/>
    <w:rsid w:val="00E928EA"/>
    <w:rsid w:val="00E95786"/>
    <w:rsid w:val="00E97B21"/>
    <w:rsid w:val="00EA2A20"/>
    <w:rsid w:val="00EA2B80"/>
    <w:rsid w:val="00EA4627"/>
    <w:rsid w:val="00EA6654"/>
    <w:rsid w:val="00EB3BE4"/>
    <w:rsid w:val="00EB54D2"/>
    <w:rsid w:val="00ED0090"/>
    <w:rsid w:val="00ED298A"/>
    <w:rsid w:val="00ED3E28"/>
    <w:rsid w:val="00ED6D99"/>
    <w:rsid w:val="00ED727B"/>
    <w:rsid w:val="00EE390B"/>
    <w:rsid w:val="00EE550E"/>
    <w:rsid w:val="00EE74F6"/>
    <w:rsid w:val="00EF2086"/>
    <w:rsid w:val="00EF4261"/>
    <w:rsid w:val="00EF48A4"/>
    <w:rsid w:val="00F048EC"/>
    <w:rsid w:val="00F04D94"/>
    <w:rsid w:val="00F05A09"/>
    <w:rsid w:val="00F12B36"/>
    <w:rsid w:val="00F13E9F"/>
    <w:rsid w:val="00F14A7C"/>
    <w:rsid w:val="00F2014E"/>
    <w:rsid w:val="00F2053F"/>
    <w:rsid w:val="00F21697"/>
    <w:rsid w:val="00F31C28"/>
    <w:rsid w:val="00F34819"/>
    <w:rsid w:val="00F3735D"/>
    <w:rsid w:val="00F4173F"/>
    <w:rsid w:val="00F4551C"/>
    <w:rsid w:val="00F4691B"/>
    <w:rsid w:val="00F70F35"/>
    <w:rsid w:val="00F805E1"/>
    <w:rsid w:val="00F8116C"/>
    <w:rsid w:val="00F818D6"/>
    <w:rsid w:val="00F8550A"/>
    <w:rsid w:val="00F91A78"/>
    <w:rsid w:val="00F92DD8"/>
    <w:rsid w:val="00FA4F23"/>
    <w:rsid w:val="00FA52B9"/>
    <w:rsid w:val="00FA6C1E"/>
    <w:rsid w:val="00FB1547"/>
    <w:rsid w:val="00FB5186"/>
    <w:rsid w:val="00FB536D"/>
    <w:rsid w:val="00FC066D"/>
    <w:rsid w:val="00FC1E4A"/>
    <w:rsid w:val="00FC4014"/>
    <w:rsid w:val="00FC64FF"/>
    <w:rsid w:val="00FC739A"/>
    <w:rsid w:val="00FD1DE8"/>
    <w:rsid w:val="00FD6E60"/>
    <w:rsid w:val="00FE77A9"/>
    <w:rsid w:val="00FF3DF4"/>
    <w:rsid w:val="00FF3EF6"/>
    <w:rsid w:val="043A0D26"/>
    <w:rsid w:val="3292B9A6"/>
    <w:rsid w:val="345F88C1"/>
    <w:rsid w:val="447FA5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FB67D23"/>
  <w15:docId w15:val="{74AD6F7C-A5C8-48F7-A912-F0A70FF4D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2">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uiPriority w:val="9"/>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uiPriority w:val="9"/>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uiPriority w:val="9"/>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uiPriority w:val="9"/>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uiPriority w:val="9"/>
    <w:qFormat/>
    <w:rsid w:val="007D23D6"/>
    <w:pPr>
      <w:numPr>
        <w:ilvl w:val="4"/>
      </w:numPr>
      <w:spacing w:before="220" w:after="40"/>
      <w:ind w:left="709"/>
      <w:outlineLvl w:val="4"/>
    </w:pPr>
    <w:rPr>
      <w:b w:val="0"/>
    </w:rPr>
  </w:style>
  <w:style w:type="paragraph" w:styleId="Heading6">
    <w:name w:val="heading 6"/>
    <w:basedOn w:val="BodyText"/>
    <w:next w:val="BodyText"/>
    <w:uiPriority w:val="9"/>
    <w:qFormat/>
    <w:rsid w:val="0003232D"/>
    <w:pPr>
      <w:keepNext/>
      <w:keepLines/>
      <w:numPr>
        <w:ilvl w:val="5"/>
        <w:numId w:val="19"/>
      </w:numPr>
      <w:outlineLvl w:val="5"/>
    </w:pPr>
    <w:rPr>
      <w:lang w:val="en-US"/>
    </w:rPr>
  </w:style>
  <w:style w:type="paragraph" w:styleId="Heading7">
    <w:name w:val="heading 7"/>
    <w:basedOn w:val="BodyText"/>
    <w:next w:val="BodyText"/>
    <w:uiPriority w:val="9"/>
    <w:qForma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uiPriority w:val="9"/>
    <w:qForma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uiPriority w:val="9"/>
    <w:qForma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link w:val="TableTextChar"/>
    <w:uiPriority w:val="2"/>
    <w:qForma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uiPriority w:val="99"/>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link w:val="TitleChar"/>
    <w:uiPriority w:val="10"/>
    <w:qFormat/>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link w:val="CommentTextChar"/>
    <w:uiPriority w:val="99"/>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qFormat/>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link w:val="PlainTextChar"/>
    <w:uiPriority w:val="99"/>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uiPriority w:val="99"/>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uiPriority w:val="9"/>
    <w:rsid w:val="001B7DE2"/>
    <w:rPr>
      <w:rFonts w:ascii="Arial" w:hAnsi="Arial" w:cs="Arial"/>
      <w:b/>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E95786"/>
  </w:style>
  <w:style w:type="character" w:customStyle="1" w:styleId="Heading1Char">
    <w:name w:val="Heading 1 Char"/>
    <w:basedOn w:val="DefaultParagraphFont"/>
    <w:link w:val="Heading1"/>
    <w:uiPriority w:val="9"/>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E95786"/>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link w:val="Appendixlvl2Char"/>
    <w:autoRedefine/>
    <w:qFormat/>
    <w:rsid w:val="00FA6C1E"/>
  </w:style>
  <w:style w:type="character" w:customStyle="1" w:styleId="Heading3Char">
    <w:name w:val="Heading 3 Char"/>
    <w:basedOn w:val="Heading2Char"/>
    <w:link w:val="Heading3"/>
    <w:uiPriority w:val="9"/>
    <w:rsid w:val="00766CCB"/>
    <w:rPr>
      <w:rFonts w:ascii="Arial Bold" w:hAnsi="Arial Bold" w:cs="Arial"/>
      <w:b/>
      <w:bCs w:val="0"/>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basedOn w:val="Appendix2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character" w:customStyle="1" w:styleId="TableTextChar">
    <w:name w:val="Table Text Char"/>
    <w:basedOn w:val="DefaultParagraphFont"/>
    <w:link w:val="TableText"/>
    <w:uiPriority w:val="2"/>
    <w:rsid w:val="00212916"/>
    <w:rPr>
      <w:rFonts w:ascii="Arial" w:hAnsi="Arial"/>
      <w:iCs/>
      <w:kern w:val="28"/>
      <w:lang w:eastAsia="en-US"/>
    </w:rPr>
  </w:style>
  <w:style w:type="paragraph" w:styleId="ListParagraph">
    <w:name w:val="List Paragraph"/>
    <w:basedOn w:val="Normal"/>
    <w:link w:val="ListParagraphChar"/>
    <w:uiPriority w:val="34"/>
    <w:qFormat/>
    <w:rsid w:val="00204D98"/>
    <w:pPr>
      <w:spacing w:before="0" w:line="240" w:lineRule="auto"/>
      <w:ind w:left="720"/>
      <w:contextualSpacing/>
    </w:pPr>
    <w:rPr>
      <w:sz w:val="20"/>
      <w:szCs w:val="24"/>
      <w:lang w:eastAsia="en-AU"/>
    </w:rPr>
  </w:style>
  <w:style w:type="character" w:customStyle="1" w:styleId="ListParagraphChar">
    <w:name w:val="List Paragraph Char"/>
    <w:basedOn w:val="DefaultParagraphFont"/>
    <w:link w:val="ListParagraph"/>
    <w:uiPriority w:val="34"/>
    <w:rsid w:val="00204D98"/>
    <w:rPr>
      <w:rFonts w:ascii="Arial" w:hAnsi="Arial"/>
      <w:szCs w:val="24"/>
    </w:rPr>
  </w:style>
  <w:style w:type="character" w:customStyle="1" w:styleId="Style9">
    <w:name w:val="Style9"/>
    <w:basedOn w:val="DefaultParagraphFont"/>
    <w:uiPriority w:val="1"/>
    <w:rsid w:val="00A64BFD"/>
    <w:rPr>
      <w:b/>
      <w:color w:val="00B050"/>
      <w:sz w:val="48"/>
    </w:rPr>
  </w:style>
  <w:style w:type="character" w:customStyle="1" w:styleId="Style10">
    <w:name w:val="Style10"/>
    <w:basedOn w:val="DefaultParagraphFont"/>
    <w:uiPriority w:val="1"/>
    <w:rsid w:val="00A64BFD"/>
    <w:rPr>
      <w:b/>
      <w:color w:val="FF9900"/>
      <w:sz w:val="48"/>
    </w:rPr>
  </w:style>
  <w:style w:type="character" w:customStyle="1" w:styleId="Style11">
    <w:name w:val="Style11"/>
    <w:basedOn w:val="DefaultParagraphFont"/>
    <w:uiPriority w:val="1"/>
    <w:rsid w:val="00A64BFD"/>
    <w:rPr>
      <w:b/>
      <w:color w:val="FF0000"/>
      <w:sz w:val="48"/>
    </w:rPr>
  </w:style>
  <w:style w:type="character" w:customStyle="1" w:styleId="TitleChar">
    <w:name w:val="Title Char"/>
    <w:basedOn w:val="DefaultParagraphFont"/>
    <w:link w:val="Title"/>
    <w:uiPriority w:val="10"/>
    <w:rsid w:val="00EF48A4"/>
    <w:rPr>
      <w:rFonts w:ascii="Arial" w:hAnsi="Arial"/>
      <w:smallCaps/>
      <w:kern w:val="28"/>
      <w:sz w:val="32"/>
      <w:lang w:val="en-GB" w:eastAsia="en-US"/>
    </w:rPr>
  </w:style>
  <w:style w:type="character" w:customStyle="1" w:styleId="PlainTextChar">
    <w:name w:val="Plain Text Char"/>
    <w:basedOn w:val="DefaultParagraphFont"/>
    <w:link w:val="PlainText"/>
    <w:uiPriority w:val="99"/>
    <w:semiHidden/>
    <w:rsid w:val="00EF48A4"/>
    <w:rPr>
      <w:rFonts w:ascii="Courier New" w:hAnsi="Courier New" w:cs="Courier New"/>
      <w:sz w:val="22"/>
      <w:lang w:eastAsia="en-US"/>
    </w:rPr>
  </w:style>
  <w:style w:type="table" w:customStyle="1" w:styleId="TableGridLight1">
    <w:name w:val="Table Grid Light1"/>
    <w:basedOn w:val="TableNormal"/>
    <w:uiPriority w:val="40"/>
    <w:rsid w:val="00EF48A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Numbered">
    <w:name w:val="Paragraph Numbered"/>
    <w:basedOn w:val="Normal"/>
    <w:rsid w:val="00EF48A4"/>
    <w:pPr>
      <w:spacing w:before="0" w:after="260" w:line="260" w:lineRule="atLeast"/>
      <w:ind w:left="0"/>
    </w:pPr>
    <w:rPr>
      <w:sz w:val="20"/>
    </w:rPr>
  </w:style>
  <w:style w:type="character" w:customStyle="1" w:styleId="apple-converted-space">
    <w:name w:val="apple-converted-space"/>
    <w:basedOn w:val="DefaultParagraphFont"/>
    <w:rsid w:val="00EF48A4"/>
  </w:style>
  <w:style w:type="character" w:customStyle="1" w:styleId="CommentTextChar">
    <w:name w:val="Comment Text Char"/>
    <w:basedOn w:val="DefaultParagraphFont"/>
    <w:link w:val="CommentText"/>
    <w:uiPriority w:val="99"/>
    <w:semiHidden/>
    <w:rsid w:val="00EF48A4"/>
    <w:rPr>
      <w:rFonts w:ascii="Arial" w:hAnsi="Arial"/>
      <w:sz w:val="22"/>
      <w:lang w:eastAsia="en-US"/>
    </w:rPr>
  </w:style>
  <w:style w:type="paragraph" w:styleId="Revision">
    <w:name w:val="Revision"/>
    <w:hidden/>
    <w:uiPriority w:val="99"/>
    <w:semiHidden/>
    <w:rsid w:val="00EF48A4"/>
    <w:rPr>
      <w:rFonts w:ascii="Arial" w:hAnsi="Arial"/>
      <w:sz w:val="22"/>
      <w:lang w:eastAsia="en-US"/>
    </w:rPr>
  </w:style>
  <w:style w:type="character" w:customStyle="1" w:styleId="Style1">
    <w:name w:val="Style1"/>
    <w:basedOn w:val="DefaultParagraphFont"/>
    <w:uiPriority w:val="1"/>
    <w:rsid w:val="00EF48A4"/>
    <w:rPr>
      <w:b/>
      <w:color w:val="FF0000"/>
      <w:sz w:val="48"/>
    </w:rPr>
  </w:style>
  <w:style w:type="character" w:customStyle="1" w:styleId="Style2">
    <w:name w:val="Style2"/>
    <w:basedOn w:val="DefaultParagraphFont"/>
    <w:uiPriority w:val="1"/>
    <w:rsid w:val="00EF48A4"/>
    <w:rPr>
      <w:b/>
      <w:color w:val="FF0000"/>
      <w:sz w:val="48"/>
    </w:rPr>
  </w:style>
  <w:style w:type="character" w:customStyle="1" w:styleId="Style3">
    <w:name w:val="Style3"/>
    <w:basedOn w:val="DefaultParagraphFont"/>
    <w:uiPriority w:val="1"/>
    <w:rsid w:val="00EF48A4"/>
    <w:rPr>
      <w:b/>
      <w:color w:val="FF9900"/>
      <w:sz w:val="48"/>
    </w:rPr>
  </w:style>
  <w:style w:type="character" w:customStyle="1" w:styleId="Style4">
    <w:name w:val="Style4"/>
    <w:basedOn w:val="DefaultParagraphFont"/>
    <w:uiPriority w:val="1"/>
    <w:rsid w:val="00EF48A4"/>
    <w:rPr>
      <w:b/>
      <w:color w:val="FF9900"/>
      <w:sz w:val="48"/>
    </w:rPr>
  </w:style>
  <w:style w:type="character" w:customStyle="1" w:styleId="Style5">
    <w:name w:val="Style5"/>
    <w:basedOn w:val="DefaultParagraphFont"/>
    <w:uiPriority w:val="1"/>
    <w:rsid w:val="00EF48A4"/>
    <w:rPr>
      <w:color w:val="00B050"/>
      <w:sz w:val="96"/>
    </w:rPr>
  </w:style>
  <w:style w:type="character" w:customStyle="1" w:styleId="Style6">
    <w:name w:val="Style6"/>
    <w:basedOn w:val="DefaultParagraphFont"/>
    <w:uiPriority w:val="1"/>
    <w:rsid w:val="00EF48A4"/>
    <w:rPr>
      <w:color w:val="00B050"/>
      <w:sz w:val="144"/>
    </w:rPr>
  </w:style>
  <w:style w:type="character" w:customStyle="1" w:styleId="Style7">
    <w:name w:val="Style7"/>
    <w:basedOn w:val="DefaultParagraphFont"/>
    <w:uiPriority w:val="1"/>
    <w:rsid w:val="00EF48A4"/>
    <w:rPr>
      <w:b/>
      <w:color w:val="FF9900"/>
      <w:sz w:val="96"/>
    </w:rPr>
  </w:style>
  <w:style w:type="character" w:customStyle="1" w:styleId="Style8">
    <w:name w:val="Style8"/>
    <w:basedOn w:val="DefaultParagraphFont"/>
    <w:uiPriority w:val="1"/>
    <w:rsid w:val="00C63A57"/>
    <w:rPr>
      <w:sz w:val="52"/>
    </w:rPr>
  </w:style>
  <w:style w:type="character" w:customStyle="1" w:styleId="Style12">
    <w:name w:val="Style12"/>
    <w:basedOn w:val="DefaultParagraphFont"/>
    <w:uiPriority w:val="1"/>
    <w:rsid w:val="00C63A57"/>
    <w:rPr>
      <w:bdr w:val="single" w:sz="8" w:space="0" w:color="auto"/>
    </w:rPr>
  </w:style>
  <w:style w:type="character" w:customStyle="1" w:styleId="Style13">
    <w:name w:val="Style13"/>
    <w:basedOn w:val="DefaultParagraphFont"/>
    <w:uiPriority w:val="1"/>
    <w:rsid w:val="00C63A57"/>
    <w:rPr>
      <w:bdr w:val="single" w:sz="8" w:space="0" w:color="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480003">
      <w:bodyDiv w:val="1"/>
      <w:marLeft w:val="0"/>
      <w:marRight w:val="0"/>
      <w:marTop w:val="0"/>
      <w:marBottom w:val="0"/>
      <w:divBdr>
        <w:top w:val="none" w:sz="0" w:space="0" w:color="auto"/>
        <w:left w:val="none" w:sz="0" w:space="0" w:color="auto"/>
        <w:bottom w:val="none" w:sz="0" w:space="0" w:color="auto"/>
        <w:right w:val="none" w:sz="0" w:space="0" w:color="auto"/>
      </w:divBdr>
    </w:div>
    <w:div w:id="728724967">
      <w:bodyDiv w:val="1"/>
      <w:marLeft w:val="0"/>
      <w:marRight w:val="0"/>
      <w:marTop w:val="0"/>
      <w:marBottom w:val="0"/>
      <w:divBdr>
        <w:top w:val="none" w:sz="0" w:space="0" w:color="auto"/>
        <w:left w:val="none" w:sz="0" w:space="0" w:color="auto"/>
        <w:bottom w:val="none" w:sz="0" w:space="0" w:color="auto"/>
        <w:right w:val="none" w:sz="0" w:space="0" w:color="auto"/>
      </w:divBdr>
    </w:div>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TModernisation@dsiti.qld.gov.au" TargetMode="Externa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hyperlink" Target="https://www.qgcio.qld.gov.au/products/qgea-documents/3242-ict-as-a-service-risk-assessment-annexe"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qgcio.qld.gov.au/products/qgea-documents/547-business/3236-ict-as-a-service-policy" TargetMode="External"/><Relationship Id="rId34" Type="http://schemas.openxmlformats.org/officeDocument/2006/relationships/hyperlink" Target="https://www.qgcio.qld.gov.au/products/qgea-documents" TargetMode="External"/><Relationship Id="rId42" Type="http://schemas.openxmlformats.org/officeDocument/2006/relationships/hyperlink" Target="https://publications.qld.gov.au/dataset/gitc-framework"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hyperlink" Target="https://www.qgcio.qld.gov.au/products/qgea-documents/549-information-security/2417-queensland-government-information-security-classification-framework" TargetMode="External"/><Relationship Id="rId25" Type="http://schemas.openxmlformats.org/officeDocument/2006/relationships/hyperlink" Target="https://www.qgcio.qld.gov.au/products/qgea-documents/3241-ict-as-a-service-risk-assessment-guideline" TargetMode="External"/><Relationship Id="rId33" Type="http://schemas.openxmlformats.org/officeDocument/2006/relationships/hyperlink" Target="https://www.enisa.europa.eu/" TargetMode="External"/><Relationship Id="rId38" Type="http://schemas.openxmlformats.org/officeDocument/2006/relationships/header" Target="head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qgcio.qld.gov.au/products/qgea-documents/3244-ict-as-a-service-decision-framework-overview" TargetMode="External"/><Relationship Id="rId29" Type="http://schemas.openxmlformats.org/officeDocument/2006/relationships/hyperlink" Target="https://www.qgcio.qld.gov.au/products/qgea-documents/549-information-security/2704-information-security-is18policy" TargetMode="External"/><Relationship Id="rId41" Type="http://schemas.openxmlformats.org/officeDocument/2006/relationships/hyperlink" Target="mailto:qgcio@qgcio.qld.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yperlink" Target="https://www.qgcio.qld.gov.au/products/qgea-documents/3243-ict-as-a-service-deployment-model-selection" TargetMode="External"/><Relationship Id="rId32" Type="http://schemas.openxmlformats.org/officeDocument/2006/relationships/hyperlink" Target="https://www.enisa.europa.eu/" TargetMode="External"/><Relationship Id="rId37" Type="http://schemas.openxmlformats.org/officeDocument/2006/relationships/hyperlink" Target="https://www.oic.qld.gov.au/guidelines/for-government/guidelines-privacy-principles/applying-the-privacy-principles/cloud-computing-and-the-privacy-principles%20" TargetMode="External"/><Relationship Id="rId40" Type="http://schemas.openxmlformats.org/officeDocument/2006/relationships/hyperlink" Target="https://www.qgcio.qld.gov.au/products/qgea-documents/570-workflow/3269-cloud-computing-implementation-model"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qgcio.qld.gov.au/products/qgea-documents/548-information/2632-information-asset-custodianship-policy-is44" TargetMode="External"/><Relationship Id="rId28" Type="http://schemas.openxmlformats.org/officeDocument/2006/relationships/hyperlink" Target="https://www.qgcio.qld.gov.au/products/qgea-documents/547-business/3236-ict-as-a-service-policy" TargetMode="External"/><Relationship Id="rId36" Type="http://schemas.openxmlformats.org/officeDocument/2006/relationships/hyperlink" Target="https://www.qgcio.qld.gov.au/products/qgea-documents/547-business/3237-ict-as-a-service-offshore-data-storage-and-processing-policy" TargetMode="External"/><Relationship Id="rId10" Type="http://schemas.openxmlformats.org/officeDocument/2006/relationships/image" Target="media/image1.png"/><Relationship Id="rId19" Type="http://schemas.openxmlformats.org/officeDocument/2006/relationships/package" Target="embeddings/Microsoft_Visio_Drawing.vsdx"/><Relationship Id="rId31" Type="http://schemas.openxmlformats.org/officeDocument/2006/relationships/image" Target="media/image5.em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hyperlink" Target="https://www.qgcio.qld.gov.au/products/qgea-documents/549-information-security/2417-queensland-government-information-security-classification-framework" TargetMode="External"/><Relationship Id="rId27" Type="http://schemas.openxmlformats.org/officeDocument/2006/relationships/hyperlink" Target="https://www.qgcio.qld.gov.au/products/qgea-documents/547-business/3237-ict-as-a-service-offshore-data-storage-and-processing-policy" TargetMode="External"/><Relationship Id="rId30" Type="http://schemas.openxmlformats.org/officeDocument/2006/relationships/hyperlink" Target="https://www.qgcio.qld.gov.au/products/qgea-documents/570-workflow/3463-cloud-solution-buying-guideline" TargetMode="External"/><Relationship Id="rId35" Type="http://schemas.openxmlformats.org/officeDocument/2006/relationships/header" Target="header3.xml"/><Relationship Id="rId43"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9B1F6-31FA-4A52-AB60-184014A3E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10357</Words>
  <Characters>65931</Characters>
  <Application>Microsoft Office Word</Application>
  <DocSecurity>0</DocSecurity>
  <Lines>549</Lines>
  <Paragraphs>152</Paragraphs>
  <ScaleCrop>false</ScaleCrop>
  <HeadingPairs>
    <vt:vector size="2" baseType="variant">
      <vt:variant>
        <vt:lpstr>Title</vt:lpstr>
      </vt:variant>
      <vt:variant>
        <vt:i4>1</vt:i4>
      </vt:variant>
    </vt:vector>
  </HeadingPairs>
  <TitlesOfParts>
    <vt:vector size="1" baseType="lpstr">
      <vt:lpstr>ICT as-a-service security assurance guideline</vt:lpstr>
    </vt:vector>
  </TitlesOfParts>
  <Company>QGCIO</Company>
  <LinksUpToDate>false</LinksUpToDate>
  <CharactersWithSpaces>76136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 as-a-service security assurance guideline</dc:title>
  <dc:subject>QGEA generic report</dc:subject>
  <dc:creator>Gerarda.Frederick@dsiti.qld.gov.au;robert.mead@qgcio.qld.gov.au</dc:creator>
  <cp:lastModifiedBy>Lisa Irwin</cp:lastModifiedBy>
  <cp:revision>3</cp:revision>
  <cp:lastPrinted>2011-02-16T03:33:00Z</cp:lastPrinted>
  <dcterms:created xsi:type="dcterms:W3CDTF">2016-06-17T00:34:00Z</dcterms:created>
  <dcterms:modified xsi:type="dcterms:W3CDTF">2016-06-17T00:36:00Z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