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3E01817D" w:rsidR="00F752DB" w:rsidRDefault="007927EC">
      <w:bookmarkStart w:id="0" w:name="_Hlk71897345"/>
      <w:bookmarkEnd w:id="0"/>
      <w:r w:rsidRPr="007927EC">
        <w:rPr>
          <w:noProof/>
        </w:rPr>
        <w:drawing>
          <wp:anchor distT="0" distB="0" distL="114300" distR="114300" simplePos="0" relativeHeight="251660288" behindDoc="1" locked="1" layoutInCell="1" allowOverlap="1" wp14:anchorId="48456FC3" wp14:editId="208E1879">
            <wp:simplePos x="0" y="0"/>
            <wp:positionH relativeFrom="leftMargin">
              <wp:posOffset>344170</wp:posOffset>
            </wp:positionH>
            <wp:positionV relativeFrom="margin">
              <wp:align>bottom</wp:align>
            </wp:positionV>
            <wp:extent cx="527050" cy="9702800"/>
            <wp:effectExtent l="0" t="0" r="635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7050" cy="97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56FB6" w14:textId="6AA8A7AA" w:rsidR="00701011" w:rsidRDefault="00701011" w:rsidP="000140F8">
      <w:pPr>
        <w:pStyle w:val="Title"/>
      </w:pPr>
    </w:p>
    <w:p w14:paraId="19E8F2D1" w14:textId="4CCC0B52" w:rsidR="00701011" w:rsidRDefault="00701011" w:rsidP="000140F8">
      <w:pPr>
        <w:pStyle w:val="Title"/>
      </w:pPr>
    </w:p>
    <w:p w14:paraId="67F71F95" w14:textId="50DC60E2" w:rsidR="00701011" w:rsidRDefault="00701011" w:rsidP="000140F8">
      <w:pPr>
        <w:pStyle w:val="Title"/>
      </w:pPr>
    </w:p>
    <w:p w14:paraId="65B992EF" w14:textId="77777777" w:rsidR="00701011" w:rsidRDefault="00701011" w:rsidP="000140F8">
      <w:pPr>
        <w:pStyle w:val="Title"/>
      </w:pPr>
    </w:p>
    <w:p w14:paraId="130E85FF" w14:textId="62414D96" w:rsidR="00701011" w:rsidRPr="000C2896" w:rsidRDefault="00E22C0C" w:rsidP="00E22C0C">
      <w:pPr>
        <w:pStyle w:val="Title"/>
        <w:ind w:left="851" w:right="-425"/>
        <w:rPr>
          <w:color w:val="A91D37"/>
          <w:sz w:val="64"/>
          <w:szCs w:val="64"/>
        </w:rPr>
      </w:pPr>
      <w:r>
        <w:rPr>
          <w:color w:val="A91D37"/>
          <w:sz w:val="64"/>
          <w:szCs w:val="64"/>
        </w:rPr>
        <w:t>Putting Queenslanders first when securing value for money</w:t>
      </w:r>
    </w:p>
    <w:p w14:paraId="67E5D62E" w14:textId="45161222" w:rsidR="00607EAC" w:rsidRDefault="00E22C0C" w:rsidP="001E7E00">
      <w:pPr>
        <w:pStyle w:val="Subtitle"/>
        <w:ind w:left="851"/>
        <w:rPr>
          <w:color w:val="373636"/>
        </w:rPr>
      </w:pPr>
      <w:r>
        <w:rPr>
          <w:color w:val="373636"/>
        </w:rPr>
        <w:t>Queensland Government Procurement</w:t>
      </w:r>
    </w:p>
    <w:p w14:paraId="62B1A47A" w14:textId="504941F5" w:rsidR="00F752DB" w:rsidRPr="00607EAC" w:rsidRDefault="00856C5E" w:rsidP="001E7E00">
      <w:pPr>
        <w:pStyle w:val="Subtitle"/>
        <w:ind w:left="851"/>
        <w:rPr>
          <w:color w:val="B21936"/>
          <w:sz w:val="24"/>
          <w:szCs w:val="24"/>
        </w:rPr>
      </w:pPr>
      <w:r>
        <w:rPr>
          <w:rFonts w:ascii="Times New Roman" w:hAnsi="Times New Roman"/>
          <w:noProof/>
          <w:sz w:val="24"/>
          <w:lang w:eastAsia="en-AU"/>
        </w:rPr>
        <mc:AlternateContent>
          <mc:Choice Requires="wps">
            <w:drawing>
              <wp:anchor distT="0" distB="0" distL="114300" distR="114300" simplePos="0" relativeHeight="251662336" behindDoc="0" locked="0" layoutInCell="1" allowOverlap="1" wp14:anchorId="257428F9" wp14:editId="26529225">
                <wp:simplePos x="0" y="0"/>
                <wp:positionH relativeFrom="margin">
                  <wp:posOffset>571500</wp:posOffset>
                </wp:positionH>
                <wp:positionV relativeFrom="paragraph">
                  <wp:posOffset>123190</wp:posOffset>
                </wp:positionV>
                <wp:extent cx="3524250" cy="619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524250" cy="619125"/>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423AAE7E" w14:textId="77777777" w:rsidR="00856C5E" w:rsidRDefault="00856C5E" w:rsidP="00856C5E">
                            <w:r>
                              <w:t>This document will be progressively reviewed as part of Buy Queensland 2023 implementation.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428F9" id="Rectangle 2" o:spid="_x0000_s1026" style="position:absolute;left:0;text-align:left;margin-left:45pt;margin-top:9.7pt;width:277.5pt;height:4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" fillcolor="#ffff69" strokecolor="#0d0d0d [3069]" strokeweight="1pt">
                <v:textbox>
                  <w:txbxContent>
                    <w:p w14:paraId="423AAE7E" w14:textId="77777777" w:rsidR="00856C5E" w:rsidRDefault="00856C5E" w:rsidP="00856C5E">
                      <w:r>
                        <w:t>This document will be progressively reviewed as part of Buy Queensland 2023 implementation.</w:t>
                      </w:r>
                    </w:p>
                  </w:txbxContent>
                </v:textbox>
                <w10:wrap anchorx="margin"/>
              </v:rect>
            </w:pict>
          </mc:Fallback>
        </mc:AlternateContent>
      </w:r>
      <w:r w:rsidR="007927EC" w:rsidRPr="007927EC">
        <w:rPr>
          <w:noProof/>
        </w:rPr>
        <w:drawing>
          <wp:anchor distT="0" distB="0" distL="114300" distR="114300" simplePos="0" relativeHeight="251659264" behindDoc="1" locked="1" layoutInCell="1" allowOverlap="1" wp14:anchorId="2284449B" wp14:editId="48C237F1">
            <wp:simplePos x="0" y="0"/>
            <wp:positionH relativeFrom="column">
              <wp:posOffset>3862475</wp:posOffset>
            </wp:positionH>
            <wp:positionV relativeFrom="page">
              <wp:posOffset>9287510</wp:posOffset>
            </wp:positionV>
            <wp:extent cx="2295525" cy="749300"/>
            <wp:effectExtent l="0" t="0" r="9525" b="0"/>
            <wp:wrapNone/>
            <wp:docPr id="20" name="Picture 20"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955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2DB" w:rsidRPr="00607EAC">
        <w:rPr>
          <w:rStyle w:val="SubtleEmphasis"/>
          <w:color w:val="B21936"/>
          <w:sz w:val="24"/>
          <w:szCs w:val="24"/>
        </w:rPr>
        <w:br w:type="page"/>
      </w:r>
    </w:p>
    <w:p w14:paraId="09613062"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71D27F2D"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66962F73"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6E0F760E"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0761338A"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04B9A4D3"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2C644639"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3B8CB201"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4CFFAF6E"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1BCED658"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7DFD4B32"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5CE737D3"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42817757"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631471ED"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5D82AE68"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670EBEE5"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0CEFB49D"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43909E2D"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0D5BC475" w14:textId="561359E3"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3F6C4849" w14:textId="381DE4CC"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6DDF3C80" w14:textId="2820E4E6"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10FA22B3" w14:textId="6711EA04"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354B961D" w14:textId="2FCA9746"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0A1A2FE0" w14:textId="29AB56E1"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2D30B98D" w14:textId="414B1876"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78F63038" w14:textId="63EE3602"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2CC09749" w14:textId="77777777" w:rsidR="00C6489C" w:rsidRDefault="00C6489C" w:rsidP="00AF3B54">
      <w:pPr>
        <w:autoSpaceDE w:val="0"/>
        <w:autoSpaceDN w:val="0"/>
        <w:adjustRightInd w:val="0"/>
        <w:spacing w:after="0" w:line="240" w:lineRule="auto"/>
        <w:ind w:right="-108"/>
        <w:rPr>
          <w:rFonts w:cs="Arial"/>
          <w:b/>
          <w:bCs/>
          <w:i/>
          <w:color w:val="000000" w:themeColor="text1"/>
          <w:sz w:val="18"/>
          <w:szCs w:val="18"/>
          <w:lang w:eastAsia="en-AU"/>
        </w:rPr>
      </w:pPr>
    </w:p>
    <w:p w14:paraId="6B62F9D6"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50C3F026"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54409277"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44F08A99"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72874FDD"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11A30B1A" w14:textId="77777777"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1E13812D" w14:textId="04654929" w:rsidR="00AF3B54"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r w:rsidRPr="006D2A89">
        <w:rPr>
          <w:rFonts w:cs="Arial"/>
          <w:b/>
          <w:bCs/>
          <w:i/>
          <w:color w:val="000000" w:themeColor="text1"/>
          <w:sz w:val="18"/>
          <w:szCs w:val="18"/>
          <w:lang w:eastAsia="en-AU"/>
        </w:rPr>
        <w:t>Putting Queenslanders first when securing value for money</w:t>
      </w:r>
      <w:r>
        <w:rPr>
          <w:rFonts w:cs="Arial"/>
          <w:b/>
          <w:bCs/>
          <w:i/>
          <w:color w:val="000000" w:themeColor="text1"/>
          <w:sz w:val="18"/>
          <w:szCs w:val="18"/>
          <w:lang w:eastAsia="en-AU"/>
        </w:rPr>
        <w:br/>
      </w:r>
      <w:r w:rsidRPr="008043B1">
        <w:rPr>
          <w:rFonts w:cs="Arial"/>
          <w:bCs/>
          <w:i/>
          <w:color w:val="000000" w:themeColor="text1"/>
          <w:sz w:val="18"/>
          <w:szCs w:val="18"/>
          <w:lang w:eastAsia="en-AU"/>
        </w:rPr>
        <w:t>v2.</w:t>
      </w:r>
      <w:r>
        <w:rPr>
          <w:rFonts w:cs="Arial"/>
          <w:bCs/>
          <w:i/>
          <w:color w:val="000000" w:themeColor="text1"/>
          <w:sz w:val="18"/>
          <w:szCs w:val="18"/>
          <w:lang w:eastAsia="en-AU"/>
        </w:rPr>
        <w:t xml:space="preserve">1 </w:t>
      </w:r>
      <w:r w:rsidR="00DD0465">
        <w:rPr>
          <w:rFonts w:cs="Arial"/>
          <w:bCs/>
          <w:i/>
          <w:color w:val="000000" w:themeColor="text1"/>
          <w:sz w:val="18"/>
          <w:szCs w:val="18"/>
          <w:lang w:eastAsia="en-AU"/>
        </w:rPr>
        <w:t xml:space="preserve">June </w:t>
      </w:r>
      <w:r>
        <w:rPr>
          <w:rFonts w:cs="Arial"/>
          <w:bCs/>
          <w:i/>
          <w:color w:val="000000" w:themeColor="text1"/>
          <w:sz w:val="18"/>
          <w:szCs w:val="18"/>
          <w:lang w:eastAsia="en-AU"/>
        </w:rPr>
        <w:t>2021</w:t>
      </w:r>
      <w:r w:rsidRPr="003B20C6">
        <w:rPr>
          <w:rFonts w:cs="Arial"/>
          <w:bCs/>
          <w:i/>
          <w:color w:val="000000" w:themeColor="text1"/>
          <w:sz w:val="18"/>
          <w:szCs w:val="18"/>
          <w:lang w:eastAsia="en-AU"/>
        </w:rPr>
        <w:br/>
      </w:r>
    </w:p>
    <w:p w14:paraId="6D4F66CC" w14:textId="77777777" w:rsidR="00AF3B54" w:rsidRPr="004A1C98" w:rsidRDefault="00AF3B54" w:rsidP="00AF3B54">
      <w:pPr>
        <w:autoSpaceDE w:val="0"/>
        <w:autoSpaceDN w:val="0"/>
        <w:adjustRightInd w:val="0"/>
        <w:spacing w:after="0" w:line="240" w:lineRule="auto"/>
        <w:ind w:right="-108"/>
        <w:rPr>
          <w:rFonts w:cs="Arial"/>
          <w:b/>
          <w:bCs/>
          <w:i/>
          <w:color w:val="000000" w:themeColor="text1"/>
          <w:sz w:val="18"/>
          <w:szCs w:val="18"/>
          <w:lang w:eastAsia="en-AU"/>
        </w:rPr>
      </w:pPr>
    </w:p>
    <w:p w14:paraId="1A279CF1" w14:textId="4251C1E0" w:rsidR="00AF3B54" w:rsidRPr="00850C98" w:rsidRDefault="00AF3B54" w:rsidP="00AF3B54">
      <w:pPr>
        <w:spacing w:after="0" w:line="240" w:lineRule="auto"/>
        <w:ind w:right="-108"/>
        <w:rPr>
          <w:b/>
          <w:sz w:val="18"/>
        </w:rPr>
      </w:pPr>
      <w:r>
        <w:rPr>
          <w:b/>
          <w:sz w:val="18"/>
        </w:rPr>
        <w:t>The State of Queensland (Department of Energy and Public Works) 2021</w:t>
      </w:r>
    </w:p>
    <w:p w14:paraId="7CBC94B3" w14:textId="77777777" w:rsidR="00AF3B54" w:rsidRPr="00850C98" w:rsidRDefault="00AF3B54" w:rsidP="00AF3B54">
      <w:pPr>
        <w:spacing w:after="0" w:line="240" w:lineRule="auto"/>
        <w:ind w:right="-108"/>
        <w:rPr>
          <w:sz w:val="18"/>
        </w:rPr>
      </w:pPr>
    </w:p>
    <w:p w14:paraId="69A19E58" w14:textId="77777777" w:rsidR="00AF3B54" w:rsidRPr="00850C98" w:rsidRDefault="00AF3B54" w:rsidP="00AF3B54">
      <w:pPr>
        <w:spacing w:after="0" w:line="240" w:lineRule="auto"/>
        <w:ind w:right="-108"/>
        <w:rPr>
          <w:sz w:val="18"/>
        </w:rPr>
      </w:pPr>
      <w:r w:rsidRPr="00850C98">
        <w:rPr>
          <w:noProof/>
          <w:sz w:val="18"/>
          <w:lang w:eastAsia="en-AU"/>
        </w:rPr>
        <w:drawing>
          <wp:inline distT="0" distB="0" distL="0" distR="0" wp14:anchorId="3699359D" wp14:editId="2EAA9643">
            <wp:extent cx="8286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784497F7" w14:textId="77777777" w:rsidR="00AF3B54" w:rsidRDefault="00AF3B54" w:rsidP="00AF3B54">
      <w:pPr>
        <w:spacing w:after="0" w:line="240" w:lineRule="auto"/>
        <w:ind w:right="-108"/>
        <w:rPr>
          <w:sz w:val="18"/>
        </w:rPr>
      </w:pPr>
    </w:p>
    <w:p w14:paraId="7A86E48D" w14:textId="77777777" w:rsidR="00AF3B54" w:rsidRPr="00850C98" w:rsidRDefault="00E1028F" w:rsidP="00AF3B54">
      <w:pPr>
        <w:spacing w:after="0" w:line="240" w:lineRule="auto"/>
        <w:ind w:right="-108"/>
        <w:rPr>
          <w:sz w:val="18"/>
        </w:rPr>
      </w:pPr>
      <w:hyperlink r:id="rId13" w:history="1">
        <w:r w:rsidR="00AF3B54" w:rsidRPr="00850C98">
          <w:rPr>
            <w:rStyle w:val="Hyperlink"/>
            <w:sz w:val="18"/>
          </w:rPr>
          <w:t>http://creativecommons.org/licenses/by/4.0/deed.en</w:t>
        </w:r>
      </w:hyperlink>
      <w:r w:rsidR="00AF3B54" w:rsidRPr="00850C98">
        <w:rPr>
          <w:sz w:val="18"/>
        </w:rPr>
        <w:t xml:space="preserve"> </w:t>
      </w:r>
    </w:p>
    <w:p w14:paraId="23FADEF3" w14:textId="77777777" w:rsidR="00AF3B54" w:rsidRPr="00850C98" w:rsidRDefault="00AF3B54" w:rsidP="00AF3B54">
      <w:pPr>
        <w:spacing w:after="0" w:line="240" w:lineRule="auto"/>
        <w:ind w:right="-108"/>
        <w:rPr>
          <w:sz w:val="18"/>
        </w:rPr>
      </w:pPr>
    </w:p>
    <w:p w14:paraId="6A47CF24" w14:textId="2B6E79DE" w:rsidR="00AF3B54" w:rsidRDefault="00AF3B54" w:rsidP="00AF3B54">
      <w:pPr>
        <w:spacing w:after="0" w:line="240" w:lineRule="auto"/>
        <w:ind w:right="-108"/>
        <w:rPr>
          <w:sz w:val="18"/>
        </w:rPr>
      </w:pPr>
      <w:r w:rsidRPr="00850C98">
        <w:rPr>
          <w:sz w:val="18"/>
        </w:rPr>
        <w:t>This work is licensed under a Creative Commons Attribution 4.0 Australia Licence. You are free to copy, communicate and adapt this work, as long as you attribute by citing ‘</w:t>
      </w:r>
      <w:r>
        <w:rPr>
          <w:sz w:val="18"/>
        </w:rPr>
        <w:t>Putting Queenslanders first when securing value for money</w:t>
      </w:r>
      <w:r w:rsidRPr="00850C98">
        <w:rPr>
          <w:sz w:val="18"/>
        </w:rPr>
        <w:t xml:space="preserve">, State of Queensland (Department of </w:t>
      </w:r>
      <w:r>
        <w:rPr>
          <w:sz w:val="18"/>
        </w:rPr>
        <w:t>Energy</w:t>
      </w:r>
      <w:r w:rsidRPr="00850C98">
        <w:rPr>
          <w:sz w:val="18"/>
        </w:rPr>
        <w:t xml:space="preserve"> and Public Works) 20</w:t>
      </w:r>
      <w:r>
        <w:rPr>
          <w:sz w:val="18"/>
        </w:rPr>
        <w:t>21</w:t>
      </w:r>
      <w:r w:rsidRPr="00850C98">
        <w:rPr>
          <w:sz w:val="18"/>
        </w:rPr>
        <w:t>’.</w:t>
      </w:r>
    </w:p>
    <w:p w14:paraId="5FE28120" w14:textId="77777777" w:rsidR="00AF3B54" w:rsidRDefault="00AF3B54" w:rsidP="00AF3B54">
      <w:pPr>
        <w:spacing w:after="0" w:line="240" w:lineRule="auto"/>
        <w:ind w:right="-108"/>
        <w:rPr>
          <w:sz w:val="18"/>
        </w:rPr>
      </w:pPr>
    </w:p>
    <w:p w14:paraId="0F809BCB" w14:textId="77777777" w:rsidR="00AF3B54" w:rsidRPr="007D075B" w:rsidRDefault="00AF3B54" w:rsidP="00AF3B54">
      <w:pPr>
        <w:spacing w:after="0" w:line="240" w:lineRule="auto"/>
        <w:ind w:right="-108"/>
        <w:rPr>
          <w:b/>
          <w:sz w:val="18"/>
        </w:rPr>
      </w:pPr>
      <w:r w:rsidRPr="007D075B">
        <w:rPr>
          <w:b/>
          <w:sz w:val="18"/>
        </w:rPr>
        <w:t>Contact us</w:t>
      </w:r>
      <w:r>
        <w:rPr>
          <w:b/>
          <w:sz w:val="18"/>
        </w:rPr>
        <w:br/>
      </w:r>
    </w:p>
    <w:p w14:paraId="53E57530" w14:textId="7037E29E" w:rsidR="00AF3B54" w:rsidRPr="00AC032B" w:rsidRDefault="00654682" w:rsidP="00AF3B54">
      <w:pPr>
        <w:spacing w:after="0" w:line="240" w:lineRule="auto"/>
        <w:ind w:right="-108"/>
        <w:rPr>
          <w:sz w:val="18"/>
        </w:rPr>
      </w:pPr>
      <w:r>
        <w:rPr>
          <w:sz w:val="18"/>
        </w:rPr>
        <w:t>Queensland Government</w:t>
      </w:r>
      <w:r w:rsidR="00AF3B54" w:rsidRPr="007D075B">
        <w:rPr>
          <w:sz w:val="18"/>
        </w:rPr>
        <w:t xml:space="preserve"> Procurement is committed to continuous improvement. If you have any suggestions about how we can improve this guide, or if you have any questions, contact us at </w:t>
      </w:r>
      <w:hyperlink r:id="rId14" w:history="1">
        <w:r w:rsidR="00AF3B54" w:rsidRPr="00AE59FF">
          <w:rPr>
            <w:rStyle w:val="Hyperlink"/>
            <w:sz w:val="18"/>
          </w:rPr>
          <w:t>betterprocurement@epw.qld.gov.au</w:t>
        </w:r>
      </w:hyperlink>
      <w:r w:rsidR="00AF3B54" w:rsidRPr="00AC032B">
        <w:rPr>
          <w:sz w:val="18"/>
        </w:rPr>
        <w:t xml:space="preserve">. </w:t>
      </w:r>
    </w:p>
    <w:p w14:paraId="24CDA65B" w14:textId="77777777" w:rsidR="00AF3B54" w:rsidRDefault="00AF3B54" w:rsidP="00AF3B54">
      <w:pPr>
        <w:spacing w:after="0" w:line="240" w:lineRule="auto"/>
        <w:ind w:right="-108"/>
        <w:rPr>
          <w:sz w:val="18"/>
        </w:rPr>
      </w:pPr>
    </w:p>
    <w:p w14:paraId="0073A477" w14:textId="77777777" w:rsidR="00AF3B54" w:rsidRPr="00AC032B" w:rsidRDefault="00AF3B54" w:rsidP="00AF3B54">
      <w:pPr>
        <w:spacing w:after="0" w:line="240" w:lineRule="auto"/>
        <w:ind w:right="-108"/>
        <w:rPr>
          <w:b/>
          <w:sz w:val="18"/>
        </w:rPr>
      </w:pPr>
      <w:r w:rsidRPr="00AC032B">
        <w:rPr>
          <w:b/>
          <w:sz w:val="18"/>
        </w:rPr>
        <w:t>Disclaimer</w:t>
      </w:r>
      <w:r>
        <w:rPr>
          <w:b/>
          <w:sz w:val="18"/>
        </w:rPr>
        <w:br/>
      </w:r>
    </w:p>
    <w:p w14:paraId="6F790D91" w14:textId="3192E8EC" w:rsidR="00AF3B54" w:rsidRPr="006058FA" w:rsidRDefault="00AF3B54" w:rsidP="00AF3B54">
      <w:pPr>
        <w:spacing w:after="0" w:line="240" w:lineRule="auto"/>
        <w:ind w:right="-108"/>
        <w:rPr>
          <w:sz w:val="18"/>
        </w:rPr>
      </w:pPr>
      <w:r w:rsidRPr="00602DB4">
        <w:rPr>
          <w:sz w:val="18"/>
        </w:rPr>
        <w:t>T</w:t>
      </w:r>
      <w:r w:rsidRPr="00700D0A">
        <w:rPr>
          <w:sz w:val="18"/>
        </w:rPr>
        <w:t xml:space="preserve">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r>
        <w:rPr>
          <w:sz w:val="18"/>
        </w:rPr>
        <w:br/>
      </w:r>
    </w:p>
    <w:p w14:paraId="0815A45B" w14:textId="5C9FA2E2" w:rsidR="002A5361" w:rsidRDefault="00AF3B54" w:rsidP="00AF3B54">
      <w:pPr>
        <w:spacing w:line="240" w:lineRule="auto"/>
        <w:rPr>
          <w:sz w:val="18"/>
        </w:rPr>
      </w:pPr>
      <w:r w:rsidRPr="00AC032B">
        <w:rPr>
          <w:sz w:val="18"/>
        </w:rPr>
        <w:t xml:space="preserve">The Department of </w:t>
      </w:r>
      <w:r>
        <w:rPr>
          <w:sz w:val="18"/>
        </w:rPr>
        <w:t>Energy</w:t>
      </w:r>
      <w:r w:rsidRPr="00AC032B">
        <w:rPr>
          <w:sz w:val="18"/>
        </w:rPr>
        <w:t xml:space="preserve"> and Public Works disclaims all liability that may arise from the use of this document. </w:t>
      </w:r>
      <w:r>
        <w:rPr>
          <w:sz w:val="18"/>
        </w:rPr>
        <w:t xml:space="preserve">This guide should not be used as a substitute for obtaining appropriate probity and legal advice as may be required. </w:t>
      </w:r>
      <w:r w:rsidRPr="00AC032B">
        <w:rPr>
          <w:sz w:val="18"/>
        </w:rPr>
        <w:t xml:space="preserve">In preparing this document, reasonable efforts have been made to use accurate and current information. </w:t>
      </w:r>
      <w:r>
        <w:rPr>
          <w:sz w:val="18"/>
        </w:rPr>
        <w:t>It should be noted</w:t>
      </w:r>
      <w:r w:rsidRPr="00AC032B">
        <w:rPr>
          <w:sz w:val="18"/>
        </w:rPr>
        <w:t xml:space="preserve"> that information may have changed since</w:t>
      </w:r>
      <w:r>
        <w:rPr>
          <w:sz w:val="18"/>
        </w:rPr>
        <w:t xml:space="preserve"> the publication of this document</w:t>
      </w:r>
      <w:r w:rsidRPr="00AC032B">
        <w:rPr>
          <w:sz w:val="18"/>
        </w:rPr>
        <w:t xml:space="preserve">. Where errors or inaccuracies are brought to the attention of the Department of </w:t>
      </w:r>
      <w:r>
        <w:rPr>
          <w:sz w:val="18"/>
        </w:rPr>
        <w:t>Energy</w:t>
      </w:r>
      <w:r w:rsidRPr="00AC032B">
        <w:rPr>
          <w:sz w:val="18"/>
        </w:rPr>
        <w:t xml:space="preserve"> and Public Works, a reasonable effort will be made to correct them.</w:t>
      </w:r>
    </w:p>
    <w:p w14:paraId="1CDF2373" w14:textId="73385F46" w:rsidR="00AF3B54" w:rsidRDefault="00AF3B54">
      <w:pPr>
        <w:spacing w:line="259" w:lineRule="auto"/>
        <w:rPr>
          <w:sz w:val="18"/>
        </w:rPr>
      </w:pPr>
      <w:r>
        <w:rPr>
          <w:sz w:val="18"/>
        </w:rPr>
        <w:br w:type="page"/>
      </w:r>
    </w:p>
    <w:bookmarkStart w:id="1" w:name="_Toc80363209" w:displacedByCustomXml="next"/>
    <w:bookmarkStart w:id="2" w:name="_Toc514843891" w:displacedByCustomXml="next"/>
    <w:bookmarkStart w:id="3" w:name="_Toc494381242" w:displacedByCustomXml="next"/>
    <w:bookmarkStart w:id="4" w:name="_Toc494379106" w:displacedByCustomXml="next"/>
    <w:bookmarkStart w:id="5" w:name="_Toc491873066" w:displacedByCustomXml="next"/>
    <w:bookmarkStart w:id="6" w:name="_Toc77337885" w:displacedByCustomXml="next"/>
    <w:sdt>
      <w:sdtPr>
        <w:rPr>
          <w:rFonts w:eastAsia="Times New Roman" w:cs="Arial"/>
          <w:bCs/>
          <w:color w:val="A70240"/>
          <w:sz w:val="22"/>
          <w:szCs w:val="20"/>
          <w:lang w:eastAsia="en-AU"/>
        </w:rPr>
        <w:id w:val="1692414725"/>
        <w:docPartObj>
          <w:docPartGallery w:val="Table of Contents"/>
          <w:docPartUnique/>
        </w:docPartObj>
      </w:sdtPr>
      <w:sdtEndPr>
        <w:rPr>
          <w:b w:val="0"/>
          <w:noProof/>
        </w:rPr>
      </w:sdtEndPr>
      <w:sdtContent>
        <w:p w14:paraId="5882EAC1" w14:textId="77777777" w:rsidR="00AF3B54" w:rsidRDefault="00AF3B54" w:rsidP="00AF3B54">
          <w:pPr>
            <w:pStyle w:val="Heading1"/>
          </w:pPr>
          <w:r>
            <w:t>Table of contents</w:t>
          </w:r>
          <w:bookmarkEnd w:id="6"/>
          <w:bookmarkEnd w:id="5"/>
          <w:bookmarkEnd w:id="4"/>
          <w:bookmarkEnd w:id="3"/>
          <w:bookmarkEnd w:id="2"/>
          <w:bookmarkEnd w:id="1"/>
        </w:p>
        <w:p w14:paraId="340864B7" w14:textId="3A58B1B0" w:rsidR="00A96301" w:rsidRDefault="00AF3B54">
          <w:pPr>
            <w:pStyle w:val="TOC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80363209" w:history="1">
            <w:r w:rsidR="00A96301" w:rsidRPr="00E718DF">
              <w:rPr>
                <w:rStyle w:val="Hyperlink"/>
                <w:rFonts w:eastAsiaTheme="majorEastAsia"/>
                <w:noProof/>
              </w:rPr>
              <w:t>Table of contents</w:t>
            </w:r>
            <w:r w:rsidR="00A96301">
              <w:rPr>
                <w:noProof/>
                <w:webHidden/>
              </w:rPr>
              <w:tab/>
            </w:r>
            <w:r w:rsidR="00A96301">
              <w:rPr>
                <w:noProof/>
                <w:webHidden/>
              </w:rPr>
              <w:fldChar w:fldCharType="begin"/>
            </w:r>
            <w:r w:rsidR="00A96301">
              <w:rPr>
                <w:noProof/>
                <w:webHidden/>
              </w:rPr>
              <w:instrText xml:space="preserve"> PAGEREF _Toc80363209 \h </w:instrText>
            </w:r>
            <w:r w:rsidR="00A96301">
              <w:rPr>
                <w:noProof/>
                <w:webHidden/>
              </w:rPr>
            </w:r>
            <w:r w:rsidR="00A96301">
              <w:rPr>
                <w:noProof/>
                <w:webHidden/>
              </w:rPr>
              <w:fldChar w:fldCharType="separate"/>
            </w:r>
            <w:r w:rsidR="00253B76">
              <w:rPr>
                <w:noProof/>
                <w:webHidden/>
              </w:rPr>
              <w:t>3</w:t>
            </w:r>
            <w:r w:rsidR="00A96301">
              <w:rPr>
                <w:noProof/>
                <w:webHidden/>
              </w:rPr>
              <w:fldChar w:fldCharType="end"/>
            </w:r>
          </w:hyperlink>
        </w:p>
        <w:p w14:paraId="410C8929" w14:textId="66EAAB58" w:rsidR="00A96301" w:rsidRDefault="00E1028F">
          <w:pPr>
            <w:pStyle w:val="TOC1"/>
            <w:rPr>
              <w:rFonts w:asciiTheme="minorHAnsi" w:eastAsiaTheme="minorEastAsia" w:hAnsiTheme="minorHAnsi" w:cstheme="minorBidi"/>
              <w:b w:val="0"/>
              <w:bCs w:val="0"/>
              <w:noProof/>
              <w:color w:val="auto"/>
              <w:szCs w:val="22"/>
            </w:rPr>
          </w:pPr>
          <w:hyperlink w:anchor="_Toc80363210" w:history="1">
            <w:r w:rsidR="00A96301" w:rsidRPr="00E718DF">
              <w:rPr>
                <w:rStyle w:val="Hyperlink"/>
                <w:rFonts w:eastAsiaTheme="majorEastAsia"/>
                <w:noProof/>
              </w:rPr>
              <w:t>Introduction</w:t>
            </w:r>
            <w:r w:rsidR="00A96301">
              <w:rPr>
                <w:noProof/>
                <w:webHidden/>
              </w:rPr>
              <w:tab/>
            </w:r>
            <w:r w:rsidR="00A96301">
              <w:rPr>
                <w:noProof/>
                <w:webHidden/>
              </w:rPr>
              <w:fldChar w:fldCharType="begin"/>
            </w:r>
            <w:r w:rsidR="00A96301">
              <w:rPr>
                <w:noProof/>
                <w:webHidden/>
              </w:rPr>
              <w:instrText xml:space="preserve"> PAGEREF _Toc80363210 \h </w:instrText>
            </w:r>
            <w:r w:rsidR="00A96301">
              <w:rPr>
                <w:noProof/>
                <w:webHidden/>
              </w:rPr>
            </w:r>
            <w:r w:rsidR="00A96301">
              <w:rPr>
                <w:noProof/>
                <w:webHidden/>
              </w:rPr>
              <w:fldChar w:fldCharType="separate"/>
            </w:r>
            <w:r w:rsidR="00253B76">
              <w:rPr>
                <w:noProof/>
                <w:webHidden/>
              </w:rPr>
              <w:t>4</w:t>
            </w:r>
            <w:r w:rsidR="00A96301">
              <w:rPr>
                <w:noProof/>
                <w:webHidden/>
              </w:rPr>
              <w:fldChar w:fldCharType="end"/>
            </w:r>
          </w:hyperlink>
        </w:p>
        <w:p w14:paraId="18F6CB14" w14:textId="74B2BC27" w:rsidR="00A96301" w:rsidRDefault="00E1028F">
          <w:pPr>
            <w:pStyle w:val="TOC2"/>
            <w:rPr>
              <w:rFonts w:asciiTheme="minorHAnsi" w:eastAsiaTheme="minorEastAsia" w:hAnsiTheme="minorHAnsi" w:cstheme="minorBidi"/>
              <w:b w:val="0"/>
              <w:bCs w:val="0"/>
              <w:noProof/>
              <w:color w:val="auto"/>
              <w:szCs w:val="22"/>
            </w:rPr>
          </w:pPr>
          <w:hyperlink w:anchor="_Toc80363211" w:history="1">
            <w:r w:rsidR="00A96301" w:rsidRPr="00E718DF">
              <w:rPr>
                <w:rStyle w:val="Hyperlink"/>
                <w:rFonts w:eastAsiaTheme="majorEastAsia"/>
                <w:noProof/>
              </w:rPr>
              <w:t>Purpose of this guide</w:t>
            </w:r>
            <w:r w:rsidR="00A96301">
              <w:rPr>
                <w:noProof/>
                <w:webHidden/>
              </w:rPr>
              <w:tab/>
            </w:r>
            <w:r w:rsidR="00A96301">
              <w:rPr>
                <w:noProof/>
                <w:webHidden/>
              </w:rPr>
              <w:fldChar w:fldCharType="begin"/>
            </w:r>
            <w:r w:rsidR="00A96301">
              <w:rPr>
                <w:noProof/>
                <w:webHidden/>
              </w:rPr>
              <w:instrText xml:space="preserve"> PAGEREF _Toc80363211 \h </w:instrText>
            </w:r>
            <w:r w:rsidR="00A96301">
              <w:rPr>
                <w:noProof/>
                <w:webHidden/>
              </w:rPr>
            </w:r>
            <w:r w:rsidR="00A96301">
              <w:rPr>
                <w:noProof/>
                <w:webHidden/>
              </w:rPr>
              <w:fldChar w:fldCharType="separate"/>
            </w:r>
            <w:r w:rsidR="00253B76">
              <w:rPr>
                <w:noProof/>
                <w:webHidden/>
              </w:rPr>
              <w:t>4</w:t>
            </w:r>
            <w:r w:rsidR="00A96301">
              <w:rPr>
                <w:noProof/>
                <w:webHidden/>
              </w:rPr>
              <w:fldChar w:fldCharType="end"/>
            </w:r>
          </w:hyperlink>
        </w:p>
        <w:p w14:paraId="4ED9884B" w14:textId="149B540E" w:rsidR="00A96301" w:rsidRDefault="00E1028F">
          <w:pPr>
            <w:pStyle w:val="TOC2"/>
            <w:rPr>
              <w:rFonts w:asciiTheme="minorHAnsi" w:eastAsiaTheme="minorEastAsia" w:hAnsiTheme="minorHAnsi" w:cstheme="minorBidi"/>
              <w:b w:val="0"/>
              <w:bCs w:val="0"/>
              <w:noProof/>
              <w:color w:val="auto"/>
              <w:szCs w:val="22"/>
            </w:rPr>
          </w:pPr>
          <w:hyperlink w:anchor="_Toc80363212" w:history="1">
            <w:r w:rsidR="00A96301" w:rsidRPr="00E718DF">
              <w:rPr>
                <w:rStyle w:val="Hyperlink"/>
                <w:rFonts w:eastAsiaTheme="majorEastAsia"/>
                <w:noProof/>
              </w:rPr>
              <w:t>Guidance to support the Queensland Government Procurement Strategy</w:t>
            </w:r>
            <w:r w:rsidR="00A96301">
              <w:rPr>
                <w:noProof/>
                <w:webHidden/>
              </w:rPr>
              <w:tab/>
            </w:r>
            <w:r w:rsidR="00A96301">
              <w:rPr>
                <w:noProof/>
                <w:webHidden/>
              </w:rPr>
              <w:fldChar w:fldCharType="begin"/>
            </w:r>
            <w:r w:rsidR="00A96301">
              <w:rPr>
                <w:noProof/>
                <w:webHidden/>
              </w:rPr>
              <w:instrText xml:space="preserve"> PAGEREF _Toc80363212 \h </w:instrText>
            </w:r>
            <w:r w:rsidR="00A96301">
              <w:rPr>
                <w:noProof/>
                <w:webHidden/>
              </w:rPr>
            </w:r>
            <w:r w:rsidR="00A96301">
              <w:rPr>
                <w:noProof/>
                <w:webHidden/>
              </w:rPr>
              <w:fldChar w:fldCharType="separate"/>
            </w:r>
            <w:r w:rsidR="00253B76">
              <w:rPr>
                <w:noProof/>
                <w:webHidden/>
              </w:rPr>
              <w:t>4</w:t>
            </w:r>
            <w:r w:rsidR="00A96301">
              <w:rPr>
                <w:noProof/>
                <w:webHidden/>
              </w:rPr>
              <w:fldChar w:fldCharType="end"/>
            </w:r>
          </w:hyperlink>
        </w:p>
        <w:p w14:paraId="0A4E90C6" w14:textId="29281176" w:rsidR="00A96301" w:rsidRDefault="00E1028F">
          <w:pPr>
            <w:pStyle w:val="TOC2"/>
            <w:rPr>
              <w:rFonts w:asciiTheme="minorHAnsi" w:eastAsiaTheme="minorEastAsia" w:hAnsiTheme="minorHAnsi" w:cstheme="minorBidi"/>
              <w:b w:val="0"/>
              <w:bCs w:val="0"/>
              <w:noProof/>
              <w:color w:val="auto"/>
              <w:szCs w:val="22"/>
            </w:rPr>
          </w:pPr>
          <w:hyperlink w:anchor="_Toc80363213" w:history="1">
            <w:r w:rsidR="00A96301" w:rsidRPr="00E718DF">
              <w:rPr>
                <w:rStyle w:val="Hyperlink"/>
                <w:rFonts w:eastAsiaTheme="majorEastAsia"/>
                <w:noProof/>
              </w:rPr>
              <w:t>The Queensland Procurement Policy</w:t>
            </w:r>
            <w:r w:rsidR="00A96301">
              <w:rPr>
                <w:noProof/>
                <w:webHidden/>
              </w:rPr>
              <w:tab/>
            </w:r>
            <w:r w:rsidR="00A96301">
              <w:rPr>
                <w:noProof/>
                <w:webHidden/>
              </w:rPr>
              <w:fldChar w:fldCharType="begin"/>
            </w:r>
            <w:r w:rsidR="00A96301">
              <w:rPr>
                <w:noProof/>
                <w:webHidden/>
              </w:rPr>
              <w:instrText xml:space="preserve"> PAGEREF _Toc80363213 \h </w:instrText>
            </w:r>
            <w:r w:rsidR="00A96301">
              <w:rPr>
                <w:noProof/>
                <w:webHidden/>
              </w:rPr>
            </w:r>
            <w:r w:rsidR="00A96301">
              <w:rPr>
                <w:noProof/>
                <w:webHidden/>
              </w:rPr>
              <w:fldChar w:fldCharType="separate"/>
            </w:r>
            <w:r w:rsidR="00253B76">
              <w:rPr>
                <w:noProof/>
                <w:webHidden/>
              </w:rPr>
              <w:t>4</w:t>
            </w:r>
            <w:r w:rsidR="00A96301">
              <w:rPr>
                <w:noProof/>
                <w:webHidden/>
              </w:rPr>
              <w:fldChar w:fldCharType="end"/>
            </w:r>
          </w:hyperlink>
        </w:p>
        <w:p w14:paraId="0314A226" w14:textId="0D024583" w:rsidR="00A96301" w:rsidRDefault="00E1028F">
          <w:pPr>
            <w:pStyle w:val="TOC1"/>
            <w:rPr>
              <w:rFonts w:asciiTheme="minorHAnsi" w:eastAsiaTheme="minorEastAsia" w:hAnsiTheme="minorHAnsi" w:cstheme="minorBidi"/>
              <w:b w:val="0"/>
              <w:bCs w:val="0"/>
              <w:noProof/>
              <w:color w:val="auto"/>
              <w:szCs w:val="22"/>
            </w:rPr>
          </w:pPr>
          <w:hyperlink w:anchor="_Toc80363214" w:history="1">
            <w:r w:rsidR="00A96301" w:rsidRPr="00E718DF">
              <w:rPr>
                <w:rStyle w:val="Hyperlink"/>
                <w:rFonts w:eastAsiaTheme="majorEastAsia"/>
                <w:noProof/>
              </w:rPr>
              <w:t>What is value for money under the QPP?</w:t>
            </w:r>
            <w:r w:rsidR="00A96301">
              <w:rPr>
                <w:noProof/>
                <w:webHidden/>
              </w:rPr>
              <w:tab/>
            </w:r>
            <w:r w:rsidR="00A96301">
              <w:rPr>
                <w:noProof/>
                <w:webHidden/>
              </w:rPr>
              <w:fldChar w:fldCharType="begin"/>
            </w:r>
            <w:r w:rsidR="00A96301">
              <w:rPr>
                <w:noProof/>
                <w:webHidden/>
              </w:rPr>
              <w:instrText xml:space="preserve"> PAGEREF _Toc80363214 \h </w:instrText>
            </w:r>
            <w:r w:rsidR="00A96301">
              <w:rPr>
                <w:noProof/>
                <w:webHidden/>
              </w:rPr>
            </w:r>
            <w:r w:rsidR="00A96301">
              <w:rPr>
                <w:noProof/>
                <w:webHidden/>
              </w:rPr>
              <w:fldChar w:fldCharType="separate"/>
            </w:r>
            <w:r w:rsidR="00253B76">
              <w:rPr>
                <w:noProof/>
                <w:webHidden/>
              </w:rPr>
              <w:t>4</w:t>
            </w:r>
            <w:r w:rsidR="00A96301">
              <w:rPr>
                <w:noProof/>
                <w:webHidden/>
              </w:rPr>
              <w:fldChar w:fldCharType="end"/>
            </w:r>
          </w:hyperlink>
        </w:p>
        <w:p w14:paraId="499D3158" w14:textId="238F7B8C" w:rsidR="00A96301" w:rsidRDefault="00E1028F">
          <w:pPr>
            <w:pStyle w:val="TOC2"/>
            <w:rPr>
              <w:rFonts w:asciiTheme="minorHAnsi" w:eastAsiaTheme="minorEastAsia" w:hAnsiTheme="minorHAnsi" w:cstheme="minorBidi"/>
              <w:b w:val="0"/>
              <w:bCs w:val="0"/>
              <w:noProof/>
              <w:color w:val="auto"/>
              <w:szCs w:val="22"/>
            </w:rPr>
          </w:pPr>
          <w:hyperlink w:anchor="_Toc80363215" w:history="1">
            <w:r w:rsidR="00A96301" w:rsidRPr="00E718DF">
              <w:rPr>
                <w:rStyle w:val="Hyperlink"/>
                <w:rFonts w:eastAsiaTheme="majorEastAsia"/>
                <w:noProof/>
              </w:rPr>
              <w:t>Components of value for money</w:t>
            </w:r>
            <w:r w:rsidR="00A96301">
              <w:rPr>
                <w:noProof/>
                <w:webHidden/>
              </w:rPr>
              <w:tab/>
            </w:r>
            <w:r w:rsidR="00A96301">
              <w:rPr>
                <w:noProof/>
                <w:webHidden/>
              </w:rPr>
              <w:fldChar w:fldCharType="begin"/>
            </w:r>
            <w:r w:rsidR="00A96301">
              <w:rPr>
                <w:noProof/>
                <w:webHidden/>
              </w:rPr>
              <w:instrText xml:space="preserve"> PAGEREF _Toc80363215 \h </w:instrText>
            </w:r>
            <w:r w:rsidR="00A96301">
              <w:rPr>
                <w:noProof/>
                <w:webHidden/>
              </w:rPr>
            </w:r>
            <w:r w:rsidR="00A96301">
              <w:rPr>
                <w:noProof/>
                <w:webHidden/>
              </w:rPr>
              <w:fldChar w:fldCharType="separate"/>
            </w:r>
            <w:r w:rsidR="00253B76">
              <w:rPr>
                <w:noProof/>
                <w:webHidden/>
              </w:rPr>
              <w:t>5</w:t>
            </w:r>
            <w:r w:rsidR="00A96301">
              <w:rPr>
                <w:noProof/>
                <w:webHidden/>
              </w:rPr>
              <w:fldChar w:fldCharType="end"/>
            </w:r>
          </w:hyperlink>
        </w:p>
        <w:p w14:paraId="2E7AD6E3" w14:textId="16345BBF" w:rsidR="00A96301" w:rsidRDefault="00E1028F">
          <w:pPr>
            <w:pStyle w:val="TOC1"/>
            <w:rPr>
              <w:rFonts w:asciiTheme="minorHAnsi" w:eastAsiaTheme="minorEastAsia" w:hAnsiTheme="minorHAnsi" w:cstheme="minorBidi"/>
              <w:b w:val="0"/>
              <w:bCs w:val="0"/>
              <w:noProof/>
              <w:color w:val="auto"/>
              <w:szCs w:val="22"/>
            </w:rPr>
          </w:pPr>
          <w:hyperlink w:anchor="_Toc80363216" w:history="1">
            <w:r w:rsidR="00A96301" w:rsidRPr="00E718DF">
              <w:rPr>
                <w:rStyle w:val="Hyperlink"/>
                <w:rFonts w:eastAsiaTheme="majorEastAsia"/>
                <w:noProof/>
              </w:rPr>
              <w:t>Assessing whole-of-life costs</w:t>
            </w:r>
            <w:r w:rsidR="00A96301">
              <w:rPr>
                <w:noProof/>
                <w:webHidden/>
              </w:rPr>
              <w:tab/>
            </w:r>
            <w:r w:rsidR="00A96301">
              <w:rPr>
                <w:noProof/>
                <w:webHidden/>
              </w:rPr>
              <w:fldChar w:fldCharType="begin"/>
            </w:r>
            <w:r w:rsidR="00A96301">
              <w:rPr>
                <w:noProof/>
                <w:webHidden/>
              </w:rPr>
              <w:instrText xml:space="preserve"> PAGEREF _Toc80363216 \h </w:instrText>
            </w:r>
            <w:r w:rsidR="00A96301">
              <w:rPr>
                <w:noProof/>
                <w:webHidden/>
              </w:rPr>
            </w:r>
            <w:r w:rsidR="00A96301">
              <w:rPr>
                <w:noProof/>
                <w:webHidden/>
              </w:rPr>
              <w:fldChar w:fldCharType="separate"/>
            </w:r>
            <w:r w:rsidR="00253B76">
              <w:rPr>
                <w:noProof/>
                <w:webHidden/>
              </w:rPr>
              <w:t>5</w:t>
            </w:r>
            <w:r w:rsidR="00A96301">
              <w:rPr>
                <w:noProof/>
                <w:webHidden/>
              </w:rPr>
              <w:fldChar w:fldCharType="end"/>
            </w:r>
          </w:hyperlink>
        </w:p>
        <w:p w14:paraId="39928BBF" w14:textId="18EEB2B5" w:rsidR="00A96301" w:rsidRDefault="00E1028F">
          <w:pPr>
            <w:pStyle w:val="TOC1"/>
            <w:rPr>
              <w:rFonts w:asciiTheme="minorHAnsi" w:eastAsiaTheme="minorEastAsia" w:hAnsiTheme="minorHAnsi" w:cstheme="minorBidi"/>
              <w:b w:val="0"/>
              <w:bCs w:val="0"/>
              <w:noProof/>
              <w:color w:val="auto"/>
              <w:szCs w:val="22"/>
            </w:rPr>
          </w:pPr>
          <w:hyperlink w:anchor="_Toc80363217" w:history="1">
            <w:r w:rsidR="00A96301" w:rsidRPr="00E718DF">
              <w:rPr>
                <w:rStyle w:val="Hyperlink"/>
                <w:rFonts w:eastAsiaTheme="majorEastAsia"/>
                <w:noProof/>
              </w:rPr>
              <w:t>Specific environmental targets for Queensland</w:t>
            </w:r>
            <w:r w:rsidR="00A96301">
              <w:rPr>
                <w:noProof/>
                <w:webHidden/>
              </w:rPr>
              <w:tab/>
            </w:r>
            <w:r w:rsidR="00A96301">
              <w:rPr>
                <w:noProof/>
                <w:webHidden/>
              </w:rPr>
              <w:fldChar w:fldCharType="begin"/>
            </w:r>
            <w:r w:rsidR="00A96301">
              <w:rPr>
                <w:noProof/>
                <w:webHidden/>
              </w:rPr>
              <w:instrText xml:space="preserve"> PAGEREF _Toc80363217 \h </w:instrText>
            </w:r>
            <w:r w:rsidR="00A96301">
              <w:rPr>
                <w:noProof/>
                <w:webHidden/>
              </w:rPr>
            </w:r>
            <w:r w:rsidR="00A96301">
              <w:rPr>
                <w:noProof/>
                <w:webHidden/>
              </w:rPr>
              <w:fldChar w:fldCharType="separate"/>
            </w:r>
            <w:r w:rsidR="00253B76">
              <w:rPr>
                <w:noProof/>
                <w:webHidden/>
              </w:rPr>
              <w:t>7</w:t>
            </w:r>
            <w:r w:rsidR="00A96301">
              <w:rPr>
                <w:noProof/>
                <w:webHidden/>
              </w:rPr>
              <w:fldChar w:fldCharType="end"/>
            </w:r>
          </w:hyperlink>
        </w:p>
        <w:p w14:paraId="4607EA97" w14:textId="7DC145F2" w:rsidR="00A96301" w:rsidRDefault="00E1028F">
          <w:pPr>
            <w:pStyle w:val="TOC1"/>
            <w:rPr>
              <w:rFonts w:asciiTheme="minorHAnsi" w:eastAsiaTheme="minorEastAsia" w:hAnsiTheme="minorHAnsi" w:cstheme="minorBidi"/>
              <w:b w:val="0"/>
              <w:bCs w:val="0"/>
              <w:noProof/>
              <w:color w:val="auto"/>
              <w:szCs w:val="22"/>
            </w:rPr>
          </w:pPr>
          <w:hyperlink w:anchor="_Toc80363218" w:history="1">
            <w:r w:rsidR="00A96301" w:rsidRPr="00E718DF">
              <w:rPr>
                <w:rStyle w:val="Hyperlink"/>
                <w:rFonts w:eastAsiaTheme="majorEastAsia"/>
                <w:noProof/>
              </w:rPr>
              <w:t>Specific social targets for Queensland Government</w:t>
            </w:r>
            <w:r w:rsidR="00A96301">
              <w:rPr>
                <w:noProof/>
                <w:webHidden/>
              </w:rPr>
              <w:tab/>
            </w:r>
            <w:r w:rsidR="00A96301">
              <w:rPr>
                <w:noProof/>
                <w:webHidden/>
              </w:rPr>
              <w:fldChar w:fldCharType="begin"/>
            </w:r>
            <w:r w:rsidR="00A96301">
              <w:rPr>
                <w:noProof/>
                <w:webHidden/>
              </w:rPr>
              <w:instrText xml:space="preserve"> PAGEREF _Toc80363218 \h </w:instrText>
            </w:r>
            <w:r w:rsidR="00A96301">
              <w:rPr>
                <w:noProof/>
                <w:webHidden/>
              </w:rPr>
            </w:r>
            <w:r w:rsidR="00A96301">
              <w:rPr>
                <w:noProof/>
                <w:webHidden/>
              </w:rPr>
              <w:fldChar w:fldCharType="separate"/>
            </w:r>
            <w:r w:rsidR="00253B76">
              <w:rPr>
                <w:noProof/>
                <w:webHidden/>
              </w:rPr>
              <w:t>8</w:t>
            </w:r>
            <w:r w:rsidR="00A96301">
              <w:rPr>
                <w:noProof/>
                <w:webHidden/>
              </w:rPr>
              <w:fldChar w:fldCharType="end"/>
            </w:r>
          </w:hyperlink>
        </w:p>
        <w:p w14:paraId="38BF7248" w14:textId="331E38E3" w:rsidR="00A96301" w:rsidRDefault="00E1028F">
          <w:pPr>
            <w:pStyle w:val="TOC1"/>
            <w:rPr>
              <w:rFonts w:asciiTheme="minorHAnsi" w:eastAsiaTheme="minorEastAsia" w:hAnsiTheme="minorHAnsi" w:cstheme="minorBidi"/>
              <w:b w:val="0"/>
              <w:bCs w:val="0"/>
              <w:noProof/>
              <w:color w:val="auto"/>
              <w:szCs w:val="22"/>
            </w:rPr>
          </w:pPr>
          <w:hyperlink w:anchor="_Toc80363219" w:history="1">
            <w:r w:rsidR="00A96301" w:rsidRPr="00E718DF">
              <w:rPr>
                <w:rStyle w:val="Hyperlink"/>
                <w:rFonts w:eastAsiaTheme="majorEastAsia"/>
                <w:noProof/>
              </w:rPr>
              <w:t>Value for money should be considered at each stage of the procurement process</w:t>
            </w:r>
            <w:r w:rsidR="00A96301">
              <w:rPr>
                <w:noProof/>
                <w:webHidden/>
              </w:rPr>
              <w:tab/>
            </w:r>
            <w:r w:rsidR="00A96301">
              <w:rPr>
                <w:noProof/>
                <w:webHidden/>
              </w:rPr>
              <w:fldChar w:fldCharType="begin"/>
            </w:r>
            <w:r w:rsidR="00A96301">
              <w:rPr>
                <w:noProof/>
                <w:webHidden/>
              </w:rPr>
              <w:instrText xml:space="preserve"> PAGEREF _Toc80363219 \h </w:instrText>
            </w:r>
            <w:r w:rsidR="00A96301">
              <w:rPr>
                <w:noProof/>
                <w:webHidden/>
              </w:rPr>
            </w:r>
            <w:r w:rsidR="00A96301">
              <w:rPr>
                <w:noProof/>
                <w:webHidden/>
              </w:rPr>
              <w:fldChar w:fldCharType="separate"/>
            </w:r>
            <w:r w:rsidR="00253B76">
              <w:rPr>
                <w:noProof/>
                <w:webHidden/>
              </w:rPr>
              <w:t>8</w:t>
            </w:r>
            <w:r w:rsidR="00A96301">
              <w:rPr>
                <w:noProof/>
                <w:webHidden/>
              </w:rPr>
              <w:fldChar w:fldCharType="end"/>
            </w:r>
          </w:hyperlink>
        </w:p>
        <w:p w14:paraId="238FFC50" w14:textId="2B391398" w:rsidR="00A96301" w:rsidRDefault="00E1028F">
          <w:pPr>
            <w:pStyle w:val="TOC2"/>
            <w:rPr>
              <w:rFonts w:asciiTheme="minorHAnsi" w:eastAsiaTheme="minorEastAsia" w:hAnsiTheme="minorHAnsi" w:cstheme="minorBidi"/>
              <w:b w:val="0"/>
              <w:bCs w:val="0"/>
              <w:noProof/>
              <w:color w:val="auto"/>
              <w:szCs w:val="22"/>
            </w:rPr>
          </w:pPr>
          <w:hyperlink w:anchor="_Toc80363220" w:history="1">
            <w:r w:rsidR="00A96301" w:rsidRPr="00E718DF">
              <w:rPr>
                <w:rStyle w:val="Hyperlink"/>
                <w:rFonts w:eastAsiaTheme="minorHAnsi"/>
                <w:noProof/>
              </w:rPr>
              <w:t>Approach to value for money based on the complexity of the procurement</w:t>
            </w:r>
            <w:r w:rsidR="00A96301">
              <w:rPr>
                <w:noProof/>
                <w:webHidden/>
              </w:rPr>
              <w:tab/>
            </w:r>
            <w:r w:rsidR="00A96301">
              <w:rPr>
                <w:noProof/>
                <w:webHidden/>
              </w:rPr>
              <w:fldChar w:fldCharType="begin"/>
            </w:r>
            <w:r w:rsidR="00A96301">
              <w:rPr>
                <w:noProof/>
                <w:webHidden/>
              </w:rPr>
              <w:instrText xml:space="preserve"> PAGEREF _Toc80363220 \h </w:instrText>
            </w:r>
            <w:r w:rsidR="00A96301">
              <w:rPr>
                <w:noProof/>
                <w:webHidden/>
              </w:rPr>
            </w:r>
            <w:r w:rsidR="00A96301">
              <w:rPr>
                <w:noProof/>
                <w:webHidden/>
              </w:rPr>
              <w:fldChar w:fldCharType="separate"/>
            </w:r>
            <w:r w:rsidR="00253B76">
              <w:rPr>
                <w:noProof/>
                <w:webHidden/>
              </w:rPr>
              <w:t>9</w:t>
            </w:r>
            <w:r w:rsidR="00A96301">
              <w:rPr>
                <w:noProof/>
                <w:webHidden/>
              </w:rPr>
              <w:fldChar w:fldCharType="end"/>
            </w:r>
          </w:hyperlink>
        </w:p>
        <w:p w14:paraId="65CF5FD4" w14:textId="7EE04E96" w:rsidR="00A96301" w:rsidRDefault="00E1028F">
          <w:pPr>
            <w:pStyle w:val="TOC2"/>
            <w:rPr>
              <w:rFonts w:asciiTheme="minorHAnsi" w:eastAsiaTheme="minorEastAsia" w:hAnsiTheme="minorHAnsi" w:cstheme="minorBidi"/>
              <w:b w:val="0"/>
              <w:bCs w:val="0"/>
              <w:noProof/>
              <w:color w:val="auto"/>
              <w:szCs w:val="22"/>
            </w:rPr>
          </w:pPr>
          <w:hyperlink w:anchor="_Toc80363221" w:history="1">
            <w:r w:rsidR="00A96301" w:rsidRPr="00E718DF">
              <w:rPr>
                <w:rStyle w:val="Hyperlink"/>
                <w:rFonts w:eastAsiaTheme="majorEastAsia"/>
                <w:noProof/>
              </w:rPr>
              <w:t>Key stages of a significant procurement process</w:t>
            </w:r>
            <w:r w:rsidR="00A96301">
              <w:rPr>
                <w:noProof/>
                <w:webHidden/>
              </w:rPr>
              <w:tab/>
            </w:r>
            <w:r w:rsidR="00A96301">
              <w:rPr>
                <w:noProof/>
                <w:webHidden/>
              </w:rPr>
              <w:fldChar w:fldCharType="begin"/>
            </w:r>
            <w:r w:rsidR="00A96301">
              <w:rPr>
                <w:noProof/>
                <w:webHidden/>
              </w:rPr>
              <w:instrText xml:space="preserve"> PAGEREF _Toc80363221 \h </w:instrText>
            </w:r>
            <w:r w:rsidR="00A96301">
              <w:rPr>
                <w:noProof/>
                <w:webHidden/>
              </w:rPr>
            </w:r>
            <w:r w:rsidR="00A96301">
              <w:rPr>
                <w:noProof/>
                <w:webHidden/>
              </w:rPr>
              <w:fldChar w:fldCharType="separate"/>
            </w:r>
            <w:r w:rsidR="00253B76">
              <w:rPr>
                <w:noProof/>
                <w:webHidden/>
              </w:rPr>
              <w:t>10</w:t>
            </w:r>
            <w:r w:rsidR="00A96301">
              <w:rPr>
                <w:noProof/>
                <w:webHidden/>
              </w:rPr>
              <w:fldChar w:fldCharType="end"/>
            </w:r>
          </w:hyperlink>
        </w:p>
        <w:p w14:paraId="5F9C2EE4" w14:textId="23D19A50" w:rsidR="00A96301" w:rsidRDefault="00E1028F">
          <w:pPr>
            <w:pStyle w:val="TOC1"/>
            <w:rPr>
              <w:rFonts w:asciiTheme="minorHAnsi" w:eastAsiaTheme="minorEastAsia" w:hAnsiTheme="minorHAnsi" w:cstheme="minorBidi"/>
              <w:b w:val="0"/>
              <w:bCs w:val="0"/>
              <w:noProof/>
              <w:color w:val="auto"/>
              <w:szCs w:val="22"/>
            </w:rPr>
          </w:pPr>
          <w:hyperlink w:anchor="_Toc80363222" w:history="1">
            <w:r w:rsidR="00A96301" w:rsidRPr="00E718DF">
              <w:rPr>
                <w:rStyle w:val="Hyperlink"/>
                <w:rFonts w:eastAsiaTheme="majorEastAsia"/>
                <w:noProof/>
              </w:rPr>
              <w:t>Planning</w:t>
            </w:r>
            <w:r w:rsidR="00A96301">
              <w:rPr>
                <w:noProof/>
                <w:webHidden/>
              </w:rPr>
              <w:tab/>
            </w:r>
            <w:r w:rsidR="00A96301">
              <w:rPr>
                <w:noProof/>
                <w:webHidden/>
              </w:rPr>
              <w:fldChar w:fldCharType="begin"/>
            </w:r>
            <w:r w:rsidR="00A96301">
              <w:rPr>
                <w:noProof/>
                <w:webHidden/>
              </w:rPr>
              <w:instrText xml:space="preserve"> PAGEREF _Toc80363222 \h </w:instrText>
            </w:r>
            <w:r w:rsidR="00A96301">
              <w:rPr>
                <w:noProof/>
                <w:webHidden/>
              </w:rPr>
            </w:r>
            <w:r w:rsidR="00A96301">
              <w:rPr>
                <w:noProof/>
                <w:webHidden/>
              </w:rPr>
              <w:fldChar w:fldCharType="separate"/>
            </w:r>
            <w:r w:rsidR="00253B76">
              <w:rPr>
                <w:noProof/>
                <w:webHidden/>
              </w:rPr>
              <w:t>11</w:t>
            </w:r>
            <w:r w:rsidR="00A96301">
              <w:rPr>
                <w:noProof/>
                <w:webHidden/>
              </w:rPr>
              <w:fldChar w:fldCharType="end"/>
            </w:r>
          </w:hyperlink>
        </w:p>
        <w:p w14:paraId="05BFC9BB" w14:textId="61CDD62F" w:rsidR="00A96301" w:rsidRDefault="00E1028F">
          <w:pPr>
            <w:pStyle w:val="TOC2"/>
            <w:rPr>
              <w:rFonts w:asciiTheme="minorHAnsi" w:eastAsiaTheme="minorEastAsia" w:hAnsiTheme="minorHAnsi" w:cstheme="minorBidi"/>
              <w:b w:val="0"/>
              <w:bCs w:val="0"/>
              <w:noProof/>
              <w:color w:val="auto"/>
              <w:szCs w:val="22"/>
            </w:rPr>
          </w:pPr>
          <w:hyperlink w:anchor="_Toc80363223" w:history="1">
            <w:r w:rsidR="00A96301" w:rsidRPr="00E718DF">
              <w:rPr>
                <w:rStyle w:val="Hyperlink"/>
                <w:rFonts w:eastAsiaTheme="majorEastAsia"/>
                <w:noProof/>
              </w:rPr>
              <w:t>Category planning</w:t>
            </w:r>
            <w:r w:rsidR="00A96301">
              <w:rPr>
                <w:noProof/>
                <w:webHidden/>
              </w:rPr>
              <w:tab/>
            </w:r>
            <w:r w:rsidR="00A96301">
              <w:rPr>
                <w:noProof/>
                <w:webHidden/>
              </w:rPr>
              <w:fldChar w:fldCharType="begin"/>
            </w:r>
            <w:r w:rsidR="00A96301">
              <w:rPr>
                <w:noProof/>
                <w:webHidden/>
              </w:rPr>
              <w:instrText xml:space="preserve"> PAGEREF _Toc80363223 \h </w:instrText>
            </w:r>
            <w:r w:rsidR="00A96301">
              <w:rPr>
                <w:noProof/>
                <w:webHidden/>
              </w:rPr>
            </w:r>
            <w:r w:rsidR="00A96301">
              <w:rPr>
                <w:noProof/>
                <w:webHidden/>
              </w:rPr>
              <w:fldChar w:fldCharType="separate"/>
            </w:r>
            <w:r w:rsidR="00253B76">
              <w:rPr>
                <w:noProof/>
                <w:webHidden/>
              </w:rPr>
              <w:t>11</w:t>
            </w:r>
            <w:r w:rsidR="00A96301">
              <w:rPr>
                <w:noProof/>
                <w:webHidden/>
              </w:rPr>
              <w:fldChar w:fldCharType="end"/>
            </w:r>
          </w:hyperlink>
        </w:p>
        <w:p w14:paraId="29AAC9CD" w14:textId="50BFFDF9" w:rsidR="00A96301" w:rsidRDefault="00E1028F">
          <w:pPr>
            <w:pStyle w:val="TOC2"/>
            <w:rPr>
              <w:rFonts w:asciiTheme="minorHAnsi" w:eastAsiaTheme="minorEastAsia" w:hAnsiTheme="minorHAnsi" w:cstheme="minorBidi"/>
              <w:b w:val="0"/>
              <w:bCs w:val="0"/>
              <w:noProof/>
              <w:color w:val="auto"/>
              <w:szCs w:val="22"/>
            </w:rPr>
          </w:pPr>
          <w:hyperlink w:anchor="_Toc80363224" w:history="1">
            <w:r w:rsidR="00A96301" w:rsidRPr="00E718DF">
              <w:rPr>
                <w:rStyle w:val="Hyperlink"/>
                <w:rFonts w:eastAsiaTheme="majorEastAsia"/>
                <w:noProof/>
              </w:rPr>
              <w:t>Pre-tender planning</w:t>
            </w:r>
            <w:r w:rsidR="00A96301">
              <w:rPr>
                <w:noProof/>
                <w:webHidden/>
              </w:rPr>
              <w:tab/>
            </w:r>
            <w:r w:rsidR="00A96301">
              <w:rPr>
                <w:noProof/>
                <w:webHidden/>
              </w:rPr>
              <w:fldChar w:fldCharType="begin"/>
            </w:r>
            <w:r w:rsidR="00A96301">
              <w:rPr>
                <w:noProof/>
                <w:webHidden/>
              </w:rPr>
              <w:instrText xml:space="preserve"> PAGEREF _Toc80363224 \h </w:instrText>
            </w:r>
            <w:r w:rsidR="00A96301">
              <w:rPr>
                <w:noProof/>
                <w:webHidden/>
              </w:rPr>
            </w:r>
            <w:r w:rsidR="00A96301">
              <w:rPr>
                <w:noProof/>
                <w:webHidden/>
              </w:rPr>
              <w:fldChar w:fldCharType="separate"/>
            </w:r>
            <w:r w:rsidR="00253B76">
              <w:rPr>
                <w:noProof/>
                <w:webHidden/>
              </w:rPr>
              <w:t>12</w:t>
            </w:r>
            <w:r w:rsidR="00A96301">
              <w:rPr>
                <w:noProof/>
                <w:webHidden/>
              </w:rPr>
              <w:fldChar w:fldCharType="end"/>
            </w:r>
          </w:hyperlink>
        </w:p>
        <w:p w14:paraId="180C8029" w14:textId="56701824" w:rsidR="00A96301" w:rsidRDefault="00E1028F">
          <w:pPr>
            <w:pStyle w:val="TOC1"/>
            <w:rPr>
              <w:rFonts w:asciiTheme="minorHAnsi" w:eastAsiaTheme="minorEastAsia" w:hAnsiTheme="minorHAnsi" w:cstheme="minorBidi"/>
              <w:b w:val="0"/>
              <w:bCs w:val="0"/>
              <w:noProof/>
              <w:color w:val="auto"/>
              <w:szCs w:val="22"/>
            </w:rPr>
          </w:pPr>
          <w:hyperlink w:anchor="_Toc80363225" w:history="1">
            <w:r w:rsidR="00A96301" w:rsidRPr="00E718DF">
              <w:rPr>
                <w:rStyle w:val="Hyperlink"/>
                <w:rFonts w:eastAsiaTheme="majorEastAsia"/>
                <w:noProof/>
              </w:rPr>
              <w:t>Tender and contracting</w:t>
            </w:r>
            <w:r w:rsidR="00A96301">
              <w:rPr>
                <w:noProof/>
                <w:webHidden/>
              </w:rPr>
              <w:tab/>
            </w:r>
            <w:r w:rsidR="00A96301">
              <w:rPr>
                <w:noProof/>
                <w:webHidden/>
              </w:rPr>
              <w:fldChar w:fldCharType="begin"/>
            </w:r>
            <w:r w:rsidR="00A96301">
              <w:rPr>
                <w:noProof/>
                <w:webHidden/>
              </w:rPr>
              <w:instrText xml:space="preserve"> PAGEREF _Toc80363225 \h </w:instrText>
            </w:r>
            <w:r w:rsidR="00A96301">
              <w:rPr>
                <w:noProof/>
                <w:webHidden/>
              </w:rPr>
            </w:r>
            <w:r w:rsidR="00A96301">
              <w:rPr>
                <w:noProof/>
                <w:webHidden/>
              </w:rPr>
              <w:fldChar w:fldCharType="separate"/>
            </w:r>
            <w:r w:rsidR="00253B76">
              <w:rPr>
                <w:noProof/>
                <w:webHidden/>
              </w:rPr>
              <w:t>13</w:t>
            </w:r>
            <w:r w:rsidR="00A96301">
              <w:rPr>
                <w:noProof/>
                <w:webHidden/>
              </w:rPr>
              <w:fldChar w:fldCharType="end"/>
            </w:r>
          </w:hyperlink>
        </w:p>
        <w:p w14:paraId="329D71B2" w14:textId="30EFC251" w:rsidR="00A96301" w:rsidRDefault="00E1028F">
          <w:pPr>
            <w:pStyle w:val="TOC2"/>
            <w:rPr>
              <w:rFonts w:asciiTheme="minorHAnsi" w:eastAsiaTheme="minorEastAsia" w:hAnsiTheme="minorHAnsi" w:cstheme="minorBidi"/>
              <w:b w:val="0"/>
              <w:bCs w:val="0"/>
              <w:noProof/>
              <w:color w:val="auto"/>
              <w:szCs w:val="22"/>
            </w:rPr>
          </w:pPr>
          <w:hyperlink w:anchor="_Toc80363226" w:history="1">
            <w:r w:rsidR="00A96301" w:rsidRPr="00E718DF">
              <w:rPr>
                <w:rStyle w:val="Hyperlink"/>
                <w:rFonts w:eastAsiaTheme="majorEastAsia"/>
                <w:noProof/>
              </w:rPr>
              <w:t>Evaluating for value in quotes and tenders</w:t>
            </w:r>
            <w:r w:rsidR="00A96301">
              <w:rPr>
                <w:noProof/>
                <w:webHidden/>
              </w:rPr>
              <w:tab/>
            </w:r>
            <w:r w:rsidR="00A96301">
              <w:rPr>
                <w:noProof/>
                <w:webHidden/>
              </w:rPr>
              <w:fldChar w:fldCharType="begin"/>
            </w:r>
            <w:r w:rsidR="00A96301">
              <w:rPr>
                <w:noProof/>
                <w:webHidden/>
              </w:rPr>
              <w:instrText xml:space="preserve"> PAGEREF _Toc80363226 \h </w:instrText>
            </w:r>
            <w:r w:rsidR="00A96301">
              <w:rPr>
                <w:noProof/>
                <w:webHidden/>
              </w:rPr>
            </w:r>
            <w:r w:rsidR="00A96301">
              <w:rPr>
                <w:noProof/>
                <w:webHidden/>
              </w:rPr>
              <w:fldChar w:fldCharType="separate"/>
            </w:r>
            <w:r w:rsidR="00253B76">
              <w:rPr>
                <w:noProof/>
                <w:webHidden/>
              </w:rPr>
              <w:t>13</w:t>
            </w:r>
            <w:r w:rsidR="00A96301">
              <w:rPr>
                <w:noProof/>
                <w:webHidden/>
              </w:rPr>
              <w:fldChar w:fldCharType="end"/>
            </w:r>
          </w:hyperlink>
        </w:p>
        <w:p w14:paraId="5D1F9A78" w14:textId="52359FC6" w:rsidR="00A96301" w:rsidRDefault="00E1028F">
          <w:pPr>
            <w:pStyle w:val="TOC1"/>
            <w:rPr>
              <w:rFonts w:asciiTheme="minorHAnsi" w:eastAsiaTheme="minorEastAsia" w:hAnsiTheme="minorHAnsi" w:cstheme="minorBidi"/>
              <w:b w:val="0"/>
              <w:bCs w:val="0"/>
              <w:noProof/>
              <w:color w:val="auto"/>
              <w:szCs w:val="22"/>
            </w:rPr>
          </w:pPr>
          <w:hyperlink w:anchor="_Toc80363227" w:history="1">
            <w:r w:rsidR="00A96301" w:rsidRPr="00E718DF">
              <w:rPr>
                <w:rStyle w:val="Hyperlink"/>
                <w:rFonts w:eastAsiaTheme="majorEastAsia"/>
                <w:noProof/>
              </w:rPr>
              <w:t>Managing contracts</w:t>
            </w:r>
            <w:r w:rsidR="00A96301">
              <w:rPr>
                <w:noProof/>
                <w:webHidden/>
              </w:rPr>
              <w:tab/>
            </w:r>
            <w:r w:rsidR="00A96301">
              <w:rPr>
                <w:noProof/>
                <w:webHidden/>
              </w:rPr>
              <w:fldChar w:fldCharType="begin"/>
            </w:r>
            <w:r w:rsidR="00A96301">
              <w:rPr>
                <w:noProof/>
                <w:webHidden/>
              </w:rPr>
              <w:instrText xml:space="preserve"> PAGEREF _Toc80363227 \h </w:instrText>
            </w:r>
            <w:r w:rsidR="00A96301">
              <w:rPr>
                <w:noProof/>
                <w:webHidden/>
              </w:rPr>
            </w:r>
            <w:r w:rsidR="00A96301">
              <w:rPr>
                <w:noProof/>
                <w:webHidden/>
              </w:rPr>
              <w:fldChar w:fldCharType="separate"/>
            </w:r>
            <w:r w:rsidR="00253B76">
              <w:rPr>
                <w:noProof/>
                <w:webHidden/>
              </w:rPr>
              <w:t>13</w:t>
            </w:r>
            <w:r w:rsidR="00A96301">
              <w:rPr>
                <w:noProof/>
                <w:webHidden/>
              </w:rPr>
              <w:fldChar w:fldCharType="end"/>
            </w:r>
          </w:hyperlink>
        </w:p>
        <w:p w14:paraId="2075E183" w14:textId="101359FF" w:rsidR="00A96301" w:rsidRDefault="00E1028F">
          <w:pPr>
            <w:pStyle w:val="TOC2"/>
            <w:rPr>
              <w:rFonts w:asciiTheme="minorHAnsi" w:eastAsiaTheme="minorEastAsia" w:hAnsiTheme="minorHAnsi" w:cstheme="minorBidi"/>
              <w:b w:val="0"/>
              <w:bCs w:val="0"/>
              <w:noProof/>
              <w:color w:val="auto"/>
              <w:szCs w:val="22"/>
            </w:rPr>
          </w:pPr>
          <w:hyperlink w:anchor="_Toc80363228" w:history="1">
            <w:r w:rsidR="00A96301" w:rsidRPr="00E718DF">
              <w:rPr>
                <w:rStyle w:val="Hyperlink"/>
                <w:rFonts w:eastAsiaTheme="majorEastAsia"/>
                <w:noProof/>
              </w:rPr>
              <w:t>Contract extensions</w:t>
            </w:r>
            <w:r w:rsidR="00A96301">
              <w:rPr>
                <w:noProof/>
                <w:webHidden/>
              </w:rPr>
              <w:tab/>
            </w:r>
            <w:r w:rsidR="00A96301">
              <w:rPr>
                <w:noProof/>
                <w:webHidden/>
              </w:rPr>
              <w:fldChar w:fldCharType="begin"/>
            </w:r>
            <w:r w:rsidR="00A96301">
              <w:rPr>
                <w:noProof/>
                <w:webHidden/>
              </w:rPr>
              <w:instrText xml:space="preserve"> PAGEREF _Toc80363228 \h </w:instrText>
            </w:r>
            <w:r w:rsidR="00A96301">
              <w:rPr>
                <w:noProof/>
                <w:webHidden/>
              </w:rPr>
            </w:r>
            <w:r w:rsidR="00A96301">
              <w:rPr>
                <w:noProof/>
                <w:webHidden/>
              </w:rPr>
              <w:fldChar w:fldCharType="separate"/>
            </w:r>
            <w:r w:rsidR="00253B76">
              <w:rPr>
                <w:noProof/>
                <w:webHidden/>
              </w:rPr>
              <w:t>13</w:t>
            </w:r>
            <w:r w:rsidR="00A96301">
              <w:rPr>
                <w:noProof/>
                <w:webHidden/>
              </w:rPr>
              <w:fldChar w:fldCharType="end"/>
            </w:r>
          </w:hyperlink>
        </w:p>
        <w:p w14:paraId="655911FD" w14:textId="5A828996" w:rsidR="00A96301" w:rsidRDefault="00E1028F">
          <w:pPr>
            <w:pStyle w:val="TOC2"/>
            <w:rPr>
              <w:rFonts w:asciiTheme="minorHAnsi" w:eastAsiaTheme="minorEastAsia" w:hAnsiTheme="minorHAnsi" w:cstheme="minorBidi"/>
              <w:b w:val="0"/>
              <w:bCs w:val="0"/>
              <w:noProof/>
              <w:color w:val="auto"/>
              <w:szCs w:val="22"/>
            </w:rPr>
          </w:pPr>
          <w:hyperlink w:anchor="_Toc80363229" w:history="1">
            <w:r w:rsidR="00A96301" w:rsidRPr="00E718DF">
              <w:rPr>
                <w:rStyle w:val="Hyperlink"/>
                <w:rFonts w:eastAsiaTheme="majorEastAsia"/>
                <w:noProof/>
              </w:rPr>
              <w:t>Contract management</w:t>
            </w:r>
            <w:r w:rsidR="00A96301">
              <w:rPr>
                <w:noProof/>
                <w:webHidden/>
              </w:rPr>
              <w:tab/>
            </w:r>
            <w:r w:rsidR="00A96301">
              <w:rPr>
                <w:noProof/>
                <w:webHidden/>
              </w:rPr>
              <w:fldChar w:fldCharType="begin"/>
            </w:r>
            <w:r w:rsidR="00A96301">
              <w:rPr>
                <w:noProof/>
                <w:webHidden/>
              </w:rPr>
              <w:instrText xml:space="preserve"> PAGEREF _Toc80363229 \h </w:instrText>
            </w:r>
            <w:r w:rsidR="00A96301">
              <w:rPr>
                <w:noProof/>
                <w:webHidden/>
              </w:rPr>
            </w:r>
            <w:r w:rsidR="00A96301">
              <w:rPr>
                <w:noProof/>
                <w:webHidden/>
              </w:rPr>
              <w:fldChar w:fldCharType="separate"/>
            </w:r>
            <w:r w:rsidR="00253B76">
              <w:rPr>
                <w:noProof/>
                <w:webHidden/>
              </w:rPr>
              <w:t>14</w:t>
            </w:r>
            <w:r w:rsidR="00A96301">
              <w:rPr>
                <w:noProof/>
                <w:webHidden/>
              </w:rPr>
              <w:fldChar w:fldCharType="end"/>
            </w:r>
          </w:hyperlink>
        </w:p>
        <w:p w14:paraId="251407FB" w14:textId="5BECE4D8" w:rsidR="00A96301" w:rsidRDefault="00E1028F">
          <w:pPr>
            <w:pStyle w:val="TOC1"/>
            <w:rPr>
              <w:rFonts w:asciiTheme="minorHAnsi" w:eastAsiaTheme="minorEastAsia" w:hAnsiTheme="minorHAnsi" w:cstheme="minorBidi"/>
              <w:b w:val="0"/>
              <w:bCs w:val="0"/>
              <w:noProof/>
              <w:color w:val="auto"/>
              <w:szCs w:val="22"/>
            </w:rPr>
          </w:pPr>
          <w:hyperlink w:anchor="_Toc80363230" w:history="1">
            <w:r w:rsidR="00A96301" w:rsidRPr="00E718DF">
              <w:rPr>
                <w:rStyle w:val="Hyperlink"/>
                <w:rFonts w:eastAsiaTheme="majorEastAsia"/>
                <w:noProof/>
              </w:rPr>
              <w:t>Learning</w:t>
            </w:r>
            <w:r w:rsidR="00A96301">
              <w:rPr>
                <w:noProof/>
                <w:webHidden/>
              </w:rPr>
              <w:tab/>
            </w:r>
            <w:r w:rsidR="00A96301">
              <w:rPr>
                <w:noProof/>
                <w:webHidden/>
              </w:rPr>
              <w:fldChar w:fldCharType="begin"/>
            </w:r>
            <w:r w:rsidR="00A96301">
              <w:rPr>
                <w:noProof/>
                <w:webHidden/>
              </w:rPr>
              <w:instrText xml:space="preserve"> PAGEREF _Toc80363230 \h </w:instrText>
            </w:r>
            <w:r w:rsidR="00A96301">
              <w:rPr>
                <w:noProof/>
                <w:webHidden/>
              </w:rPr>
            </w:r>
            <w:r w:rsidR="00A96301">
              <w:rPr>
                <w:noProof/>
                <w:webHidden/>
              </w:rPr>
              <w:fldChar w:fldCharType="separate"/>
            </w:r>
            <w:r w:rsidR="00253B76">
              <w:rPr>
                <w:noProof/>
                <w:webHidden/>
              </w:rPr>
              <w:t>14</w:t>
            </w:r>
            <w:r w:rsidR="00A96301">
              <w:rPr>
                <w:noProof/>
                <w:webHidden/>
              </w:rPr>
              <w:fldChar w:fldCharType="end"/>
            </w:r>
          </w:hyperlink>
        </w:p>
        <w:p w14:paraId="0C82DF56" w14:textId="5E85003B" w:rsidR="00A96301" w:rsidRDefault="00E1028F">
          <w:pPr>
            <w:pStyle w:val="TOC1"/>
            <w:rPr>
              <w:rFonts w:asciiTheme="minorHAnsi" w:eastAsiaTheme="minorEastAsia" w:hAnsiTheme="minorHAnsi" w:cstheme="minorBidi"/>
              <w:b w:val="0"/>
              <w:bCs w:val="0"/>
              <w:noProof/>
              <w:color w:val="auto"/>
              <w:szCs w:val="22"/>
            </w:rPr>
          </w:pPr>
          <w:hyperlink w:anchor="_Toc80363231" w:history="1">
            <w:r w:rsidR="00A96301" w:rsidRPr="00E718DF">
              <w:rPr>
                <w:rStyle w:val="Hyperlink"/>
                <w:rFonts w:eastAsiaTheme="majorEastAsia"/>
                <w:noProof/>
              </w:rPr>
              <w:t>Appendix 1</w:t>
            </w:r>
            <w:r w:rsidR="00A96301">
              <w:rPr>
                <w:noProof/>
                <w:webHidden/>
              </w:rPr>
              <w:tab/>
            </w:r>
            <w:r w:rsidR="00A96301">
              <w:rPr>
                <w:noProof/>
                <w:webHidden/>
              </w:rPr>
              <w:fldChar w:fldCharType="begin"/>
            </w:r>
            <w:r w:rsidR="00A96301">
              <w:rPr>
                <w:noProof/>
                <w:webHidden/>
              </w:rPr>
              <w:instrText xml:space="preserve"> PAGEREF _Toc80363231 \h </w:instrText>
            </w:r>
            <w:r w:rsidR="00A96301">
              <w:rPr>
                <w:noProof/>
                <w:webHidden/>
              </w:rPr>
            </w:r>
            <w:r w:rsidR="00A96301">
              <w:rPr>
                <w:noProof/>
                <w:webHidden/>
              </w:rPr>
              <w:fldChar w:fldCharType="separate"/>
            </w:r>
            <w:r w:rsidR="00253B76">
              <w:rPr>
                <w:noProof/>
                <w:webHidden/>
              </w:rPr>
              <w:t>15</w:t>
            </w:r>
            <w:r w:rsidR="00A96301">
              <w:rPr>
                <w:noProof/>
                <w:webHidden/>
              </w:rPr>
              <w:fldChar w:fldCharType="end"/>
            </w:r>
          </w:hyperlink>
        </w:p>
        <w:p w14:paraId="13BE8DBC" w14:textId="14D637A2" w:rsidR="00A96301" w:rsidRDefault="00E1028F">
          <w:pPr>
            <w:pStyle w:val="TOC1"/>
            <w:rPr>
              <w:rFonts w:asciiTheme="minorHAnsi" w:eastAsiaTheme="minorEastAsia" w:hAnsiTheme="minorHAnsi" w:cstheme="minorBidi"/>
              <w:b w:val="0"/>
              <w:bCs w:val="0"/>
              <w:noProof/>
              <w:color w:val="auto"/>
              <w:szCs w:val="22"/>
            </w:rPr>
          </w:pPr>
          <w:hyperlink w:anchor="_Toc80363232" w:history="1">
            <w:r w:rsidR="00A96301" w:rsidRPr="00E718DF">
              <w:rPr>
                <w:rStyle w:val="Hyperlink"/>
                <w:rFonts w:eastAsiaTheme="majorEastAsia"/>
                <w:noProof/>
              </w:rPr>
              <w:t>Appendix 2</w:t>
            </w:r>
            <w:r w:rsidR="00A96301">
              <w:rPr>
                <w:noProof/>
                <w:webHidden/>
              </w:rPr>
              <w:tab/>
            </w:r>
            <w:r w:rsidR="00A96301">
              <w:rPr>
                <w:noProof/>
                <w:webHidden/>
              </w:rPr>
              <w:fldChar w:fldCharType="begin"/>
            </w:r>
            <w:r w:rsidR="00A96301">
              <w:rPr>
                <w:noProof/>
                <w:webHidden/>
              </w:rPr>
              <w:instrText xml:space="preserve"> PAGEREF _Toc80363232 \h </w:instrText>
            </w:r>
            <w:r w:rsidR="00A96301">
              <w:rPr>
                <w:noProof/>
                <w:webHidden/>
              </w:rPr>
            </w:r>
            <w:r w:rsidR="00A96301">
              <w:rPr>
                <w:noProof/>
                <w:webHidden/>
              </w:rPr>
              <w:fldChar w:fldCharType="separate"/>
            </w:r>
            <w:r w:rsidR="00253B76">
              <w:rPr>
                <w:noProof/>
                <w:webHidden/>
              </w:rPr>
              <w:t>17</w:t>
            </w:r>
            <w:r w:rsidR="00A96301">
              <w:rPr>
                <w:noProof/>
                <w:webHidden/>
              </w:rPr>
              <w:fldChar w:fldCharType="end"/>
            </w:r>
          </w:hyperlink>
        </w:p>
        <w:p w14:paraId="10500E36" w14:textId="046FBB27" w:rsidR="00A96301" w:rsidRDefault="00E1028F">
          <w:pPr>
            <w:pStyle w:val="TOC1"/>
            <w:rPr>
              <w:rFonts w:asciiTheme="minorHAnsi" w:eastAsiaTheme="minorEastAsia" w:hAnsiTheme="minorHAnsi" w:cstheme="minorBidi"/>
              <w:b w:val="0"/>
              <w:bCs w:val="0"/>
              <w:noProof/>
              <w:color w:val="auto"/>
              <w:szCs w:val="22"/>
            </w:rPr>
          </w:pPr>
          <w:hyperlink w:anchor="_Toc80363233" w:history="1">
            <w:r w:rsidR="00A96301" w:rsidRPr="00E718DF">
              <w:rPr>
                <w:rStyle w:val="Hyperlink"/>
                <w:rFonts w:eastAsiaTheme="majorEastAsia"/>
                <w:noProof/>
              </w:rPr>
              <w:t>Appendix 3 – Total Cost of Ownership</w:t>
            </w:r>
            <w:r w:rsidR="00A96301">
              <w:rPr>
                <w:noProof/>
                <w:webHidden/>
              </w:rPr>
              <w:tab/>
            </w:r>
            <w:r w:rsidR="00A96301">
              <w:rPr>
                <w:noProof/>
                <w:webHidden/>
              </w:rPr>
              <w:fldChar w:fldCharType="begin"/>
            </w:r>
            <w:r w:rsidR="00A96301">
              <w:rPr>
                <w:noProof/>
                <w:webHidden/>
              </w:rPr>
              <w:instrText xml:space="preserve"> PAGEREF _Toc80363233 \h </w:instrText>
            </w:r>
            <w:r w:rsidR="00A96301">
              <w:rPr>
                <w:noProof/>
                <w:webHidden/>
              </w:rPr>
            </w:r>
            <w:r w:rsidR="00A96301">
              <w:rPr>
                <w:noProof/>
                <w:webHidden/>
              </w:rPr>
              <w:fldChar w:fldCharType="separate"/>
            </w:r>
            <w:r w:rsidR="00253B76">
              <w:rPr>
                <w:noProof/>
                <w:webHidden/>
              </w:rPr>
              <w:t>19</w:t>
            </w:r>
            <w:r w:rsidR="00A96301">
              <w:rPr>
                <w:noProof/>
                <w:webHidden/>
              </w:rPr>
              <w:fldChar w:fldCharType="end"/>
            </w:r>
          </w:hyperlink>
        </w:p>
        <w:p w14:paraId="6A3DE7D6" w14:textId="2DDCEE2B" w:rsidR="00A96301" w:rsidRDefault="00E1028F">
          <w:pPr>
            <w:pStyle w:val="TOC2"/>
            <w:rPr>
              <w:rFonts w:asciiTheme="minorHAnsi" w:eastAsiaTheme="minorEastAsia" w:hAnsiTheme="minorHAnsi" w:cstheme="minorBidi"/>
              <w:b w:val="0"/>
              <w:bCs w:val="0"/>
              <w:noProof/>
              <w:color w:val="auto"/>
              <w:szCs w:val="22"/>
            </w:rPr>
          </w:pPr>
          <w:hyperlink w:anchor="_Toc80363234" w:history="1">
            <w:r w:rsidR="00A96301" w:rsidRPr="00E718DF">
              <w:rPr>
                <w:rStyle w:val="Hyperlink"/>
                <w:rFonts w:eastAsiaTheme="majorEastAsia"/>
                <w:noProof/>
              </w:rPr>
              <w:t>Direct and indirect expenses</w:t>
            </w:r>
            <w:r w:rsidR="00A96301">
              <w:rPr>
                <w:noProof/>
                <w:webHidden/>
              </w:rPr>
              <w:tab/>
            </w:r>
            <w:r w:rsidR="00A96301">
              <w:rPr>
                <w:noProof/>
                <w:webHidden/>
              </w:rPr>
              <w:fldChar w:fldCharType="begin"/>
            </w:r>
            <w:r w:rsidR="00A96301">
              <w:rPr>
                <w:noProof/>
                <w:webHidden/>
              </w:rPr>
              <w:instrText xml:space="preserve"> PAGEREF _Toc80363234 \h </w:instrText>
            </w:r>
            <w:r w:rsidR="00A96301">
              <w:rPr>
                <w:noProof/>
                <w:webHidden/>
              </w:rPr>
            </w:r>
            <w:r w:rsidR="00A96301">
              <w:rPr>
                <w:noProof/>
                <w:webHidden/>
              </w:rPr>
              <w:fldChar w:fldCharType="separate"/>
            </w:r>
            <w:r w:rsidR="00253B76">
              <w:rPr>
                <w:noProof/>
                <w:webHidden/>
              </w:rPr>
              <w:t>19</w:t>
            </w:r>
            <w:r w:rsidR="00A96301">
              <w:rPr>
                <w:noProof/>
                <w:webHidden/>
              </w:rPr>
              <w:fldChar w:fldCharType="end"/>
            </w:r>
          </w:hyperlink>
        </w:p>
        <w:p w14:paraId="4C33541E" w14:textId="63F3DBC0" w:rsidR="00AF3B54" w:rsidRDefault="00AF3B54" w:rsidP="00AF3B54">
          <w:pPr>
            <w:pStyle w:val="TOC1"/>
            <w:rPr>
              <w:rFonts w:cs="Times New Roman"/>
              <w:noProof/>
              <w:color w:val="auto"/>
              <w:szCs w:val="24"/>
              <w:lang w:eastAsia="en-US"/>
            </w:rPr>
          </w:pPr>
          <w:r>
            <w:rPr>
              <w:noProof/>
            </w:rPr>
            <w:fldChar w:fldCharType="end"/>
          </w:r>
        </w:p>
      </w:sdtContent>
    </w:sdt>
    <w:p w14:paraId="6EDB165B" w14:textId="682EEFC4" w:rsidR="00AF3B54" w:rsidRDefault="00AF3B54">
      <w:pPr>
        <w:spacing w:line="259" w:lineRule="auto"/>
      </w:pPr>
      <w:r>
        <w:br w:type="page"/>
      </w:r>
    </w:p>
    <w:p w14:paraId="0D9C609A" w14:textId="77777777" w:rsidR="00AF3B54" w:rsidRDefault="00AF3B54" w:rsidP="00AF3B54">
      <w:pPr>
        <w:pStyle w:val="Heading1"/>
      </w:pPr>
      <w:bookmarkStart w:id="7" w:name="_Toc80363210"/>
      <w:r>
        <w:lastRenderedPageBreak/>
        <w:t>Introduction</w:t>
      </w:r>
      <w:bookmarkEnd w:id="7"/>
    </w:p>
    <w:p w14:paraId="43329A02" w14:textId="77777777" w:rsidR="00AF3B54" w:rsidRPr="00C33BDC" w:rsidRDefault="00AF3B54" w:rsidP="00AF3B54">
      <w:pPr>
        <w:rPr>
          <w:sz w:val="22"/>
        </w:rPr>
      </w:pPr>
      <w:r w:rsidRPr="00C33BDC">
        <w:rPr>
          <w:sz w:val="22"/>
        </w:rPr>
        <w:t>Every year the Queensland Government spends billions of dollars on a wide range of goods and services to support the delivery of frontline services for Queenslanders.</w:t>
      </w:r>
    </w:p>
    <w:p w14:paraId="074B230F" w14:textId="77777777" w:rsidR="00AF3B54" w:rsidRPr="00C33BDC" w:rsidRDefault="00AF3B54" w:rsidP="00AF3B54">
      <w:pPr>
        <w:rPr>
          <w:sz w:val="22"/>
        </w:rPr>
      </w:pPr>
      <w:r w:rsidRPr="00C33BDC">
        <w:rPr>
          <w:sz w:val="22"/>
        </w:rPr>
        <w:t>This means that the procurement activities of the Queensland Government have a significant impact on local communities and the services delivered to them throughout Queensland.</w:t>
      </w:r>
    </w:p>
    <w:p w14:paraId="688CB23D" w14:textId="77777777" w:rsidR="00AF3B54" w:rsidRDefault="00AF3B54" w:rsidP="00AF3B54">
      <w:pPr>
        <w:pStyle w:val="Heading2"/>
      </w:pPr>
      <w:bookmarkStart w:id="8" w:name="_Toc514843893"/>
      <w:bookmarkStart w:id="9" w:name="_Toc80363211"/>
      <w:r>
        <w:t>Purpose of this guide</w:t>
      </w:r>
      <w:bookmarkEnd w:id="8"/>
      <w:bookmarkEnd w:id="9"/>
    </w:p>
    <w:p w14:paraId="789ECC69" w14:textId="77777777" w:rsidR="00AF3B54" w:rsidRPr="00C33BDC" w:rsidRDefault="00AF3B54" w:rsidP="00AF3B54">
      <w:pPr>
        <w:rPr>
          <w:sz w:val="22"/>
        </w:rPr>
      </w:pPr>
      <w:r w:rsidRPr="00C33BDC">
        <w:rPr>
          <w:sz w:val="22"/>
        </w:rPr>
        <w:t>This guide provides some practical hints and tips for government buyers to optimise value for money. It equips government buyers and decision makers with the information they need to consider all the components that define value for money when procuring goods and services.</w:t>
      </w:r>
      <w:r w:rsidRPr="00C33BDC">
        <w:rPr>
          <w:sz w:val="22"/>
        </w:rPr>
        <w:br/>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487"/>
      </w:tblGrid>
      <w:tr w:rsidR="00AF3B54" w:rsidRPr="007B3B28" w14:paraId="3B2F1567" w14:textId="77777777" w:rsidTr="00C33BDC">
        <w:trPr>
          <w:trHeight w:val="330"/>
        </w:trPr>
        <w:tc>
          <w:tcPr>
            <w:tcW w:w="9628" w:type="dxa"/>
            <w:shd w:val="clear" w:color="auto" w:fill="808080" w:themeFill="background1" w:themeFillShade="80"/>
          </w:tcPr>
          <w:p w14:paraId="50828B84" w14:textId="12D7681D" w:rsidR="00AF3B54" w:rsidRPr="00043150" w:rsidRDefault="00AF3B54" w:rsidP="00C33BDC">
            <w:pPr>
              <w:pStyle w:val="Heading2"/>
              <w:outlineLvl w:val="1"/>
              <w:rPr>
                <w:rFonts w:ascii="Calibri" w:eastAsia="Calibri" w:hAnsi="Calibri" w:cs="Arial"/>
                <w:szCs w:val="22"/>
              </w:rPr>
            </w:pPr>
            <w:bookmarkStart w:id="10" w:name="_Toc494365921"/>
            <w:bookmarkStart w:id="11" w:name="_Toc514843894"/>
            <w:bookmarkStart w:id="12" w:name="_Toc80363212"/>
            <w:bookmarkStart w:id="13" w:name="_Hlk494372329"/>
            <w:bookmarkStart w:id="14" w:name="_Toc491873068"/>
            <w:r w:rsidRPr="00C33BDC">
              <w:rPr>
                <w:b/>
                <w:bCs/>
                <w:color w:val="FFFFFF" w:themeColor="background1"/>
                <w:sz w:val="22"/>
                <w:szCs w:val="24"/>
              </w:rPr>
              <w:t>Guidance to support the Queensland Government Procurement Strategy</w:t>
            </w:r>
            <w:bookmarkEnd w:id="10"/>
            <w:bookmarkEnd w:id="11"/>
            <w:bookmarkEnd w:id="12"/>
          </w:p>
        </w:tc>
      </w:tr>
      <w:tr w:rsidR="00C33BDC" w:rsidRPr="007B3B28" w14:paraId="19B5454E" w14:textId="77777777" w:rsidTr="00C33BDC">
        <w:trPr>
          <w:trHeight w:val="2179"/>
        </w:trPr>
        <w:tc>
          <w:tcPr>
            <w:tcW w:w="9628" w:type="dxa"/>
            <w:shd w:val="clear" w:color="auto" w:fill="D9D9D9" w:themeFill="background1" w:themeFillShade="D9"/>
          </w:tcPr>
          <w:p w14:paraId="26145DDD" w14:textId="77777777" w:rsidR="00C33BDC" w:rsidRPr="003E1226" w:rsidRDefault="00C33BDC" w:rsidP="00C33BDC">
            <w:pPr>
              <w:spacing w:after="120"/>
            </w:pPr>
            <w:r w:rsidRPr="003E1226">
              <w:t>To support the Queensland Government Procurement Strategy</w:t>
            </w:r>
            <w:r>
              <w:t xml:space="preserve"> – </w:t>
            </w:r>
            <w:r w:rsidRPr="00C85AE6">
              <w:rPr>
                <w:i/>
              </w:rPr>
              <w:t>Backing Queensland Jobs</w:t>
            </w:r>
            <w:r w:rsidRPr="003E1226">
              <w:t xml:space="preserve">, </w:t>
            </w:r>
            <w:r>
              <w:t>Queensland Government</w:t>
            </w:r>
            <w:r w:rsidRPr="003E1226">
              <w:t xml:space="preserve"> Procurement, has released a range of guidance materials. These guides should be read together. </w:t>
            </w:r>
            <w:r>
              <w:t>They include</w:t>
            </w:r>
            <w:r w:rsidRPr="003E1226">
              <w:t>:</w:t>
            </w:r>
          </w:p>
          <w:p w14:paraId="7661BDC0" w14:textId="77777777" w:rsidR="00C33BDC" w:rsidRPr="003E1226" w:rsidRDefault="00C33BDC" w:rsidP="00C33BDC">
            <w:pPr>
              <w:numPr>
                <w:ilvl w:val="0"/>
                <w:numId w:val="53"/>
              </w:numPr>
              <w:spacing w:before="180" w:after="180" w:line="276" w:lineRule="auto"/>
              <w:contextualSpacing/>
              <w:rPr>
                <w:rFonts w:ascii="Calibri" w:eastAsia="Calibri" w:hAnsi="Calibri"/>
              </w:rPr>
            </w:pPr>
            <w:r w:rsidRPr="003E1226">
              <w:rPr>
                <w:rFonts w:eastAsia="Calibri"/>
              </w:rPr>
              <w:t>Putting Queenslanders first when securing value for money</w:t>
            </w:r>
          </w:p>
          <w:p w14:paraId="1EB9601E" w14:textId="77777777" w:rsidR="00C33BDC" w:rsidRPr="003E1226" w:rsidRDefault="00C33BDC" w:rsidP="00C33BDC">
            <w:pPr>
              <w:numPr>
                <w:ilvl w:val="0"/>
                <w:numId w:val="53"/>
              </w:numPr>
              <w:spacing w:before="180" w:after="180" w:line="276" w:lineRule="auto"/>
              <w:contextualSpacing/>
              <w:rPr>
                <w:rFonts w:ascii="Calibri" w:eastAsia="Calibri" w:hAnsi="Calibri"/>
              </w:rPr>
            </w:pPr>
            <w:r w:rsidRPr="003E1226">
              <w:rPr>
                <w:rFonts w:eastAsia="Calibri"/>
              </w:rPr>
              <w:t>Probity and integrity in procurement</w:t>
            </w:r>
          </w:p>
          <w:p w14:paraId="48A931FE" w14:textId="77777777" w:rsidR="00C33BDC" w:rsidRPr="003E1226" w:rsidRDefault="00C33BDC" w:rsidP="00C33BDC">
            <w:pPr>
              <w:numPr>
                <w:ilvl w:val="0"/>
                <w:numId w:val="53"/>
              </w:numPr>
              <w:spacing w:before="180" w:after="180" w:line="276" w:lineRule="auto"/>
              <w:contextualSpacing/>
              <w:rPr>
                <w:rFonts w:ascii="Calibri" w:eastAsia="Calibri" w:hAnsi="Calibri"/>
              </w:rPr>
            </w:pPr>
            <w:r w:rsidRPr="003E1226">
              <w:rPr>
                <w:rFonts w:eastAsia="Calibri"/>
              </w:rPr>
              <w:t>Optimising opportunities for local suppliers</w:t>
            </w:r>
          </w:p>
          <w:p w14:paraId="57880F06" w14:textId="1DEFC7F9" w:rsidR="00C33BDC" w:rsidRPr="00C33BDC" w:rsidRDefault="00C33BDC" w:rsidP="00C33BDC">
            <w:pPr>
              <w:numPr>
                <w:ilvl w:val="0"/>
                <w:numId w:val="53"/>
              </w:numPr>
              <w:spacing w:before="180" w:after="180" w:line="276" w:lineRule="auto"/>
              <w:ind w:left="714" w:hanging="357"/>
              <w:contextualSpacing/>
              <w:rPr>
                <w:b/>
                <w:bCs/>
                <w:sz w:val="22"/>
              </w:rPr>
            </w:pPr>
            <w:r w:rsidRPr="003E1226">
              <w:rPr>
                <w:rFonts w:eastAsia="Calibri"/>
              </w:rPr>
              <w:t>Local benefits test.</w:t>
            </w:r>
          </w:p>
        </w:tc>
      </w:tr>
    </w:tbl>
    <w:p w14:paraId="1854F114" w14:textId="77777777" w:rsidR="00AF3B54" w:rsidRDefault="00AF3B54" w:rsidP="00C33BDC">
      <w:pPr>
        <w:pStyle w:val="Heading2"/>
        <w:spacing w:before="240"/>
      </w:pPr>
      <w:bookmarkStart w:id="15" w:name="_Toc491873069"/>
      <w:bookmarkStart w:id="16" w:name="_Toc514843895"/>
      <w:bookmarkStart w:id="17" w:name="_Toc80363213"/>
      <w:bookmarkEnd w:id="13"/>
      <w:bookmarkEnd w:id="14"/>
      <w:r>
        <w:t>The Queensland Procurement Policy</w:t>
      </w:r>
      <w:bookmarkEnd w:id="15"/>
      <w:bookmarkEnd w:id="16"/>
      <w:bookmarkEnd w:id="17"/>
    </w:p>
    <w:p w14:paraId="0DB14BE2" w14:textId="77777777" w:rsidR="00AF3B54" w:rsidRPr="00C33BDC" w:rsidRDefault="00AF3B54" w:rsidP="00AF3B54">
      <w:pPr>
        <w:rPr>
          <w:sz w:val="22"/>
        </w:rPr>
      </w:pPr>
      <w:r w:rsidRPr="00C33BDC">
        <w:rPr>
          <w:sz w:val="22"/>
        </w:rPr>
        <w:t>Value for money is the primary principle of the Queensland Procurement Policy (QPP).</w:t>
      </w:r>
    </w:p>
    <w:p w14:paraId="65B8D8BE" w14:textId="77777777" w:rsidR="00AF3B54" w:rsidRPr="00C33BDC" w:rsidRDefault="00AF3B54" w:rsidP="00AF3B54">
      <w:pPr>
        <w:spacing w:after="120"/>
        <w:rPr>
          <w:sz w:val="22"/>
        </w:rPr>
      </w:pPr>
      <w:r w:rsidRPr="00C33BDC">
        <w:rPr>
          <w:rFonts w:cs="Arial"/>
          <w:sz w:val="22"/>
        </w:rPr>
        <w:t>Under this principle the Queensland Government is committed to:</w:t>
      </w:r>
    </w:p>
    <w:p w14:paraId="7F5FE156" w14:textId="77777777" w:rsidR="00AF3B54" w:rsidRPr="00C33BDC" w:rsidRDefault="00AF3B54" w:rsidP="00AF3B54">
      <w:pPr>
        <w:pStyle w:val="ListParagraph"/>
        <w:numPr>
          <w:ilvl w:val="0"/>
          <w:numId w:val="39"/>
        </w:numPr>
        <w:spacing w:before="180" w:line="240" w:lineRule="auto"/>
        <w:ind w:left="851" w:hanging="567"/>
        <w:rPr>
          <w:sz w:val="22"/>
          <w:lang w:eastAsia="en-AU"/>
        </w:rPr>
      </w:pPr>
      <w:r w:rsidRPr="00C33BDC">
        <w:rPr>
          <w:rFonts w:cs="Arial"/>
          <w:sz w:val="22"/>
        </w:rPr>
        <w:t>pursuing government targets through procurement</w:t>
      </w:r>
    </w:p>
    <w:p w14:paraId="1C54AB29" w14:textId="77777777" w:rsidR="00AF3B54" w:rsidRPr="00C33BDC" w:rsidRDefault="00AF3B54" w:rsidP="00AF3B54">
      <w:pPr>
        <w:pStyle w:val="ListParagraph"/>
        <w:numPr>
          <w:ilvl w:val="0"/>
          <w:numId w:val="39"/>
        </w:numPr>
        <w:spacing w:before="180" w:line="240" w:lineRule="auto"/>
        <w:ind w:left="851" w:hanging="567"/>
        <w:rPr>
          <w:sz w:val="22"/>
          <w:lang w:eastAsia="en-AU"/>
        </w:rPr>
      </w:pPr>
      <w:r w:rsidRPr="00C33BDC">
        <w:rPr>
          <w:rFonts w:cs="Arial"/>
          <w:sz w:val="22"/>
        </w:rPr>
        <w:t>selecting the option that provides best value for money outcomes, pursuing economic, environmental and social objectives as well as price</w:t>
      </w:r>
    </w:p>
    <w:p w14:paraId="773714BD" w14:textId="77777777" w:rsidR="00AF3B54" w:rsidRPr="00C33BDC" w:rsidRDefault="00AF3B54" w:rsidP="00AF3B54">
      <w:pPr>
        <w:pStyle w:val="ListParagraph"/>
        <w:numPr>
          <w:ilvl w:val="0"/>
          <w:numId w:val="39"/>
        </w:numPr>
        <w:spacing w:before="180" w:line="240" w:lineRule="auto"/>
        <w:ind w:left="851" w:hanging="567"/>
        <w:rPr>
          <w:sz w:val="22"/>
          <w:lang w:eastAsia="en-AU"/>
        </w:rPr>
      </w:pPr>
      <w:r w:rsidRPr="00C33BDC">
        <w:rPr>
          <w:rFonts w:cs="Arial"/>
          <w:sz w:val="22"/>
        </w:rPr>
        <w:t>deploying the most appropriate strategies to deliver the best procurement outcomes.</w:t>
      </w:r>
    </w:p>
    <w:p w14:paraId="1723967E" w14:textId="77777777" w:rsidR="00AF3B54" w:rsidRPr="002235D1" w:rsidRDefault="00AF3B54" w:rsidP="00C33BDC">
      <w:pPr>
        <w:pStyle w:val="Heading1"/>
      </w:pPr>
      <w:bookmarkStart w:id="18" w:name="_Toc491873070"/>
      <w:bookmarkStart w:id="19" w:name="_Toc514843896"/>
      <w:bookmarkStart w:id="20" w:name="_Toc80363214"/>
      <w:r w:rsidRPr="002235D1">
        <w:t>What is value for money under the QPP?</w:t>
      </w:r>
      <w:bookmarkEnd w:id="18"/>
      <w:bookmarkEnd w:id="19"/>
      <w:bookmarkEnd w:id="20"/>
    </w:p>
    <w:p w14:paraId="4B510EC1" w14:textId="77777777" w:rsidR="00AF3B54" w:rsidRPr="00C33BDC" w:rsidRDefault="00AF3B54" w:rsidP="00AF3B54">
      <w:pPr>
        <w:rPr>
          <w:sz w:val="22"/>
        </w:rPr>
      </w:pPr>
      <w:r w:rsidRPr="00C33BDC">
        <w:rPr>
          <w:b/>
          <w:sz w:val="22"/>
        </w:rPr>
        <w:t>Value for money is more than just lowest price</w:t>
      </w:r>
      <w:r w:rsidRPr="00C33BDC">
        <w:rPr>
          <w:sz w:val="22"/>
        </w:rPr>
        <w:t>. At its simplest, value for money involves an assessment of the total benefits and costs provided by a procurement.</w:t>
      </w:r>
    </w:p>
    <w:p w14:paraId="7FAFD7AE" w14:textId="77777777" w:rsidR="00AF3B54" w:rsidRPr="00C33BDC" w:rsidRDefault="00AF3B54" w:rsidP="00AF3B54">
      <w:pPr>
        <w:spacing w:after="120"/>
        <w:rPr>
          <w:b/>
          <w:sz w:val="22"/>
        </w:rPr>
      </w:pPr>
      <w:r w:rsidRPr="00C33BDC">
        <w:rPr>
          <w:sz w:val="22"/>
        </w:rPr>
        <w:t>Under the framework provided by the QPP, the following factors are to be addressed as part of the value for money assessment:</w:t>
      </w:r>
    </w:p>
    <w:p w14:paraId="17F218B0" w14:textId="77777777" w:rsidR="00AF3B54" w:rsidRPr="00C33BDC" w:rsidRDefault="00AF3B54" w:rsidP="00AF3B54">
      <w:pPr>
        <w:pStyle w:val="ListParagraph"/>
        <w:numPr>
          <w:ilvl w:val="0"/>
          <w:numId w:val="50"/>
        </w:numPr>
        <w:spacing w:before="180" w:line="240" w:lineRule="auto"/>
        <w:ind w:left="714" w:hanging="357"/>
        <w:rPr>
          <w:rFonts w:cs="Arial"/>
          <w:sz w:val="22"/>
        </w:rPr>
      </w:pPr>
      <w:r w:rsidRPr="00C33BDC">
        <w:rPr>
          <w:rFonts w:cs="Arial"/>
          <w:sz w:val="22"/>
        </w:rPr>
        <w:t>advancing relevant government objectives and the outcome being sought</w:t>
      </w:r>
    </w:p>
    <w:p w14:paraId="3DA9CFC2" w14:textId="77777777" w:rsidR="00AF3B54" w:rsidRPr="00C33BDC" w:rsidRDefault="00AF3B54" w:rsidP="00AF3B54">
      <w:pPr>
        <w:pStyle w:val="ListParagraph"/>
        <w:numPr>
          <w:ilvl w:val="0"/>
          <w:numId w:val="50"/>
        </w:numPr>
        <w:spacing w:before="180" w:line="240" w:lineRule="auto"/>
        <w:ind w:left="714" w:hanging="357"/>
        <w:rPr>
          <w:rFonts w:cs="Arial"/>
          <w:sz w:val="22"/>
        </w:rPr>
      </w:pPr>
      <w:r w:rsidRPr="00C33BDC">
        <w:rPr>
          <w:rFonts w:cs="Arial"/>
          <w:sz w:val="22"/>
        </w:rPr>
        <w:t>cost related factors including up-front price, whole-of-life costs and transaction costs associated with acquisition, use, holding, maintenance and disposal</w:t>
      </w:r>
    </w:p>
    <w:p w14:paraId="36942BAE" w14:textId="77777777" w:rsidR="00AF3B54" w:rsidRPr="00C33BDC" w:rsidRDefault="00AF3B54" w:rsidP="00AF3B54">
      <w:pPr>
        <w:pStyle w:val="ListParagraph"/>
        <w:numPr>
          <w:ilvl w:val="0"/>
          <w:numId w:val="50"/>
        </w:numPr>
        <w:spacing w:before="180" w:line="240" w:lineRule="auto"/>
        <w:ind w:left="714" w:hanging="357"/>
        <w:rPr>
          <w:rFonts w:cs="Arial"/>
          <w:sz w:val="22"/>
        </w:rPr>
      </w:pPr>
      <w:r w:rsidRPr="00C33BDC">
        <w:rPr>
          <w:rFonts w:cs="Arial"/>
          <w:sz w:val="22"/>
        </w:rPr>
        <w:t>non-cost factors such as fitness for purpose, quality, delivery, service and support.</w:t>
      </w:r>
    </w:p>
    <w:p w14:paraId="1111306F" w14:textId="77777777" w:rsidR="00AF3B54" w:rsidRDefault="00AF3B54" w:rsidP="00AF3B54">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3"/>
      </w:tblGrid>
      <w:tr w:rsidR="00AF3B54" w:rsidRPr="00AF3B54" w14:paraId="327470D2" w14:textId="77777777" w:rsidTr="00AF3B54">
        <w:trPr>
          <w:trHeight w:val="977"/>
        </w:trPr>
        <w:tc>
          <w:tcPr>
            <w:tcW w:w="10183" w:type="dxa"/>
          </w:tcPr>
          <w:p w14:paraId="5B7BD1CA" w14:textId="77777777" w:rsidR="00AF3B54" w:rsidRPr="00401DD3" w:rsidRDefault="00AF3B54" w:rsidP="00AF3B54">
            <w:pPr>
              <w:pStyle w:val="Pa1"/>
              <w:spacing w:after="240"/>
              <w:rPr>
                <w:rFonts w:ascii="Arial" w:hAnsi="Arial" w:cs="Arial"/>
                <w:color w:val="000000"/>
                <w:sz w:val="22"/>
                <w:szCs w:val="22"/>
              </w:rPr>
            </w:pPr>
            <w:r w:rsidRPr="00AF3B54">
              <w:rPr>
                <w:rFonts w:ascii="Arial" w:hAnsi="Arial" w:cs="Arial"/>
                <w:color w:val="000000"/>
                <w:sz w:val="22"/>
                <w:szCs w:val="22"/>
              </w:rPr>
              <w:lastRenderedPageBreak/>
              <w:t xml:space="preserve">For major projects of $100 million and above and declared projects, the value of money assessment must also include application of all the following best practice principles: </w:t>
            </w:r>
          </w:p>
          <w:p w14:paraId="382C0674" w14:textId="77777777" w:rsidR="00AF3B54" w:rsidRPr="00401DD3" w:rsidRDefault="00AF3B54" w:rsidP="00AF3B54">
            <w:pPr>
              <w:pStyle w:val="Pa18"/>
              <w:numPr>
                <w:ilvl w:val="1"/>
                <w:numId w:val="58"/>
              </w:numPr>
              <w:spacing w:after="100"/>
              <w:ind w:left="709" w:hanging="425"/>
              <w:rPr>
                <w:rFonts w:ascii="Arial" w:hAnsi="Arial" w:cs="Arial"/>
                <w:color w:val="000000"/>
                <w:sz w:val="22"/>
                <w:szCs w:val="22"/>
              </w:rPr>
            </w:pPr>
            <w:r w:rsidRPr="00401DD3">
              <w:rPr>
                <w:rFonts w:ascii="Arial" w:hAnsi="Arial" w:cs="Arial"/>
                <w:color w:val="000000"/>
                <w:sz w:val="22"/>
                <w:szCs w:val="22"/>
              </w:rPr>
              <w:t xml:space="preserve">workplace health and safety systems and standards </w:t>
            </w:r>
          </w:p>
          <w:p w14:paraId="0C006257" w14:textId="77777777" w:rsidR="00AF3B54" w:rsidRPr="00AF3B54" w:rsidRDefault="00AF3B54" w:rsidP="00AF3B54">
            <w:pPr>
              <w:pStyle w:val="Pa18"/>
              <w:numPr>
                <w:ilvl w:val="1"/>
                <w:numId w:val="58"/>
              </w:numPr>
              <w:spacing w:after="100"/>
              <w:ind w:left="709" w:hanging="425"/>
              <w:rPr>
                <w:rFonts w:ascii="Arial" w:hAnsi="Arial" w:cs="Arial"/>
                <w:color w:val="000000"/>
                <w:sz w:val="22"/>
                <w:szCs w:val="22"/>
              </w:rPr>
            </w:pPr>
            <w:r w:rsidRPr="00AF3B54">
              <w:rPr>
                <w:rFonts w:ascii="Arial" w:hAnsi="Arial" w:cs="Arial"/>
                <w:color w:val="000000"/>
                <w:sz w:val="22"/>
                <w:szCs w:val="22"/>
              </w:rPr>
              <w:t xml:space="preserve">commitment to apprentices and trainees </w:t>
            </w:r>
          </w:p>
          <w:p w14:paraId="05C9610D" w14:textId="77777777" w:rsidR="00AF3B54" w:rsidRPr="00AF3B54" w:rsidRDefault="00AF3B54" w:rsidP="00AF3B54">
            <w:pPr>
              <w:pStyle w:val="Pa18"/>
              <w:numPr>
                <w:ilvl w:val="1"/>
                <w:numId w:val="58"/>
              </w:numPr>
              <w:spacing w:after="100"/>
              <w:ind w:left="709" w:hanging="425"/>
              <w:rPr>
                <w:rFonts w:ascii="Arial" w:hAnsi="Arial" w:cs="Arial"/>
                <w:color w:val="000000"/>
                <w:sz w:val="22"/>
                <w:szCs w:val="22"/>
              </w:rPr>
            </w:pPr>
            <w:r w:rsidRPr="00AF3B54">
              <w:rPr>
                <w:rFonts w:ascii="Arial" w:hAnsi="Arial" w:cs="Arial"/>
                <w:color w:val="000000"/>
                <w:sz w:val="22"/>
                <w:szCs w:val="22"/>
              </w:rPr>
              <w:t xml:space="preserve">best practice industrial relations </w:t>
            </w:r>
          </w:p>
          <w:p w14:paraId="199CE11A" w14:textId="77777777" w:rsidR="00AF3B54" w:rsidRPr="00AF3B54" w:rsidRDefault="00AF3B54" w:rsidP="00AF3B54">
            <w:pPr>
              <w:pStyle w:val="Pa18"/>
              <w:numPr>
                <w:ilvl w:val="1"/>
                <w:numId w:val="58"/>
              </w:numPr>
              <w:spacing w:after="100"/>
              <w:ind w:left="709" w:hanging="425"/>
              <w:rPr>
                <w:rFonts w:ascii="Arial" w:hAnsi="Arial" w:cs="Arial"/>
                <w:color w:val="000000"/>
                <w:sz w:val="22"/>
                <w:szCs w:val="22"/>
              </w:rPr>
            </w:pPr>
            <w:r w:rsidRPr="00AF3B54">
              <w:rPr>
                <w:rFonts w:ascii="Arial" w:hAnsi="Arial" w:cs="Arial"/>
                <w:color w:val="000000"/>
                <w:sz w:val="22"/>
                <w:szCs w:val="22"/>
              </w:rPr>
              <w:t>history of compliance with procurement, tendering and other government policy.</w:t>
            </w:r>
            <w:r w:rsidRPr="00C33BDC">
              <w:rPr>
                <w:rFonts w:cs="MetaNormalLF-Roman"/>
                <w:color w:val="000000"/>
                <w:sz w:val="22"/>
                <w:szCs w:val="22"/>
              </w:rPr>
              <w:t xml:space="preserve"> </w:t>
            </w:r>
          </w:p>
        </w:tc>
      </w:tr>
    </w:tbl>
    <w:p w14:paraId="381901FB" w14:textId="77777777" w:rsidR="00AF3B54" w:rsidRPr="00C33BDC" w:rsidRDefault="00AF3B54" w:rsidP="00AF3B54">
      <w:pPr>
        <w:rPr>
          <w:sz w:val="22"/>
        </w:rPr>
      </w:pPr>
      <w:r w:rsidRPr="00C33BDC">
        <w:rPr>
          <w:sz w:val="22"/>
        </w:rPr>
        <w:t xml:space="preserve">A dedicated guide is available to support implementation of the Best practice principles: Quality, safe workplaces. </w:t>
      </w:r>
    </w:p>
    <w:p w14:paraId="326DBDEC" w14:textId="77777777" w:rsidR="00AF3B54" w:rsidRPr="00C33BDC" w:rsidRDefault="00AF3B54" w:rsidP="00AF3B54">
      <w:pPr>
        <w:rPr>
          <w:sz w:val="22"/>
        </w:rPr>
      </w:pPr>
      <w:r w:rsidRPr="00C33BDC">
        <w:rPr>
          <w:sz w:val="22"/>
        </w:rPr>
        <w:t xml:space="preserve">Importantly, value for money under the QPP also includes the application of a local benefits test for all significant procurement where a weighting of up to 30 per cent may be applied. To assist government buyers in applying the test a dedicated resource is available </w:t>
      </w:r>
      <w:hyperlink r:id="rId15" w:history="1">
        <w:r w:rsidRPr="00C33BDC">
          <w:rPr>
            <w:rStyle w:val="Hyperlink"/>
            <w:color w:val="3333FF"/>
            <w:sz w:val="22"/>
          </w:rPr>
          <w:t>online</w:t>
        </w:r>
      </w:hyperlink>
      <w:r w:rsidRPr="00C33BDC">
        <w:rPr>
          <w:sz w:val="22"/>
        </w:rPr>
        <w:t>.</w:t>
      </w:r>
    </w:p>
    <w:p w14:paraId="371BC201" w14:textId="77777777" w:rsidR="00AF3B54" w:rsidRDefault="00AF3B54" w:rsidP="00AF3B54">
      <w:r w:rsidRPr="00C33BDC">
        <w:rPr>
          <w:sz w:val="22"/>
        </w:rPr>
        <w:t xml:space="preserve">The QPP also outlines a range of specific requirements that help to secure value for money. These are discussed further in </w:t>
      </w:r>
      <w:r w:rsidRPr="00C33BDC">
        <w:rPr>
          <w:b/>
          <w:sz w:val="22"/>
        </w:rPr>
        <w:t>Appendix 1</w:t>
      </w:r>
      <w:r>
        <w:t>.</w:t>
      </w:r>
    </w:p>
    <w:p w14:paraId="3EEE6DD7" w14:textId="77777777" w:rsidR="00AF3B54" w:rsidRDefault="00AF3B54" w:rsidP="00AF3B54">
      <w:pPr>
        <w:pStyle w:val="Heading2"/>
        <w:spacing w:before="240"/>
      </w:pPr>
      <w:bookmarkStart w:id="21" w:name="_Toc491873071"/>
      <w:bookmarkStart w:id="22" w:name="_Toc514843897"/>
      <w:bookmarkStart w:id="23" w:name="_Toc80363215"/>
      <w:bookmarkStart w:id="24" w:name="_Toc468116291"/>
      <w:bookmarkStart w:id="25" w:name="_Toc459905420"/>
      <w:r>
        <w:t>Components of value for money</w:t>
      </w:r>
      <w:bookmarkEnd w:id="21"/>
      <w:bookmarkEnd w:id="22"/>
      <w:bookmarkEnd w:id="23"/>
    </w:p>
    <w:p w14:paraId="5BF8A3E6" w14:textId="77777777" w:rsidR="00AF3B54" w:rsidRPr="00C33BDC" w:rsidRDefault="00AF3B54" w:rsidP="00AF3B54">
      <w:pPr>
        <w:rPr>
          <w:b/>
          <w:sz w:val="22"/>
        </w:rPr>
      </w:pPr>
      <w:bookmarkStart w:id="26" w:name="_Toc491873072"/>
      <w:r w:rsidRPr="00C33BDC">
        <w:rPr>
          <w:b/>
          <w:sz w:val="22"/>
        </w:rPr>
        <w:t>Cost related factors</w:t>
      </w:r>
      <w:bookmarkEnd w:id="26"/>
    </w:p>
    <w:p w14:paraId="6CB4A3BD" w14:textId="77777777" w:rsidR="00AF3B54" w:rsidRPr="00C33BDC" w:rsidRDefault="00AF3B54" w:rsidP="00AF3B54">
      <w:pPr>
        <w:rPr>
          <w:sz w:val="22"/>
        </w:rPr>
      </w:pPr>
      <w:r w:rsidRPr="00C33BDC">
        <w:rPr>
          <w:sz w:val="22"/>
          <w:lang w:eastAsia="en-AU"/>
        </w:rPr>
        <w:t>In determining value agencies need to look beyond up-front costs and</w:t>
      </w:r>
      <w:r w:rsidRPr="00C33BDC">
        <w:rPr>
          <w:sz w:val="22"/>
        </w:rPr>
        <w:t xml:space="preserve"> include all relevant cost related factors. This means buyers considering the up-front cost, as well as the cost of maintaining and disposing of the item at the end of its life. </w:t>
      </w:r>
      <w:r w:rsidRPr="00C33BDC">
        <w:rPr>
          <w:b/>
          <w:sz w:val="22"/>
        </w:rPr>
        <w:t>Appendix 2</w:t>
      </w:r>
      <w:r w:rsidRPr="00C33BDC">
        <w:rPr>
          <w:sz w:val="22"/>
        </w:rPr>
        <w:t xml:space="preserve"> of this guide offers a checklist for whole-of-life cost considerations.</w:t>
      </w:r>
    </w:p>
    <w:p w14:paraId="68FA8D28" w14:textId="77777777" w:rsidR="00AF3B54" w:rsidRPr="003B20C6" w:rsidRDefault="00AF3B54" w:rsidP="00C33BDC">
      <w:pPr>
        <w:pStyle w:val="Heading1"/>
        <w:rPr>
          <w:i/>
        </w:rPr>
      </w:pPr>
      <w:bookmarkStart w:id="27" w:name="_Toc80363216"/>
      <w:r w:rsidRPr="003B20C6">
        <w:t>Assessing whole-of-life costs</w:t>
      </w:r>
      <w:bookmarkEnd w:id="27"/>
    </w:p>
    <w:p w14:paraId="6F062F57" w14:textId="77777777" w:rsidR="00AF3B54" w:rsidRPr="00C33BDC" w:rsidRDefault="00AF3B54" w:rsidP="00AF3B54">
      <w:pPr>
        <w:rPr>
          <w:rFonts w:cs="Arial"/>
          <w:sz w:val="22"/>
        </w:rPr>
      </w:pPr>
      <w:r w:rsidRPr="00C33BDC">
        <w:rPr>
          <w:rFonts w:cs="Arial"/>
          <w:sz w:val="22"/>
        </w:rPr>
        <w:t>Whole-of-life cost assessments are particularly important when there are potentially high ongoing costs associated with a good or service. For short-life, low-cost and low-risk items, there is generally little benefit in undertaking a detailed formal assessment of whole-of-life costs.</w:t>
      </w:r>
    </w:p>
    <w:p w14:paraId="5B530774" w14:textId="77777777" w:rsidR="00AF3B54" w:rsidRDefault="00AF3B54" w:rsidP="00AF3B54">
      <w:pPr>
        <w:spacing w:after="0"/>
        <w:rPr>
          <w:rFonts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487"/>
      </w:tblGrid>
      <w:tr w:rsidR="00AF3B54" w:rsidRPr="00972AE8" w14:paraId="2B6DDB4E" w14:textId="77777777" w:rsidTr="00AF3B54">
        <w:tc>
          <w:tcPr>
            <w:tcW w:w="9628" w:type="dxa"/>
            <w:shd w:val="clear" w:color="auto" w:fill="808080" w:themeFill="background1" w:themeFillShade="80"/>
          </w:tcPr>
          <w:p w14:paraId="1B51C7E2" w14:textId="77777777" w:rsidR="00AF3B54" w:rsidRPr="007A2625" w:rsidRDefault="00AF3B54" w:rsidP="00AF3B54">
            <w:pPr>
              <w:pStyle w:val="Tableheadings"/>
              <w:rPr>
                <w:sz w:val="22"/>
                <w:szCs w:val="22"/>
              </w:rPr>
            </w:pPr>
            <w:bookmarkStart w:id="28" w:name="_Hlk501523433"/>
            <w:r w:rsidRPr="007A2625">
              <w:rPr>
                <w:sz w:val="22"/>
                <w:szCs w:val="22"/>
              </w:rPr>
              <w:t>Why assessing whole-of-life costs (and not just the initial price) is important</w:t>
            </w:r>
          </w:p>
        </w:tc>
      </w:tr>
      <w:tr w:rsidR="00AF3B54" w14:paraId="2EAEF8F0" w14:textId="77777777" w:rsidTr="00AF3B54">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30830DA3" w14:textId="77777777" w:rsidR="00AF3B54" w:rsidRPr="004530F5" w:rsidRDefault="00AF3B54" w:rsidP="00AF3B54">
            <w:pPr>
              <w:rPr>
                <w:szCs w:val="20"/>
              </w:rPr>
            </w:pPr>
            <w:r w:rsidRPr="004530F5">
              <w:rPr>
                <w:szCs w:val="20"/>
              </w:rPr>
              <w:t xml:space="preserve">Different suppliers can price a service or good differently. By having a breakdown of total costs, the government buyer can better understand the total solution, the supplier’s interpretation of the requirements and any components that might be negotiated if the solution is chosen. Doing this can also help when considering the merit of alternative offers or innovative solutions. See </w:t>
            </w:r>
            <w:r w:rsidRPr="004530F5">
              <w:rPr>
                <w:b/>
                <w:szCs w:val="20"/>
              </w:rPr>
              <w:t>Appendix 3</w:t>
            </w:r>
            <w:r w:rsidRPr="004530F5">
              <w:rPr>
                <w:szCs w:val="20"/>
              </w:rPr>
              <w:t xml:space="preserve"> for further information on Total Cost of Ownership.</w:t>
            </w:r>
          </w:p>
        </w:tc>
      </w:tr>
    </w:tbl>
    <w:p w14:paraId="0990D70C" w14:textId="77777777" w:rsidR="00AF3B54" w:rsidRPr="00C33BDC" w:rsidRDefault="00AF3B54" w:rsidP="00AF3B54">
      <w:pPr>
        <w:spacing w:before="120"/>
        <w:rPr>
          <w:b/>
          <w:sz w:val="22"/>
        </w:rPr>
      </w:pPr>
      <w:bookmarkStart w:id="29" w:name="_Toc491873073"/>
      <w:bookmarkEnd w:id="28"/>
      <w:r>
        <w:rPr>
          <w:b/>
        </w:rPr>
        <w:br/>
      </w:r>
      <w:r w:rsidRPr="00C33BDC">
        <w:rPr>
          <w:b/>
          <w:sz w:val="22"/>
        </w:rPr>
        <w:t>Broader government priorities, targets and commitments</w:t>
      </w:r>
      <w:bookmarkEnd w:id="29"/>
      <w:r w:rsidRPr="00C33BDC">
        <w:rPr>
          <w:b/>
          <w:sz w:val="22"/>
        </w:rPr>
        <w:t xml:space="preserve"> </w:t>
      </w:r>
    </w:p>
    <w:p w14:paraId="1496A242" w14:textId="77777777" w:rsidR="00AF3B54" w:rsidRPr="00C33BDC" w:rsidRDefault="00AF3B54" w:rsidP="00AF3B54">
      <w:pPr>
        <w:rPr>
          <w:sz w:val="22"/>
          <w:lang w:eastAsia="en-AU"/>
        </w:rPr>
      </w:pPr>
      <w:r w:rsidRPr="00C33BDC">
        <w:rPr>
          <w:sz w:val="22"/>
          <w:lang w:eastAsia="en-AU"/>
        </w:rPr>
        <w:t xml:space="preserve">In addition to the more traditional cost related factors and non-cost factors, broader </w:t>
      </w:r>
      <w:r w:rsidRPr="00C33BDC">
        <w:rPr>
          <w:b/>
          <w:sz w:val="22"/>
          <w:lang w:eastAsia="en-AU"/>
        </w:rPr>
        <w:t xml:space="preserve">government priorities, targets and commitments </w:t>
      </w:r>
      <w:r w:rsidRPr="00C33BDC">
        <w:rPr>
          <w:sz w:val="22"/>
          <w:lang w:eastAsia="en-AU"/>
        </w:rPr>
        <w:t xml:space="preserve">listed in the QPP should also be considered as part of value for money. </w:t>
      </w:r>
    </w:p>
    <w:p w14:paraId="71DB689C" w14:textId="77777777" w:rsidR="00AF3B54" w:rsidRPr="00C33BDC" w:rsidRDefault="00AF3B54" w:rsidP="00AF3B54">
      <w:pPr>
        <w:rPr>
          <w:sz w:val="22"/>
          <w:lang w:eastAsia="en-AU"/>
        </w:rPr>
      </w:pPr>
      <w:r w:rsidRPr="00C33BDC">
        <w:rPr>
          <w:sz w:val="22"/>
          <w:lang w:eastAsia="en-AU"/>
        </w:rPr>
        <w:t xml:space="preserve">In determining which priorities, targets or commitments to pursue, agencies need to consider which are suitable for the procurement at hand and can be realistically achieved without disadvantaging smaller suppliers. </w:t>
      </w:r>
    </w:p>
    <w:p w14:paraId="09491014" w14:textId="77777777" w:rsidR="00AF3B54" w:rsidRPr="00C33BDC" w:rsidRDefault="00AF3B54" w:rsidP="00AF3B54">
      <w:pPr>
        <w:rPr>
          <w:sz w:val="22"/>
          <w:lang w:eastAsia="en-AU"/>
        </w:rPr>
      </w:pPr>
      <w:r w:rsidRPr="00C33BDC">
        <w:rPr>
          <w:sz w:val="22"/>
          <w:lang w:eastAsia="en-AU"/>
        </w:rPr>
        <w:t xml:space="preserve">Agencies may also find guidance in their agency procurement plan or the relevant category strategy. Care must be taken to make sure effort is not spread too thinly, for example, by </w:t>
      </w:r>
      <w:r w:rsidRPr="00C33BDC">
        <w:rPr>
          <w:sz w:val="22"/>
          <w:lang w:eastAsia="en-AU"/>
        </w:rPr>
        <w:lastRenderedPageBreak/>
        <w:t>pursuing multiple priorities, targets and commitments. Agencies also need to ensure other relevant, non-cost factors, such as capacity to deliver, are given due weighting and consideration in the process.</w:t>
      </w:r>
    </w:p>
    <w:p w14:paraId="52FA75DA" w14:textId="77777777" w:rsidR="00AF3B54" w:rsidRPr="00C33BDC" w:rsidRDefault="00AF3B54" w:rsidP="00AF3B54">
      <w:pPr>
        <w:rPr>
          <w:sz w:val="22"/>
          <w:lang w:eastAsia="en-AU"/>
        </w:rPr>
      </w:pPr>
      <w:bookmarkStart w:id="30" w:name="_Hlk492566072"/>
      <w:r w:rsidRPr="00C33BDC">
        <w:rPr>
          <w:sz w:val="22"/>
          <w:lang w:eastAsia="en-AU"/>
        </w:rPr>
        <w:t>Government buyers should, where possible, consider and record in their tender documentation, how targets and commitments will be measured and reported.</w:t>
      </w:r>
    </w:p>
    <w:p w14:paraId="6D881AF0" w14:textId="77777777" w:rsidR="00AF3B54" w:rsidRDefault="00AF3B54" w:rsidP="00AF3B54">
      <w:pPr>
        <w:spacing w:after="0" w:line="240" w:lineRule="auto"/>
        <w:rPr>
          <w:lang w:eastAsia="en-AU"/>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487"/>
      </w:tblGrid>
      <w:tr w:rsidR="00AF3B54" w:rsidRPr="00972AE8" w14:paraId="1E8A5683" w14:textId="77777777" w:rsidTr="00AF3B54">
        <w:tc>
          <w:tcPr>
            <w:tcW w:w="9628" w:type="dxa"/>
            <w:shd w:val="clear" w:color="auto" w:fill="808080" w:themeFill="background1" w:themeFillShade="80"/>
          </w:tcPr>
          <w:p w14:paraId="197E54DD" w14:textId="77777777" w:rsidR="00AF3B54" w:rsidRPr="007A2625" w:rsidRDefault="00AF3B54" w:rsidP="00AF3B54">
            <w:pPr>
              <w:pStyle w:val="Tableheadings"/>
              <w:rPr>
                <w:sz w:val="22"/>
                <w:szCs w:val="22"/>
              </w:rPr>
            </w:pPr>
            <w:r w:rsidRPr="007A2625">
              <w:rPr>
                <w:sz w:val="22"/>
                <w:szCs w:val="22"/>
              </w:rPr>
              <w:t>Increasing procurement from Aboriginal businesses and Torres Strait Islander businesses</w:t>
            </w:r>
          </w:p>
        </w:tc>
      </w:tr>
      <w:tr w:rsidR="00AF3B54" w14:paraId="7695626F" w14:textId="77777777" w:rsidTr="00AF3B54">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3C25AA38" w14:textId="77777777" w:rsidR="00AF3B54" w:rsidRPr="004530F5" w:rsidRDefault="00AF3B54" w:rsidP="00AF3B54">
            <w:pPr>
              <w:rPr>
                <w:szCs w:val="20"/>
              </w:rPr>
            </w:pPr>
            <w:r w:rsidRPr="004530F5">
              <w:rPr>
                <w:szCs w:val="20"/>
              </w:rPr>
              <w:t>An example of a broader government priority is the Queensland Indigenous (Aboriginal and Torres Strait Islander) Procurement Policy (QIPP). The QIPP aims to increase government spend with Aboriginal businesses and Torres Strait Islander businesses to be three per cent of addressable spend by 2022.</w:t>
            </w:r>
          </w:p>
          <w:p w14:paraId="0BFFFCE4" w14:textId="77777777" w:rsidR="00AF3B54" w:rsidRPr="00972AE8" w:rsidRDefault="00AF3B54" w:rsidP="00AF3B54">
            <w:r w:rsidRPr="004530F5">
              <w:rPr>
                <w:szCs w:val="20"/>
              </w:rPr>
              <w:t>These businesses are significantly more likely to employ Aboriginal peoples and Torres Strait Islander peoples. Growing these businesses is therefore a viable pathway to support broader government objectives to create employment and increase the economic participation of Aboriginal peoples and Torres Strait Islander peoples.</w:t>
            </w:r>
            <w:r>
              <w:t xml:space="preserve"> </w:t>
            </w:r>
          </w:p>
        </w:tc>
      </w:tr>
    </w:tbl>
    <w:p w14:paraId="5BEE3196" w14:textId="77777777" w:rsidR="00AF3B54" w:rsidRDefault="00AF3B54" w:rsidP="00AF3B54">
      <w:pPr>
        <w:rPr>
          <w:lang w:eastAsia="en-AU"/>
        </w:rPr>
      </w:pPr>
    </w:p>
    <w:p w14:paraId="5BF12BAC" w14:textId="77777777" w:rsidR="00AF3B54" w:rsidRPr="00C33BDC" w:rsidRDefault="00AF3B54" w:rsidP="00AF3B54">
      <w:pPr>
        <w:rPr>
          <w:b/>
          <w:sz w:val="22"/>
        </w:rPr>
      </w:pPr>
      <w:bookmarkStart w:id="31" w:name="_Toc491873074"/>
      <w:bookmarkEnd w:id="30"/>
      <w:r w:rsidRPr="00C33BDC">
        <w:rPr>
          <w:b/>
          <w:sz w:val="22"/>
        </w:rPr>
        <w:t>Value for money from an economic perspective</w:t>
      </w:r>
      <w:bookmarkEnd w:id="31"/>
      <w:r w:rsidRPr="00C33BDC">
        <w:rPr>
          <w:b/>
          <w:sz w:val="22"/>
        </w:rPr>
        <w:t xml:space="preserve"> </w:t>
      </w:r>
    </w:p>
    <w:p w14:paraId="4E2539B4" w14:textId="77777777" w:rsidR="00AF3B54" w:rsidRPr="00C33BDC" w:rsidRDefault="00AF3B54" w:rsidP="00AF3B54">
      <w:pPr>
        <w:rPr>
          <w:sz w:val="22"/>
        </w:rPr>
      </w:pPr>
      <w:r w:rsidRPr="00C33BDC">
        <w:rPr>
          <w:sz w:val="22"/>
        </w:rPr>
        <w:t>Beyond the cost and non-cost factors there are broader economic considerations. In some cases, it may be difficult to put a dollar value on these, requiring a more qualitative assessment.</w:t>
      </w:r>
    </w:p>
    <w:p w14:paraId="05238E87" w14:textId="77777777" w:rsidR="00AF3B54" w:rsidRPr="00C33BDC" w:rsidRDefault="00AF3B54" w:rsidP="00AF3B54">
      <w:pPr>
        <w:rPr>
          <w:sz w:val="22"/>
        </w:rPr>
      </w:pPr>
      <w:r w:rsidRPr="00C33BDC">
        <w:rPr>
          <w:sz w:val="22"/>
        </w:rPr>
        <w:t>Demonstrating value for money from an economic perspective requires consideration of broader benefits and how they will flow from the initial demand and supply market analysis to tender evaluation and contract management.</w:t>
      </w:r>
    </w:p>
    <w:p w14:paraId="401F863E" w14:textId="77777777" w:rsidR="00AF3B54" w:rsidRPr="00C33BDC" w:rsidRDefault="00AF3B54" w:rsidP="00AF3B54">
      <w:pPr>
        <w:rPr>
          <w:b/>
          <w:sz w:val="22"/>
        </w:rPr>
      </w:pPr>
      <w:r w:rsidRPr="00C33BDC">
        <w:rPr>
          <w:b/>
          <w:sz w:val="22"/>
        </w:rPr>
        <w:t xml:space="preserve">Specific economic targets for Queensland </w:t>
      </w:r>
    </w:p>
    <w:p w14:paraId="146DD104" w14:textId="77777777" w:rsidR="00AF3B54" w:rsidRPr="00C33BDC" w:rsidRDefault="00AF3B54" w:rsidP="00AF3B54">
      <w:pPr>
        <w:spacing w:after="120"/>
        <w:rPr>
          <w:rFonts w:cs="Arial"/>
          <w:sz w:val="22"/>
        </w:rPr>
      </w:pPr>
      <w:bookmarkStart w:id="32" w:name="_Hlk514400505"/>
      <w:r w:rsidRPr="00C33BDC">
        <w:rPr>
          <w:rFonts w:cs="Arial"/>
          <w:sz w:val="22"/>
        </w:rPr>
        <w:t>The QPP cites the following economic targets and commitments as being relevant to procurement. As part of the overall value for money assessment, each procurement process needs to consider and include targets and commitments which are relevant to the good or service being procured:</w:t>
      </w:r>
    </w:p>
    <w:p w14:paraId="53F84DC9" w14:textId="65AEB922"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t xml:space="preserve">require the application of </w:t>
      </w:r>
      <w:r w:rsidRPr="00C33BDC">
        <w:rPr>
          <w:rFonts w:cs="Arial"/>
          <w:i/>
          <w:sz w:val="22"/>
        </w:rPr>
        <w:t>‘best practice principles’</w:t>
      </w:r>
      <w:r w:rsidRPr="00C33BDC">
        <w:rPr>
          <w:rFonts w:cs="Arial"/>
          <w:sz w:val="22"/>
        </w:rPr>
        <w:t xml:space="preserve"> for all major projects valued at $100 million and above and declared projects, in accordance with guidance issued by the Department of </w:t>
      </w:r>
      <w:r w:rsidR="00B650CD">
        <w:rPr>
          <w:rFonts w:cs="Arial"/>
          <w:sz w:val="22"/>
        </w:rPr>
        <w:t>Energy</w:t>
      </w:r>
      <w:r w:rsidR="00B650CD" w:rsidRPr="00C33BDC">
        <w:rPr>
          <w:rFonts w:cs="Arial"/>
          <w:sz w:val="22"/>
        </w:rPr>
        <w:t xml:space="preserve"> </w:t>
      </w:r>
      <w:r w:rsidRPr="00C33BDC">
        <w:rPr>
          <w:rFonts w:cs="Arial"/>
          <w:sz w:val="22"/>
        </w:rPr>
        <w:t>and Public Works and the Office of Industrial Relations</w:t>
      </w:r>
    </w:p>
    <w:p w14:paraId="77CCEEDC" w14:textId="77777777" w:rsidR="00AF3B54" w:rsidRPr="00C33BDC" w:rsidRDefault="00AF3B54" w:rsidP="00AF3B54">
      <w:pPr>
        <w:pStyle w:val="ListParagraph"/>
        <w:spacing w:before="180" w:line="240" w:lineRule="auto"/>
        <w:rPr>
          <w:rFonts w:cs="Arial"/>
          <w:sz w:val="22"/>
        </w:rPr>
      </w:pPr>
    </w:p>
    <w:bookmarkEnd w:id="32"/>
    <w:p w14:paraId="0BF45BC5" w14:textId="77777777"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t>prioritise ‘Buy Queensland first’ for food and beverages at events and corporate functions</w:t>
      </w:r>
    </w:p>
    <w:p w14:paraId="38715322" w14:textId="77777777" w:rsidR="00AF3B54" w:rsidRPr="00C33BDC" w:rsidRDefault="00AF3B54" w:rsidP="00AF3B54">
      <w:pPr>
        <w:pStyle w:val="ListParagraph"/>
        <w:rPr>
          <w:rFonts w:cs="Arial"/>
          <w:sz w:val="22"/>
        </w:rPr>
      </w:pPr>
    </w:p>
    <w:p w14:paraId="6E8F0C86" w14:textId="77777777"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t>build regions by increasing the participation of Queensland suppliers and local workforces in procurement opportunities</w:t>
      </w:r>
      <w:r w:rsidRPr="00C33BDC">
        <w:rPr>
          <w:rFonts w:cs="Arial"/>
          <w:sz w:val="22"/>
        </w:rPr>
        <w:br/>
      </w:r>
    </w:p>
    <w:p w14:paraId="00E07455" w14:textId="5C5638DB"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t>require the use of local contractors and manufacturers in significant Queensland Government infrastructure projects, worth $100 million and above, wherever possible</w:t>
      </w:r>
      <w:r w:rsidR="002235D1">
        <w:rPr>
          <w:rFonts w:cs="Arial"/>
          <w:sz w:val="22"/>
        </w:rPr>
        <w:br/>
      </w:r>
      <w:r w:rsidRPr="00C33BDC">
        <w:rPr>
          <w:rFonts w:cs="Arial"/>
          <w:sz w:val="22"/>
        </w:rPr>
        <w:t xml:space="preserve"> </w:t>
      </w:r>
    </w:p>
    <w:p w14:paraId="2CABEF2A" w14:textId="62BCF34E" w:rsidR="00AF3B54" w:rsidRDefault="00AF3B54" w:rsidP="00AF3B54">
      <w:pPr>
        <w:pStyle w:val="ListParagraph"/>
        <w:numPr>
          <w:ilvl w:val="0"/>
          <w:numId w:val="41"/>
        </w:numPr>
        <w:spacing w:before="180" w:line="240" w:lineRule="auto"/>
        <w:contextualSpacing/>
        <w:rPr>
          <w:rFonts w:cs="Arial"/>
          <w:sz w:val="22"/>
        </w:rPr>
      </w:pPr>
      <w:r w:rsidRPr="00C33BDC">
        <w:rPr>
          <w:rFonts w:cs="Arial"/>
          <w:sz w:val="22"/>
        </w:rPr>
        <w:t>increase opportunities for apprentices and trainees in significant Queensland Government infrastructure projects, worth $100 million and above</w:t>
      </w:r>
      <w:r w:rsidRPr="00C33BDC">
        <w:rPr>
          <w:rFonts w:cs="Arial"/>
          <w:sz w:val="22"/>
        </w:rPr>
        <w:br/>
      </w:r>
    </w:p>
    <w:p w14:paraId="05CEDD04" w14:textId="77777777" w:rsidR="00C6489C" w:rsidRPr="00C33BDC" w:rsidRDefault="00C6489C" w:rsidP="00C33BDC">
      <w:pPr>
        <w:spacing w:before="180" w:line="240" w:lineRule="auto"/>
        <w:contextualSpacing/>
        <w:rPr>
          <w:rFonts w:cs="Arial"/>
          <w:sz w:val="22"/>
        </w:rPr>
      </w:pPr>
    </w:p>
    <w:p w14:paraId="5B02DEB2" w14:textId="7B01471B"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lastRenderedPageBreak/>
        <w:t xml:space="preserve">increase government procurement with Aboriginal and Torres Strait Islander businesses to three per cent of addressable spend by 2022. For more information, refer to the </w:t>
      </w:r>
      <w:r w:rsidRPr="00C33BDC">
        <w:rPr>
          <w:rFonts w:eastAsia="Times New Roman"/>
          <w:sz w:val="22"/>
        </w:rPr>
        <w:t>QIPP at</w:t>
      </w:r>
      <w:r w:rsidR="00C6489C">
        <w:rPr>
          <w:rFonts w:eastAsia="Times New Roman"/>
          <w:sz w:val="22"/>
        </w:rPr>
        <w:t xml:space="preserve"> </w:t>
      </w:r>
      <w:hyperlink r:id="rId16" w:history="1">
        <w:r w:rsidR="00C6489C" w:rsidRPr="00655E47">
          <w:rPr>
            <w:rStyle w:val="Hyperlink"/>
            <w:rFonts w:eastAsia="Times New Roman"/>
            <w:sz w:val="22"/>
          </w:rPr>
          <w:t>https://www.dsdsatsip.qld.gov.au</w:t>
        </w:r>
      </w:hyperlink>
      <w:r w:rsidR="00C6489C">
        <w:rPr>
          <w:rFonts w:eastAsia="Times New Roman"/>
          <w:sz w:val="22"/>
        </w:rPr>
        <w:t xml:space="preserve">. </w:t>
      </w:r>
      <w:r w:rsidRPr="00C33BDC">
        <w:rPr>
          <w:rFonts w:eastAsia="Times New Roman"/>
          <w:sz w:val="22"/>
        </w:rPr>
        <w:t xml:space="preserve"> </w:t>
      </w:r>
      <w:r w:rsidRPr="00C33BDC">
        <w:rPr>
          <w:rStyle w:val="Hyperlink"/>
          <w:rFonts w:eastAsia="Times New Roman"/>
          <w:color w:val="3333FF"/>
          <w:sz w:val="22"/>
        </w:rPr>
        <w:br/>
      </w:r>
    </w:p>
    <w:p w14:paraId="18263499" w14:textId="77777777" w:rsidR="00AF3B54" w:rsidRPr="00C33BDC" w:rsidRDefault="00AF3B54" w:rsidP="00AF3B54">
      <w:pPr>
        <w:pStyle w:val="ListParagraph"/>
        <w:numPr>
          <w:ilvl w:val="0"/>
          <w:numId w:val="41"/>
        </w:numPr>
        <w:spacing w:before="180" w:line="240" w:lineRule="auto"/>
        <w:contextualSpacing/>
        <w:rPr>
          <w:rFonts w:cs="Arial"/>
          <w:sz w:val="22"/>
        </w:rPr>
      </w:pPr>
      <w:r w:rsidRPr="00C33BDC">
        <w:rPr>
          <w:rFonts w:cs="Arial"/>
          <w:sz w:val="22"/>
        </w:rPr>
        <w:t xml:space="preserve">focus on using the government’s procurement activities to create genuine, secure ongoing jobs for Queenslanders  </w:t>
      </w:r>
      <w:r w:rsidRPr="00C33BDC">
        <w:rPr>
          <w:rFonts w:cs="Arial"/>
          <w:sz w:val="22"/>
        </w:rPr>
        <w:br/>
      </w:r>
    </w:p>
    <w:p w14:paraId="0CBC9492" w14:textId="77777777" w:rsidR="00AF3B54" w:rsidRPr="00C33BDC" w:rsidRDefault="00AF3B54" w:rsidP="00AF3B54">
      <w:pPr>
        <w:pStyle w:val="ListParagraph"/>
        <w:numPr>
          <w:ilvl w:val="0"/>
          <w:numId w:val="41"/>
        </w:numPr>
        <w:spacing w:line="240" w:lineRule="auto"/>
        <w:ind w:left="714" w:hanging="357"/>
        <w:contextualSpacing/>
        <w:rPr>
          <w:rFonts w:cs="Arial"/>
          <w:sz w:val="22"/>
        </w:rPr>
      </w:pPr>
      <w:r w:rsidRPr="00C33BDC">
        <w:rPr>
          <w:rFonts w:cs="Arial"/>
          <w:color w:val="000000"/>
          <w:sz w:val="22"/>
        </w:rPr>
        <w:t>focus on jobs, reducing long-term unemployment and youth unemployment, and increasing opportunities for training apprentices.</w:t>
      </w:r>
      <w:r w:rsidRPr="00C33BDC">
        <w:rPr>
          <w:rFonts w:cs="Arial"/>
          <w:sz w:val="22"/>
        </w:rPr>
        <w:br/>
      </w:r>
    </w:p>
    <w:p w14:paraId="399C675A" w14:textId="77777777" w:rsidR="00AF3B54" w:rsidRPr="00C33BDC" w:rsidRDefault="00AF3B54" w:rsidP="00AF3B54">
      <w:pPr>
        <w:rPr>
          <w:b/>
          <w:color w:val="FF0000"/>
          <w:sz w:val="22"/>
        </w:rPr>
      </w:pPr>
      <w:r w:rsidRPr="00C33BDC">
        <w:rPr>
          <w:b/>
          <w:sz w:val="22"/>
        </w:rPr>
        <w:t>Local benefits test</w:t>
      </w:r>
    </w:p>
    <w:p w14:paraId="4035B805" w14:textId="77777777" w:rsidR="00AF3B54" w:rsidRPr="00C33BDC" w:rsidRDefault="00AF3B54" w:rsidP="00AF3B54">
      <w:pPr>
        <w:spacing w:line="240" w:lineRule="auto"/>
        <w:rPr>
          <w:rFonts w:cs="Arial"/>
          <w:bCs/>
          <w:sz w:val="22"/>
          <w:lang w:eastAsia="en-AU"/>
        </w:rPr>
      </w:pPr>
      <w:r w:rsidRPr="00C33BDC">
        <w:rPr>
          <w:rFonts w:cs="Arial"/>
          <w:bCs/>
          <w:sz w:val="22"/>
          <w:lang w:eastAsia="en-AU"/>
        </w:rPr>
        <w:t>The QPP requires agencies to conduct a local benefits test for all significant procurement</w:t>
      </w:r>
      <w:r w:rsidRPr="00C33BDC">
        <w:rPr>
          <w:rStyle w:val="FootnoteReference"/>
          <w:rFonts w:cs="Arial"/>
          <w:bCs/>
          <w:sz w:val="22"/>
          <w:lang w:eastAsia="en-AU"/>
        </w:rPr>
        <w:footnoteReference w:id="1"/>
      </w:r>
      <w:r w:rsidRPr="00C33BDC">
        <w:rPr>
          <w:rFonts w:cs="Arial"/>
          <w:bCs/>
          <w:sz w:val="22"/>
          <w:lang w:eastAsia="en-AU"/>
        </w:rPr>
        <w:t xml:space="preserve"> where a weighting of up to 30 per cent may be applied.</w:t>
      </w:r>
    </w:p>
    <w:p w14:paraId="67E166DD" w14:textId="77777777" w:rsidR="00AF3B54" w:rsidRPr="00C33BDC" w:rsidRDefault="00AF3B54" w:rsidP="00AF3B54">
      <w:pPr>
        <w:rPr>
          <w:rFonts w:cs="Arial"/>
          <w:sz w:val="22"/>
          <w:lang w:eastAsia="en-AU"/>
        </w:rPr>
      </w:pPr>
      <w:r w:rsidRPr="00C33BDC">
        <w:rPr>
          <w:rFonts w:cs="Arial"/>
          <w:sz w:val="22"/>
          <w:lang w:eastAsia="en-AU"/>
        </w:rPr>
        <w:t xml:space="preserve">The local benefits test is intended to ensure economic benefits flow to local communities, with a focus on jobs for Queenslanders. This might include creating new jobs, ensuring sustainability of existing local jobs, or upskilling local workforces and creating new opportunities in regional areas. </w:t>
      </w:r>
    </w:p>
    <w:p w14:paraId="4D341E53" w14:textId="77777777" w:rsidR="00AF3B54" w:rsidRPr="00C33BDC" w:rsidRDefault="00AF3B54" w:rsidP="00AF3B54">
      <w:pPr>
        <w:spacing w:line="240" w:lineRule="auto"/>
        <w:rPr>
          <w:rFonts w:cs="Arial"/>
          <w:bCs/>
          <w:sz w:val="22"/>
          <w:lang w:eastAsia="en-AU"/>
        </w:rPr>
      </w:pPr>
      <w:r w:rsidRPr="00C33BDC">
        <w:rPr>
          <w:rFonts w:cs="Arial"/>
          <w:bCs/>
          <w:sz w:val="22"/>
          <w:lang w:eastAsia="en-AU"/>
        </w:rPr>
        <w:t>Each procurement is different and there is no set formula. The consideration of local benefits should be clearly documented for each significant procurement.</w:t>
      </w:r>
    </w:p>
    <w:p w14:paraId="637C4186" w14:textId="77777777" w:rsidR="00AF3B54" w:rsidRPr="00C33BDC" w:rsidRDefault="00AF3B54" w:rsidP="00AF3B54">
      <w:pPr>
        <w:spacing w:line="240" w:lineRule="auto"/>
        <w:rPr>
          <w:rFonts w:cs="Arial"/>
          <w:bCs/>
          <w:sz w:val="22"/>
          <w:lang w:eastAsia="en-AU"/>
        </w:rPr>
      </w:pPr>
      <w:r w:rsidRPr="00C33BDC">
        <w:rPr>
          <w:rFonts w:cs="Arial"/>
          <w:bCs/>
          <w:sz w:val="22"/>
          <w:lang w:eastAsia="en-AU"/>
        </w:rPr>
        <w:t xml:space="preserve">The local benefits test should not be assessed in isolation. The capacity and capability of suppliers should also be taken into consideration when assessing value for money. </w:t>
      </w:r>
    </w:p>
    <w:p w14:paraId="30EA96AF" w14:textId="77777777" w:rsidR="00AF3B54" w:rsidRPr="00C33BDC" w:rsidRDefault="00AF3B54" w:rsidP="00AF3B54">
      <w:pPr>
        <w:rPr>
          <w:sz w:val="22"/>
        </w:rPr>
      </w:pPr>
      <w:r w:rsidRPr="00C33BDC">
        <w:rPr>
          <w:sz w:val="22"/>
        </w:rPr>
        <w:t>To assist government buyers in applying the test a dedicated resource is available</w:t>
      </w:r>
      <w:r w:rsidRPr="00C33BDC">
        <w:rPr>
          <w:color w:val="FF0000"/>
          <w:sz w:val="22"/>
        </w:rPr>
        <w:t xml:space="preserve"> </w:t>
      </w:r>
      <w:hyperlink r:id="rId17" w:history="1">
        <w:r w:rsidRPr="00C33BDC">
          <w:rPr>
            <w:rStyle w:val="Hyperlink"/>
            <w:color w:val="3333FF"/>
            <w:sz w:val="22"/>
          </w:rPr>
          <w:t>online</w:t>
        </w:r>
      </w:hyperlink>
      <w:r w:rsidRPr="00C33BDC">
        <w:rPr>
          <w:sz w:val="22"/>
        </w:rPr>
        <w:t>.</w:t>
      </w:r>
    </w:p>
    <w:p w14:paraId="32A38BB8" w14:textId="77777777" w:rsidR="00AF3B54" w:rsidRPr="00C33BDC" w:rsidRDefault="00AF3B54" w:rsidP="00AF3B54">
      <w:pPr>
        <w:keepNext/>
        <w:keepLines/>
        <w:rPr>
          <w:b/>
          <w:sz w:val="22"/>
        </w:rPr>
      </w:pPr>
      <w:bookmarkStart w:id="33" w:name="_Toc491873075"/>
      <w:r w:rsidRPr="00C33BDC">
        <w:rPr>
          <w:b/>
          <w:sz w:val="22"/>
        </w:rPr>
        <w:t>Value for money from an environmental perspective</w:t>
      </w:r>
      <w:bookmarkEnd w:id="33"/>
    </w:p>
    <w:p w14:paraId="4733EB02" w14:textId="77777777" w:rsidR="00AF3B54" w:rsidRPr="00C33BDC" w:rsidRDefault="00AF3B54" w:rsidP="00AF3B54">
      <w:pPr>
        <w:keepNext/>
        <w:keepLines/>
        <w:spacing w:after="120" w:line="240" w:lineRule="auto"/>
        <w:rPr>
          <w:sz w:val="22"/>
          <w:lang w:eastAsia="en-AU"/>
        </w:rPr>
      </w:pPr>
      <w:r w:rsidRPr="00C33BDC">
        <w:rPr>
          <w:sz w:val="22"/>
          <w:lang w:eastAsia="en-AU"/>
        </w:rPr>
        <w:t>The impact on our environment should be considered in all procurement activity. Some procurements will have a more direct association than others. Considerations include:</w:t>
      </w:r>
    </w:p>
    <w:p w14:paraId="2DCB8B69" w14:textId="77777777" w:rsidR="00AF3B54" w:rsidRPr="00C33BDC" w:rsidRDefault="00AF3B54" w:rsidP="00AF3B54">
      <w:pPr>
        <w:pStyle w:val="ListParagraph"/>
        <w:numPr>
          <w:ilvl w:val="0"/>
          <w:numId w:val="44"/>
        </w:numPr>
        <w:spacing w:before="180" w:line="240" w:lineRule="auto"/>
        <w:ind w:left="714" w:hanging="357"/>
        <w:contextualSpacing/>
        <w:rPr>
          <w:rFonts w:cs="Arial"/>
          <w:sz w:val="22"/>
          <w:lang w:eastAsia="en-AU"/>
        </w:rPr>
      </w:pPr>
      <w:r w:rsidRPr="00C33BDC">
        <w:rPr>
          <w:rFonts w:cs="Arial"/>
          <w:sz w:val="22"/>
          <w:lang w:eastAsia="en-AU"/>
        </w:rPr>
        <w:t>when buying simple products, factors like whether the product is produced from sustainable materials or comes with biodegradable packaging may form part of the value assessment</w:t>
      </w:r>
      <w:r w:rsidRPr="00C33BDC">
        <w:rPr>
          <w:rFonts w:cs="Arial"/>
          <w:sz w:val="22"/>
          <w:lang w:eastAsia="en-AU"/>
        </w:rPr>
        <w:br/>
      </w:r>
    </w:p>
    <w:p w14:paraId="74B01342" w14:textId="77777777" w:rsidR="00AF3B54" w:rsidRPr="00C33BDC" w:rsidRDefault="00AF3B54" w:rsidP="00AF3B54">
      <w:pPr>
        <w:pStyle w:val="ListParagraph"/>
        <w:numPr>
          <w:ilvl w:val="0"/>
          <w:numId w:val="44"/>
        </w:numPr>
        <w:spacing w:before="180" w:line="240" w:lineRule="auto"/>
        <w:ind w:left="714" w:hanging="357"/>
        <w:contextualSpacing/>
        <w:rPr>
          <w:rFonts w:cs="Arial"/>
          <w:sz w:val="22"/>
          <w:lang w:eastAsia="en-AU"/>
        </w:rPr>
      </w:pPr>
      <w:r w:rsidRPr="00C33BDC">
        <w:rPr>
          <w:rFonts w:cs="Arial"/>
          <w:sz w:val="22"/>
        </w:rPr>
        <w:t>in infrastructure projects, considerations may include how the environment may be impacted via things such as carbon emissions and waste products.</w:t>
      </w:r>
    </w:p>
    <w:p w14:paraId="21DFBC32" w14:textId="658C944A" w:rsidR="00AF3B54" w:rsidRPr="00E57D47" w:rsidRDefault="00AF3B54" w:rsidP="00AF3B54">
      <w:pPr>
        <w:pStyle w:val="purchasingtitle"/>
        <w:tabs>
          <w:tab w:val="left" w:pos="426"/>
        </w:tabs>
        <w:spacing w:before="180" w:after="60"/>
        <w:rPr>
          <w:lang w:val="en-AU" w:eastAsia="en-AU"/>
        </w:rPr>
      </w:pPr>
      <w:r>
        <w:rPr>
          <w:rFonts w:ascii="Arial" w:eastAsiaTheme="minorHAnsi" w:hAnsi="Arial" w:cs="Arial"/>
          <w:b w:val="0"/>
          <w:color w:val="auto"/>
          <w:sz w:val="22"/>
          <w:szCs w:val="22"/>
        </w:rPr>
        <w:t xml:space="preserve">Refer to </w:t>
      </w:r>
      <w:hyperlink r:id="rId18" w:history="1">
        <w:r w:rsidRPr="004B273E">
          <w:rPr>
            <w:rStyle w:val="Hyperlink"/>
            <w:rFonts w:ascii="Arial" w:eastAsiaTheme="minorHAnsi" w:hAnsi="Arial" w:cs="Arial"/>
            <w:b w:val="0"/>
            <w:color w:val="3333FF"/>
            <w:sz w:val="22"/>
            <w:szCs w:val="22"/>
          </w:rPr>
          <w:t>Integrating sustainability into the procurement process guide</w:t>
        </w:r>
      </w:hyperlink>
      <w:r w:rsidRPr="00AA196B">
        <w:rPr>
          <w:rFonts w:ascii="Arial" w:eastAsiaTheme="minorHAnsi" w:hAnsi="Arial" w:cs="Arial"/>
          <w:b w:val="0"/>
          <w:color w:val="FF0000"/>
          <w:sz w:val="22"/>
          <w:szCs w:val="22"/>
        </w:rPr>
        <w:t xml:space="preserve"> </w:t>
      </w:r>
      <w:r>
        <w:rPr>
          <w:rFonts w:ascii="Arial" w:eastAsiaTheme="minorHAnsi" w:hAnsi="Arial" w:cs="Arial"/>
          <w:b w:val="0"/>
          <w:color w:val="auto"/>
          <w:sz w:val="22"/>
          <w:szCs w:val="22"/>
        </w:rPr>
        <w:t xml:space="preserve">for more tips. </w:t>
      </w:r>
      <w:r w:rsidR="00B650CD">
        <w:rPr>
          <w:rFonts w:ascii="Arial" w:eastAsiaTheme="minorHAnsi" w:hAnsi="Arial" w:cs="Arial"/>
          <w:b w:val="0"/>
          <w:color w:val="auto"/>
          <w:sz w:val="22"/>
          <w:szCs w:val="22"/>
        </w:rPr>
        <w:br/>
      </w:r>
    </w:p>
    <w:p w14:paraId="1F438F53" w14:textId="77777777" w:rsidR="00AF3B54" w:rsidRPr="00DD0465" w:rsidRDefault="00AF3B54" w:rsidP="00A96301">
      <w:pPr>
        <w:pStyle w:val="Heading1"/>
        <w:spacing w:before="120"/>
        <w:rPr>
          <w:i/>
        </w:rPr>
      </w:pPr>
      <w:bookmarkStart w:id="34" w:name="_Toc80363217"/>
      <w:r w:rsidRPr="00DD0465">
        <w:t>Specific environmental targets for Queensland</w:t>
      </w:r>
      <w:bookmarkEnd w:id="34"/>
      <w:r w:rsidRPr="00DD0465">
        <w:t xml:space="preserve"> </w:t>
      </w:r>
    </w:p>
    <w:p w14:paraId="7DDE2FBA" w14:textId="77777777" w:rsidR="00AF3B54" w:rsidRPr="00C33BDC" w:rsidRDefault="00AF3B54" w:rsidP="00AF3B54">
      <w:pPr>
        <w:rPr>
          <w:rFonts w:cs="Arial"/>
          <w:bCs/>
          <w:sz w:val="22"/>
        </w:rPr>
      </w:pPr>
      <w:r w:rsidRPr="00C33BDC">
        <w:rPr>
          <w:rFonts w:cs="Arial"/>
          <w:bCs/>
          <w:sz w:val="22"/>
        </w:rPr>
        <w:t>The QPP cites the following environmental targets and commitments as being relevant to procurement. Each procurement process needs to consider and include, as appropriate, those targets and commitments which are relevant to the good or service as part of the overall value for money assessment:</w:t>
      </w:r>
    </w:p>
    <w:p w14:paraId="4FD9E4D6" w14:textId="77777777" w:rsidR="00AF3B54" w:rsidRPr="00C33BDC" w:rsidRDefault="00AF3B54" w:rsidP="00AF3B54">
      <w:pPr>
        <w:pStyle w:val="ListParagraph"/>
        <w:numPr>
          <w:ilvl w:val="0"/>
          <w:numId w:val="46"/>
        </w:numPr>
        <w:spacing w:before="180" w:line="240" w:lineRule="auto"/>
        <w:ind w:left="714" w:hanging="357"/>
        <w:contextualSpacing/>
        <w:rPr>
          <w:rFonts w:cs="Arial"/>
          <w:bCs/>
          <w:sz w:val="22"/>
        </w:rPr>
      </w:pPr>
      <w:r w:rsidRPr="00C33BDC">
        <w:rPr>
          <w:rFonts w:cs="Arial"/>
          <w:bCs/>
          <w:sz w:val="22"/>
        </w:rPr>
        <w:t>procure Australian-sourced, environmentally accredited paper products</w:t>
      </w:r>
    </w:p>
    <w:p w14:paraId="5F45D132" w14:textId="77777777" w:rsidR="00DE731B" w:rsidRPr="00DE731B" w:rsidRDefault="00AF3B54" w:rsidP="00AF3B54">
      <w:pPr>
        <w:pStyle w:val="ListParagraph"/>
        <w:numPr>
          <w:ilvl w:val="0"/>
          <w:numId w:val="46"/>
        </w:numPr>
        <w:spacing w:before="180" w:line="240" w:lineRule="auto"/>
        <w:ind w:left="714" w:hanging="357"/>
        <w:contextualSpacing/>
        <w:rPr>
          <w:rFonts w:cs="Arial"/>
          <w:b/>
          <w:bCs/>
          <w:sz w:val="22"/>
        </w:rPr>
      </w:pPr>
      <w:r w:rsidRPr="00C33BDC">
        <w:rPr>
          <w:rFonts w:cs="Arial"/>
          <w:sz w:val="22"/>
        </w:rPr>
        <w:t>achieve net zero emissions by 2050</w:t>
      </w:r>
    </w:p>
    <w:p w14:paraId="50C4488B" w14:textId="7D2584B6" w:rsidR="00AF3B54" w:rsidRPr="00C33BDC" w:rsidRDefault="00DE731B" w:rsidP="00AF3B54">
      <w:pPr>
        <w:pStyle w:val="ListParagraph"/>
        <w:numPr>
          <w:ilvl w:val="0"/>
          <w:numId w:val="46"/>
        </w:numPr>
        <w:spacing w:before="180" w:line="240" w:lineRule="auto"/>
        <w:ind w:left="714" w:hanging="357"/>
        <w:contextualSpacing/>
        <w:rPr>
          <w:rFonts w:cs="Arial"/>
          <w:b/>
          <w:bCs/>
          <w:sz w:val="22"/>
        </w:rPr>
      </w:pPr>
      <w:r w:rsidRPr="00C33BDC">
        <w:rPr>
          <w:rFonts w:cs="Arial"/>
          <w:sz w:val="22"/>
        </w:rPr>
        <w:t>achieve one million rooftops or 3000 megawatts of solar photovoltaics (PV) in Queensland by 2020.</w:t>
      </w:r>
      <w:r w:rsidR="00AF3B54" w:rsidRPr="00C33BDC">
        <w:rPr>
          <w:rFonts w:cs="Arial"/>
          <w:sz w:val="22"/>
        </w:rPr>
        <w:br/>
      </w:r>
    </w:p>
    <w:p w14:paraId="151FCDA5" w14:textId="23614809" w:rsidR="00AF3B54" w:rsidRPr="00C33BDC" w:rsidRDefault="00AF3B54" w:rsidP="00DE731B">
      <w:pPr>
        <w:pStyle w:val="ListParagraph"/>
        <w:spacing w:before="180" w:after="0" w:line="240" w:lineRule="auto"/>
        <w:ind w:left="714"/>
        <w:contextualSpacing/>
        <w:rPr>
          <w:rFonts w:cs="Arial"/>
          <w:sz w:val="22"/>
        </w:rPr>
      </w:pPr>
    </w:p>
    <w:p w14:paraId="0D535915" w14:textId="77777777" w:rsidR="00AF3B54" w:rsidRPr="00C33BDC" w:rsidRDefault="00AF3B54" w:rsidP="00AF3B54">
      <w:pPr>
        <w:rPr>
          <w:b/>
          <w:sz w:val="22"/>
        </w:rPr>
      </w:pPr>
      <w:bookmarkStart w:id="35" w:name="_Toc491873076"/>
      <w:r w:rsidRPr="00C33BDC">
        <w:rPr>
          <w:b/>
          <w:sz w:val="22"/>
        </w:rPr>
        <w:lastRenderedPageBreak/>
        <w:t>Value for money from a social perspective</w:t>
      </w:r>
      <w:bookmarkEnd w:id="35"/>
    </w:p>
    <w:p w14:paraId="518D43C2" w14:textId="77777777" w:rsidR="00AF3B54" w:rsidRPr="00C33BDC" w:rsidRDefault="00AF3B54" w:rsidP="00AF3B54">
      <w:pPr>
        <w:rPr>
          <w:sz w:val="22"/>
        </w:rPr>
      </w:pPr>
      <w:r w:rsidRPr="00C33BDC">
        <w:rPr>
          <w:sz w:val="22"/>
        </w:rPr>
        <w:t xml:space="preserve">Social benefits refer to how Queensland Government spending might be used to support social priorities, such as employment opportunities for vulnerable Queenslanders. By leveraging even a small slice of the Queensland Government’s spending to support social priorities, communities across the state can benefit. </w:t>
      </w:r>
    </w:p>
    <w:p w14:paraId="336D5C7C" w14:textId="77777777" w:rsidR="00AF3B54" w:rsidRPr="00C33BDC" w:rsidRDefault="00AF3B54" w:rsidP="00AF3B54">
      <w:pPr>
        <w:spacing w:line="240" w:lineRule="auto"/>
        <w:rPr>
          <w:rFonts w:cs="Arial"/>
          <w:sz w:val="22"/>
        </w:rPr>
      </w:pPr>
      <w:r w:rsidRPr="00C33BDC">
        <w:rPr>
          <w:rFonts w:cs="Arial"/>
          <w:sz w:val="22"/>
        </w:rPr>
        <w:t>Social benefit (or social value) is described as:</w:t>
      </w:r>
    </w:p>
    <w:p w14:paraId="0581C4A3" w14:textId="77777777" w:rsidR="00AF3B54" w:rsidRPr="00C33BDC" w:rsidRDefault="00AF3B54" w:rsidP="00AF3B54">
      <w:pPr>
        <w:spacing w:line="240" w:lineRule="auto"/>
        <w:ind w:left="284"/>
        <w:rPr>
          <w:rFonts w:cs="Arial"/>
          <w:i/>
          <w:sz w:val="22"/>
        </w:rPr>
      </w:pPr>
      <w:r w:rsidRPr="00C33BDC">
        <w:rPr>
          <w:rFonts w:cs="Arial"/>
          <w:i/>
          <w:sz w:val="22"/>
        </w:rPr>
        <w:t>“The positive impacts on people, places or communities generated through procurement practices”.</w:t>
      </w:r>
    </w:p>
    <w:p w14:paraId="5E614E8C" w14:textId="77777777" w:rsidR="00AF3B54" w:rsidRPr="00C33BDC" w:rsidRDefault="00AF3B54" w:rsidP="00AF3B54">
      <w:pPr>
        <w:spacing w:line="240" w:lineRule="auto"/>
        <w:rPr>
          <w:rFonts w:cs="Arial"/>
          <w:sz w:val="22"/>
        </w:rPr>
      </w:pPr>
      <w:r w:rsidRPr="00C33BDC">
        <w:rPr>
          <w:rFonts w:cs="Arial"/>
          <w:sz w:val="22"/>
        </w:rPr>
        <w:t>While some</w:t>
      </w:r>
      <w:r w:rsidRPr="00C33BDC">
        <w:rPr>
          <w:sz w:val="22"/>
        </w:rPr>
        <w:t xml:space="preserve"> social benefits, such as greater </w:t>
      </w:r>
      <w:hyperlink r:id="rId19" w:history="1">
        <w:r w:rsidRPr="00C33BDC">
          <w:rPr>
            <w:sz w:val="22"/>
          </w:rPr>
          <w:t>social justice</w:t>
        </w:r>
      </w:hyperlink>
      <w:r w:rsidRPr="00C33BDC">
        <w:rPr>
          <w:sz w:val="22"/>
        </w:rPr>
        <w:t xml:space="preserve">, cannot easily be quantified, </w:t>
      </w:r>
      <w:r w:rsidRPr="00C33BDC">
        <w:rPr>
          <w:rFonts w:cs="Arial"/>
          <w:sz w:val="22"/>
        </w:rPr>
        <w:t>social and economic participation is a key indicator of the overall health and vibrancy of a community. Procurement can assist in advancing government objectives by providing opportunities that support and drive genuine employment for all Queenslanders.</w:t>
      </w:r>
    </w:p>
    <w:p w14:paraId="560F2694" w14:textId="77777777" w:rsidR="00AF3B54" w:rsidRPr="00C33BDC" w:rsidRDefault="00AF3B54" w:rsidP="00AF3B54">
      <w:pPr>
        <w:spacing w:line="240" w:lineRule="auto"/>
        <w:rPr>
          <w:rFonts w:cs="Arial"/>
          <w:sz w:val="22"/>
        </w:rPr>
      </w:pPr>
      <w:r w:rsidRPr="00C33BDC">
        <w:rPr>
          <w:rFonts w:cs="Arial"/>
          <w:sz w:val="22"/>
        </w:rPr>
        <w:t>Consideration of social benefits in tendering activity might include things like:</w:t>
      </w:r>
    </w:p>
    <w:p w14:paraId="1E47CDD1" w14:textId="2767AA00" w:rsidR="00AF3B54" w:rsidRPr="00C33BDC" w:rsidRDefault="00AF3B54" w:rsidP="00AF3B54">
      <w:pPr>
        <w:pStyle w:val="ListParagraph"/>
        <w:numPr>
          <w:ilvl w:val="0"/>
          <w:numId w:val="30"/>
        </w:numPr>
        <w:spacing w:before="180" w:line="240" w:lineRule="auto"/>
        <w:contextualSpacing/>
        <w:rPr>
          <w:rFonts w:cs="Arial"/>
          <w:sz w:val="22"/>
        </w:rPr>
      </w:pPr>
      <w:r w:rsidRPr="00C33BDC">
        <w:rPr>
          <w:rFonts w:cs="Arial"/>
          <w:sz w:val="22"/>
        </w:rPr>
        <w:t>the creation of training and employment opportunities through clauses and specifications in contracts, particularly for disadvantaged or marginalised jobseekers, such as people with disability</w:t>
      </w:r>
      <w:r w:rsidR="00401DD3">
        <w:rPr>
          <w:rFonts w:cs="Arial"/>
          <w:sz w:val="22"/>
        </w:rPr>
        <w:br/>
      </w:r>
    </w:p>
    <w:p w14:paraId="3DF8ADF2" w14:textId="4EF1910C" w:rsidR="00AF3B54" w:rsidRPr="00C33BDC" w:rsidRDefault="00AF3B54" w:rsidP="00AF3B54">
      <w:pPr>
        <w:pStyle w:val="ListParagraph"/>
        <w:numPr>
          <w:ilvl w:val="0"/>
          <w:numId w:val="30"/>
        </w:numPr>
        <w:spacing w:before="180" w:line="240" w:lineRule="auto"/>
        <w:contextualSpacing/>
        <w:rPr>
          <w:rFonts w:cs="Arial"/>
          <w:sz w:val="22"/>
        </w:rPr>
      </w:pPr>
      <w:r w:rsidRPr="00C33BDC">
        <w:rPr>
          <w:rFonts w:cs="Arial"/>
          <w:sz w:val="22"/>
        </w:rPr>
        <w:t>considering set asides, particularly for low risk/low value purchasing.</w:t>
      </w:r>
      <w:r w:rsidR="00401DD3">
        <w:rPr>
          <w:rFonts w:cs="Arial"/>
          <w:sz w:val="22"/>
        </w:rPr>
        <w:br/>
      </w:r>
    </w:p>
    <w:p w14:paraId="0835EA8B" w14:textId="77777777" w:rsidR="00AF3B54" w:rsidRPr="00C33BDC" w:rsidRDefault="00AF3B54" w:rsidP="00AF3B54">
      <w:pPr>
        <w:spacing w:line="240" w:lineRule="auto"/>
        <w:rPr>
          <w:rFonts w:cs="Arial"/>
          <w:sz w:val="22"/>
        </w:rPr>
      </w:pPr>
      <w:r w:rsidRPr="00C33BDC">
        <w:rPr>
          <w:rFonts w:cs="Arial"/>
          <w:sz w:val="22"/>
        </w:rPr>
        <w:t>Government buyers should, where possible, document in their planning and tender documentation how social benefits will be measured and reported.</w:t>
      </w:r>
    </w:p>
    <w:p w14:paraId="177390DE" w14:textId="77777777" w:rsidR="00AF3B54" w:rsidRPr="00C33BDC" w:rsidRDefault="00AF3B54" w:rsidP="00AF3B54">
      <w:pPr>
        <w:rPr>
          <w:sz w:val="22"/>
        </w:rPr>
      </w:pPr>
      <w:r w:rsidRPr="00C33BDC">
        <w:rPr>
          <w:sz w:val="22"/>
        </w:rPr>
        <w:t>For more about consideration of social benefits in procurement, refer to the</w:t>
      </w:r>
      <w:bookmarkStart w:id="36" w:name="_Hlk492636533"/>
      <w:r w:rsidRPr="00C33BDC">
        <w:rPr>
          <w:sz w:val="22"/>
        </w:rPr>
        <w:t xml:space="preserve"> </w:t>
      </w:r>
      <w:bookmarkStart w:id="37" w:name="_Hlk494374289"/>
      <w:r w:rsidRPr="00C33BDC">
        <w:rPr>
          <w:sz w:val="22"/>
        </w:rPr>
        <w:fldChar w:fldCharType="begin"/>
      </w:r>
      <w:r w:rsidRPr="00C33BDC">
        <w:rPr>
          <w:sz w:val="22"/>
        </w:rPr>
        <w:instrText xml:space="preserve"> HYPERLINK "https://www.forgov.qld.gov.au/consider-social-procurement" </w:instrText>
      </w:r>
      <w:r w:rsidRPr="00C33BDC">
        <w:rPr>
          <w:sz w:val="22"/>
        </w:rPr>
        <w:fldChar w:fldCharType="separate"/>
      </w:r>
      <w:r w:rsidRPr="00C33BDC">
        <w:rPr>
          <w:rStyle w:val="Hyperlink"/>
          <w:sz w:val="22"/>
        </w:rPr>
        <w:t>Social procurement toolkit</w:t>
      </w:r>
      <w:r w:rsidRPr="00C33BDC">
        <w:rPr>
          <w:sz w:val="22"/>
        </w:rPr>
        <w:fldChar w:fldCharType="end"/>
      </w:r>
      <w:bookmarkEnd w:id="36"/>
      <w:bookmarkEnd w:id="37"/>
      <w:r w:rsidRPr="00C33BDC">
        <w:rPr>
          <w:rFonts w:cs="Arial"/>
          <w:color w:val="3333FF"/>
          <w:sz w:val="22"/>
        </w:rPr>
        <w:t xml:space="preserve">. </w:t>
      </w:r>
      <w:r w:rsidRPr="00C33BDC">
        <w:rPr>
          <w:rFonts w:cs="Arial"/>
          <w:sz w:val="22"/>
        </w:rPr>
        <w:t>The toolkit includes a social procurement guide as well as guidance about including domestic and family violence clauses in procurement processes.</w:t>
      </w:r>
    </w:p>
    <w:p w14:paraId="47895B3B" w14:textId="77777777" w:rsidR="00AF3B54" w:rsidRPr="006B7C6A" w:rsidRDefault="00AF3B54" w:rsidP="00C33BDC">
      <w:pPr>
        <w:pStyle w:val="Heading1"/>
        <w:rPr>
          <w:i/>
        </w:rPr>
      </w:pPr>
      <w:bookmarkStart w:id="38" w:name="_Toc80363218"/>
      <w:r w:rsidRPr="006B7C6A">
        <w:t>Specific social targets for Queensland Government</w:t>
      </w:r>
      <w:bookmarkEnd w:id="38"/>
      <w:r w:rsidRPr="006B7C6A">
        <w:t xml:space="preserve"> </w:t>
      </w:r>
    </w:p>
    <w:p w14:paraId="7B7DC451" w14:textId="77777777" w:rsidR="00AF3B54" w:rsidRPr="00C33BDC" w:rsidRDefault="00AF3B54" w:rsidP="00AF3B54">
      <w:pPr>
        <w:rPr>
          <w:rFonts w:cs="Arial"/>
          <w:sz w:val="22"/>
        </w:rPr>
      </w:pPr>
      <w:r w:rsidRPr="00C33BDC">
        <w:rPr>
          <w:rFonts w:cs="Arial"/>
          <w:sz w:val="22"/>
        </w:rPr>
        <w:t>The QPP cites the following social targets and commitments as being relevant to procurement:</w:t>
      </w:r>
    </w:p>
    <w:p w14:paraId="22E1481F" w14:textId="7766B4C4" w:rsidR="00AF3B54" w:rsidRPr="00C33BDC" w:rsidRDefault="00AF3B54" w:rsidP="00AF3B54">
      <w:pPr>
        <w:pStyle w:val="ListParagraph"/>
        <w:numPr>
          <w:ilvl w:val="0"/>
          <w:numId w:val="30"/>
        </w:numPr>
        <w:spacing w:before="180" w:line="240" w:lineRule="auto"/>
        <w:rPr>
          <w:rFonts w:cs="Arial"/>
          <w:sz w:val="22"/>
        </w:rPr>
      </w:pPr>
      <w:r w:rsidRPr="00C33BDC">
        <w:rPr>
          <w:rFonts w:cs="Arial"/>
          <w:sz w:val="22"/>
        </w:rPr>
        <w:t>increase spend with genuine, qualit</w:t>
      </w:r>
      <w:r w:rsidRPr="00C33BDC">
        <w:rPr>
          <w:sz w:val="22"/>
        </w:rPr>
        <w:t>y</w:t>
      </w:r>
      <w:r w:rsidRPr="00C33BDC">
        <w:rPr>
          <w:rFonts w:cs="Arial"/>
          <w:sz w:val="22"/>
        </w:rPr>
        <w:t xml:space="preserve">, social enterprises, providing </w:t>
      </w:r>
      <w:r w:rsidR="00401DD3" w:rsidRPr="00401DD3">
        <w:rPr>
          <w:rFonts w:cs="Arial"/>
          <w:sz w:val="22"/>
        </w:rPr>
        <w:t>award-based</w:t>
      </w:r>
      <w:r w:rsidRPr="00C33BDC">
        <w:rPr>
          <w:rFonts w:cs="Arial"/>
          <w:sz w:val="22"/>
        </w:rPr>
        <w:t xml:space="preserve"> wages (using the Supported Wage System where appropriate) and pathways to mainstream employment for disadvantaged Queenslanders</w:t>
      </w:r>
    </w:p>
    <w:p w14:paraId="4FF3E09B" w14:textId="4E51383F" w:rsidR="00DE731B" w:rsidRDefault="00AF3B54" w:rsidP="00DE731B">
      <w:pPr>
        <w:pStyle w:val="ListParagraph"/>
        <w:numPr>
          <w:ilvl w:val="0"/>
          <w:numId w:val="30"/>
        </w:numPr>
        <w:spacing w:before="180" w:line="240" w:lineRule="auto"/>
        <w:rPr>
          <w:rFonts w:cs="Arial"/>
          <w:sz w:val="22"/>
        </w:rPr>
      </w:pPr>
      <w:r w:rsidRPr="00C33BDC">
        <w:rPr>
          <w:rFonts w:cs="Arial"/>
          <w:sz w:val="22"/>
        </w:rPr>
        <w:t>take into account workplace policies and practices aimed at ending domestic and family violence as part of supplier evaluation and selection</w:t>
      </w:r>
    </w:p>
    <w:p w14:paraId="0700A655" w14:textId="3C31CB1E" w:rsidR="00DE731B" w:rsidRPr="00DE731B" w:rsidRDefault="00DE731B" w:rsidP="00DE731B">
      <w:pPr>
        <w:pStyle w:val="ListParagraph"/>
        <w:numPr>
          <w:ilvl w:val="0"/>
          <w:numId w:val="30"/>
        </w:numPr>
        <w:spacing w:before="180" w:line="240" w:lineRule="auto"/>
        <w:rPr>
          <w:rStyle w:val="Heading1Char"/>
          <w:rFonts w:eastAsiaTheme="minorHAnsi" w:cs="Arial"/>
          <w:b w:val="0"/>
          <w:color w:val="auto"/>
          <w:sz w:val="22"/>
          <w:szCs w:val="22"/>
        </w:rPr>
      </w:pPr>
      <w:r w:rsidRPr="00DE731B">
        <w:rPr>
          <w:rFonts w:cs="Arial"/>
          <w:sz w:val="22"/>
        </w:rPr>
        <w:t>ensure</w:t>
      </w:r>
      <w:r w:rsidRPr="00DE731B">
        <w:rPr>
          <w:sz w:val="22"/>
        </w:rPr>
        <w:t xml:space="preserve"> that all Queensland Government procurement </w:t>
      </w:r>
      <w:r w:rsidRPr="00DE731B">
        <w:rPr>
          <w:rFonts w:cs="Arial"/>
          <w:sz w:val="22"/>
        </w:rPr>
        <w:t>activities</w:t>
      </w:r>
      <w:r w:rsidRPr="00DE731B">
        <w:rPr>
          <w:sz w:val="22"/>
        </w:rPr>
        <w:t xml:space="preserve"> are compliant with the </w:t>
      </w:r>
      <w:r w:rsidRPr="00DE731B">
        <w:rPr>
          <w:i/>
          <w:sz w:val="22"/>
        </w:rPr>
        <w:t>Disability Discrimination Act 1992</w:t>
      </w:r>
      <w:r w:rsidRPr="00DE731B">
        <w:rPr>
          <w:sz w:val="22"/>
        </w:rPr>
        <w:t xml:space="preserve"> (Cth).</w:t>
      </w:r>
      <w:r w:rsidRPr="00DE731B">
        <w:rPr>
          <w:rFonts w:cs="Arial"/>
          <w:sz w:val="22"/>
        </w:rPr>
        <w:br/>
      </w:r>
    </w:p>
    <w:p w14:paraId="767216AE" w14:textId="77777777" w:rsidR="00DE731B" w:rsidRDefault="00DE731B" w:rsidP="00DE731B">
      <w:pPr>
        <w:keepNext/>
        <w:keepLines/>
        <w:rPr>
          <w:sz w:val="22"/>
          <w:lang w:eastAsia="en-AU"/>
        </w:rPr>
      </w:pPr>
      <w:bookmarkStart w:id="39" w:name="_Toc80363219"/>
      <w:r w:rsidRPr="00DE731B">
        <w:rPr>
          <w:rStyle w:val="Heading1Char"/>
        </w:rPr>
        <w:t>Value for money should be considered at each stage of the procurement process</w:t>
      </w:r>
      <w:bookmarkEnd w:id="39"/>
      <w:r w:rsidRPr="00DE731B">
        <w:rPr>
          <w:sz w:val="22"/>
          <w:lang w:eastAsia="en-AU"/>
        </w:rPr>
        <w:t xml:space="preserve"> </w:t>
      </w:r>
    </w:p>
    <w:p w14:paraId="330A83BC" w14:textId="606DFC3A" w:rsidR="00DE731B" w:rsidRPr="00C33BDC" w:rsidRDefault="00DE731B" w:rsidP="00DE731B">
      <w:pPr>
        <w:keepNext/>
        <w:keepLines/>
        <w:rPr>
          <w:sz w:val="22"/>
          <w:lang w:eastAsia="en-AU"/>
        </w:rPr>
      </w:pPr>
      <w:r w:rsidRPr="00C33BDC">
        <w:rPr>
          <w:sz w:val="22"/>
          <w:lang w:eastAsia="en-AU"/>
        </w:rPr>
        <w:t>What represents value for money will vary depending on what is being procured – there is no ‘one size fits all’ approach. What ultimately represents value for money will involve achieving the right balance between cost and non-cost factors, government objectives, targets and commitments. Critically, the good or service must effectively and efficiently deliver on the core needs of a procurement.</w:t>
      </w:r>
    </w:p>
    <w:p w14:paraId="0986881F" w14:textId="356C97BE" w:rsidR="00DE731B" w:rsidRPr="00DE731B" w:rsidRDefault="00DE731B" w:rsidP="00DE731B">
      <w:pPr>
        <w:spacing w:before="180" w:line="240" w:lineRule="auto"/>
        <w:ind w:left="360"/>
        <w:rPr>
          <w:rFonts w:cs="Arial"/>
          <w:sz w:val="22"/>
        </w:rPr>
      </w:pPr>
    </w:p>
    <w:p w14:paraId="7865D6C0" w14:textId="77777777" w:rsidR="00AF3B54" w:rsidRPr="00C33BDC" w:rsidRDefault="00AF3B54" w:rsidP="00AF3B54">
      <w:pPr>
        <w:rPr>
          <w:sz w:val="22"/>
          <w:lang w:eastAsia="en-AU"/>
        </w:rPr>
      </w:pPr>
      <w:r w:rsidRPr="00C33BDC">
        <w:rPr>
          <w:sz w:val="22"/>
          <w:lang w:eastAsia="en-AU"/>
        </w:rPr>
        <w:lastRenderedPageBreak/>
        <w:t xml:space="preserve">There is also no set methodology or a single formula that will ensure value for money is realised. Government buyers need to take a planned and considered approach when securing value for money, making reasonable and defensible judgements and decisions. This needs to occur throughout the procurement process and the life of the contract. From understanding what you are going to buy (demand analysis) during the planning phase, to analysis of the supply market, specification and contract development and locking in value while managing the contract. </w:t>
      </w:r>
    </w:p>
    <w:p w14:paraId="75EC8CDE" w14:textId="77777777" w:rsidR="00AF3B54" w:rsidRPr="00C33BDC" w:rsidRDefault="00AF3B54" w:rsidP="00AF3B54">
      <w:pPr>
        <w:rPr>
          <w:rFonts w:cs="Arial"/>
          <w:color w:val="222222"/>
          <w:sz w:val="22"/>
        </w:rPr>
      </w:pPr>
      <w:r w:rsidRPr="00C33BDC">
        <w:rPr>
          <w:rFonts w:cs="Arial"/>
          <w:color w:val="222222"/>
          <w:sz w:val="22"/>
        </w:rPr>
        <w:t>You may also need to look to your agency procurement plans and relevant category strategies which will guide you in determining what constitutes value for money. Internal clients and end-users are important stakeholders when determining what value for money ultimately looks like.</w:t>
      </w:r>
    </w:p>
    <w:p w14:paraId="03C04443" w14:textId="77777777" w:rsidR="00AF3B54" w:rsidRDefault="00AF3B54" w:rsidP="00A96301">
      <w:pPr>
        <w:pStyle w:val="Heading2"/>
        <w:spacing w:before="240"/>
        <w:rPr>
          <w:rFonts w:eastAsiaTheme="minorHAnsi"/>
        </w:rPr>
      </w:pPr>
      <w:bookmarkStart w:id="40" w:name="_Toc491873078"/>
      <w:bookmarkStart w:id="41" w:name="_Toc514843899"/>
      <w:bookmarkStart w:id="42" w:name="_Toc80363220"/>
      <w:r>
        <w:rPr>
          <w:rFonts w:eastAsiaTheme="minorHAnsi"/>
        </w:rPr>
        <w:t>Approach to value for money based on the complexity of the procurement</w:t>
      </w:r>
      <w:bookmarkEnd w:id="40"/>
      <w:bookmarkEnd w:id="41"/>
      <w:bookmarkEnd w:id="42"/>
    </w:p>
    <w:p w14:paraId="02076B27" w14:textId="77777777" w:rsidR="00AF3B54" w:rsidRPr="00C33BDC" w:rsidRDefault="00AF3B54" w:rsidP="00AF3B54">
      <w:pPr>
        <w:rPr>
          <w:rFonts w:cs="Arial"/>
          <w:sz w:val="22"/>
        </w:rPr>
      </w:pPr>
      <w:r w:rsidRPr="00C33BDC">
        <w:rPr>
          <w:rFonts w:cs="Arial"/>
          <w:sz w:val="22"/>
        </w:rPr>
        <w:t xml:space="preserve">Value for money must be considered in everything we buy. The approach taken will vary based on the value and risk associated with a procurement. For further information about the value risk assessment, refer to the </w:t>
      </w:r>
      <w:hyperlink r:id="rId20" w:history="1">
        <w:r w:rsidRPr="00C33BDC">
          <w:rPr>
            <w:rStyle w:val="Hyperlink"/>
            <w:rFonts w:cs="Arial"/>
            <w:sz w:val="22"/>
          </w:rPr>
          <w:t>Value Risk Matrix.</w:t>
        </w:r>
      </w:hyperlink>
    </w:p>
    <w:p w14:paraId="71A65C1B" w14:textId="77777777" w:rsidR="00AF3B54" w:rsidRDefault="00AF3B54" w:rsidP="00AF3B54">
      <w:pPr>
        <w:pStyle w:val="purchasingtitle"/>
        <w:tabs>
          <w:tab w:val="left" w:pos="0"/>
        </w:tabs>
        <w:rPr>
          <w:rFonts w:ascii="Arial" w:eastAsiaTheme="minorHAnsi" w:hAnsi="Arial" w:cs="Arial"/>
          <w:b w:val="0"/>
          <w:color w:val="auto"/>
          <w:sz w:val="22"/>
          <w:szCs w:val="22"/>
        </w:rPr>
      </w:pPr>
      <w:r w:rsidRPr="007A73BF">
        <w:rPr>
          <w:rFonts w:ascii="Arial" w:eastAsiaTheme="minorHAnsi" w:hAnsi="Arial" w:cs="Arial"/>
          <w:color w:val="auto"/>
          <w:sz w:val="22"/>
          <w:szCs w:val="22"/>
        </w:rPr>
        <w:t>Routine procurement:</w:t>
      </w:r>
      <w:r>
        <w:rPr>
          <w:rFonts w:ascii="Arial" w:eastAsiaTheme="minorHAnsi" w:hAnsi="Arial" w:cs="Arial"/>
          <w:b w:val="0"/>
          <w:color w:val="auto"/>
          <w:sz w:val="22"/>
          <w:szCs w:val="22"/>
        </w:rPr>
        <w:t xml:space="preserve"> These are usually low value, low risk procurements, or purchases, which can be sourced via quotations or purchased using a corporate card. Some questions to ask yourself:</w:t>
      </w:r>
    </w:p>
    <w:p w14:paraId="162866B5" w14:textId="77777777" w:rsidR="00AF3B54" w:rsidRDefault="00AF3B54" w:rsidP="00AF3B54">
      <w:pPr>
        <w:pStyle w:val="purchasingtitle"/>
        <w:numPr>
          <w:ilvl w:val="1"/>
          <w:numId w:val="26"/>
        </w:numPr>
        <w:tabs>
          <w:tab w:val="left" w:pos="426"/>
        </w:tabs>
        <w:spacing w:before="180" w:after="60"/>
        <w:ind w:left="851"/>
        <w:rPr>
          <w:rFonts w:ascii="Arial" w:hAnsi="Arial" w:cs="Arial"/>
          <w:b w:val="0"/>
          <w:color w:val="auto"/>
          <w:sz w:val="22"/>
          <w:szCs w:val="22"/>
        </w:rPr>
      </w:pPr>
      <w:r>
        <w:rPr>
          <w:rFonts w:ascii="Arial" w:eastAsiaTheme="minorHAnsi" w:hAnsi="Arial" w:cs="Arial"/>
          <w:b w:val="0"/>
          <w:color w:val="auto"/>
          <w:sz w:val="22"/>
          <w:szCs w:val="22"/>
        </w:rPr>
        <w:t>d</w:t>
      </w:r>
      <w:r w:rsidRPr="00E41F15">
        <w:rPr>
          <w:rFonts w:ascii="Arial" w:eastAsiaTheme="minorHAnsi" w:hAnsi="Arial" w:cs="Arial"/>
          <w:b w:val="0"/>
          <w:color w:val="auto"/>
          <w:sz w:val="22"/>
          <w:szCs w:val="22"/>
        </w:rPr>
        <w:t xml:space="preserve">oes a </w:t>
      </w:r>
      <w:bookmarkStart w:id="43" w:name="_Hlk492622842"/>
      <w:r w:rsidRPr="00E41F15">
        <w:rPr>
          <w:rFonts w:ascii="Arial" w:eastAsiaTheme="minorHAnsi" w:hAnsi="Arial" w:cs="Arial"/>
          <w:b w:val="0"/>
          <w:color w:val="auto"/>
          <w:sz w:val="22"/>
          <w:szCs w:val="22"/>
        </w:rPr>
        <w:t>common</w:t>
      </w:r>
      <w:r>
        <w:rPr>
          <w:rFonts w:ascii="Arial" w:eastAsiaTheme="minorHAnsi" w:hAnsi="Arial" w:cs="Arial"/>
          <w:b w:val="0"/>
          <w:color w:val="auto"/>
          <w:sz w:val="22"/>
          <w:szCs w:val="22"/>
        </w:rPr>
        <w:t>-</w:t>
      </w:r>
      <w:r w:rsidRPr="00E41F15">
        <w:rPr>
          <w:rFonts w:ascii="Arial" w:eastAsiaTheme="minorHAnsi" w:hAnsi="Arial" w:cs="Arial"/>
          <w:b w:val="0"/>
          <w:color w:val="auto"/>
          <w:sz w:val="22"/>
          <w:szCs w:val="22"/>
        </w:rPr>
        <w:t xml:space="preserve">use supply arrangement </w:t>
      </w:r>
      <w:bookmarkEnd w:id="43"/>
      <w:r w:rsidRPr="00E41F15">
        <w:rPr>
          <w:rFonts w:ascii="Arial" w:eastAsiaTheme="minorHAnsi" w:hAnsi="Arial" w:cs="Arial"/>
          <w:b w:val="0"/>
          <w:color w:val="auto"/>
          <w:sz w:val="22"/>
          <w:szCs w:val="22"/>
        </w:rPr>
        <w:t xml:space="preserve">already exist? Where </w:t>
      </w:r>
      <w:r>
        <w:rPr>
          <w:rFonts w:ascii="Arial" w:eastAsiaTheme="minorHAnsi" w:hAnsi="Arial" w:cs="Arial"/>
          <w:b w:val="0"/>
          <w:color w:val="auto"/>
          <w:sz w:val="22"/>
          <w:szCs w:val="22"/>
        </w:rPr>
        <w:t>an</w:t>
      </w:r>
      <w:r w:rsidRPr="00E41F15">
        <w:rPr>
          <w:rFonts w:ascii="Arial" w:eastAsiaTheme="minorHAnsi" w:hAnsi="Arial" w:cs="Arial"/>
          <w:b w:val="0"/>
          <w:color w:val="auto"/>
          <w:sz w:val="22"/>
          <w:szCs w:val="22"/>
        </w:rPr>
        <w:t xml:space="preserve"> arrangement </w:t>
      </w:r>
      <w:r>
        <w:rPr>
          <w:rFonts w:ascii="Arial" w:eastAsiaTheme="minorHAnsi" w:hAnsi="Arial" w:cs="Arial"/>
          <w:b w:val="0"/>
          <w:color w:val="auto"/>
          <w:sz w:val="22"/>
          <w:szCs w:val="22"/>
        </w:rPr>
        <w:t xml:space="preserve">does </w:t>
      </w:r>
      <w:r w:rsidRPr="00E41F15">
        <w:rPr>
          <w:rFonts w:ascii="Arial" w:eastAsiaTheme="minorHAnsi" w:hAnsi="Arial" w:cs="Arial"/>
          <w:b w:val="0"/>
          <w:color w:val="auto"/>
          <w:sz w:val="22"/>
          <w:szCs w:val="22"/>
        </w:rPr>
        <w:t xml:space="preserve">exist, </w:t>
      </w:r>
      <w:r>
        <w:rPr>
          <w:rFonts w:ascii="Arial" w:eastAsiaTheme="minorHAnsi" w:hAnsi="Arial" w:cs="Arial"/>
          <w:b w:val="0"/>
          <w:color w:val="auto"/>
          <w:sz w:val="22"/>
          <w:szCs w:val="22"/>
        </w:rPr>
        <w:t>a</w:t>
      </w:r>
      <w:r w:rsidRPr="00E41F15">
        <w:rPr>
          <w:rFonts w:ascii="Arial" w:eastAsiaTheme="minorHAnsi" w:hAnsi="Arial" w:cs="Arial"/>
          <w:b w:val="0"/>
          <w:color w:val="auto"/>
          <w:sz w:val="22"/>
          <w:szCs w:val="22"/>
        </w:rPr>
        <w:t xml:space="preserve"> </w:t>
      </w:r>
      <w:r>
        <w:rPr>
          <w:rFonts w:ascii="Arial" w:eastAsiaTheme="minorHAnsi" w:hAnsi="Arial" w:cs="Arial"/>
          <w:b w:val="0"/>
          <w:color w:val="auto"/>
          <w:sz w:val="22"/>
          <w:szCs w:val="22"/>
        </w:rPr>
        <w:t xml:space="preserve">basic </w:t>
      </w:r>
      <w:r w:rsidRPr="00E41F15">
        <w:rPr>
          <w:rFonts w:ascii="Arial" w:eastAsiaTheme="minorHAnsi" w:hAnsi="Arial" w:cs="Arial"/>
          <w:b w:val="0"/>
          <w:color w:val="auto"/>
          <w:sz w:val="22"/>
          <w:szCs w:val="22"/>
        </w:rPr>
        <w:t>value for money assessment has been done</w:t>
      </w:r>
      <w:r>
        <w:rPr>
          <w:rFonts w:ascii="Arial" w:eastAsiaTheme="minorHAnsi" w:hAnsi="Arial" w:cs="Arial"/>
          <w:b w:val="0"/>
          <w:color w:val="auto"/>
          <w:sz w:val="22"/>
          <w:szCs w:val="22"/>
        </w:rPr>
        <w:t xml:space="preserve">. </w:t>
      </w:r>
      <w:r w:rsidRPr="00E41F15">
        <w:rPr>
          <w:rFonts w:ascii="Arial" w:eastAsiaTheme="minorHAnsi" w:hAnsi="Arial" w:cs="Arial"/>
          <w:b w:val="0"/>
          <w:color w:val="auto"/>
          <w:sz w:val="22"/>
          <w:szCs w:val="22"/>
        </w:rPr>
        <w:t>Government buyers are encouraged to use common</w:t>
      </w:r>
      <w:r>
        <w:rPr>
          <w:rFonts w:ascii="Arial" w:eastAsiaTheme="minorHAnsi" w:hAnsi="Arial" w:cs="Arial"/>
          <w:b w:val="0"/>
          <w:color w:val="auto"/>
          <w:sz w:val="22"/>
          <w:szCs w:val="22"/>
        </w:rPr>
        <w:t>-</w:t>
      </w:r>
      <w:r w:rsidRPr="00E41F15">
        <w:rPr>
          <w:rFonts w:ascii="Arial" w:eastAsiaTheme="minorHAnsi" w:hAnsi="Arial" w:cs="Arial"/>
          <w:b w:val="0"/>
          <w:color w:val="auto"/>
          <w:sz w:val="22"/>
          <w:szCs w:val="22"/>
        </w:rPr>
        <w:t>use supply arrangements as an efficient way to procure goods and services</w:t>
      </w:r>
      <w:r>
        <w:rPr>
          <w:rFonts w:ascii="Arial" w:eastAsiaTheme="minorHAnsi" w:hAnsi="Arial" w:cs="Arial"/>
          <w:b w:val="0"/>
          <w:color w:val="auto"/>
          <w:sz w:val="22"/>
          <w:szCs w:val="22"/>
        </w:rPr>
        <w:t>. It is important that buyers seek to add more value by considering current community, government, agency and category priorities when using these arrangements</w:t>
      </w:r>
      <w:r w:rsidRPr="00E41F15">
        <w:rPr>
          <w:rFonts w:ascii="Arial" w:eastAsiaTheme="minorHAnsi" w:hAnsi="Arial" w:cs="Arial"/>
          <w:b w:val="0"/>
          <w:color w:val="auto"/>
          <w:sz w:val="22"/>
          <w:szCs w:val="22"/>
        </w:rPr>
        <w:t xml:space="preserve">. </w:t>
      </w:r>
      <w:r>
        <w:rPr>
          <w:rFonts w:ascii="Arial" w:eastAsiaTheme="minorHAnsi" w:hAnsi="Arial" w:cs="Arial"/>
          <w:b w:val="0"/>
          <w:color w:val="auto"/>
          <w:sz w:val="22"/>
          <w:szCs w:val="22"/>
        </w:rPr>
        <w:t xml:space="preserve">Buyers can find out more about these arrangements at </w:t>
      </w:r>
      <w:r w:rsidRPr="003B20C6">
        <w:rPr>
          <w:rFonts w:ascii="Arial" w:hAnsi="Arial" w:cs="Arial"/>
          <w:b w:val="0"/>
          <w:color w:val="auto"/>
          <w:sz w:val="22"/>
          <w:szCs w:val="22"/>
        </w:rPr>
        <w:t>t</w:t>
      </w:r>
      <w:r w:rsidRPr="002B6F10">
        <w:rPr>
          <w:b w:val="0"/>
          <w:color w:val="auto"/>
        </w:rPr>
        <w:t>he</w:t>
      </w:r>
      <w:r w:rsidRPr="003B20C6">
        <w:rPr>
          <w:color w:val="auto"/>
        </w:rPr>
        <w:t xml:space="preserve"> </w:t>
      </w:r>
      <w:hyperlink r:id="rId21" w:history="1">
        <w:r w:rsidRPr="003B20C6">
          <w:rPr>
            <w:rStyle w:val="Hyperlink"/>
            <w:rFonts w:ascii="Arial" w:hAnsi="Arial" w:cs="Arial"/>
            <w:b w:val="0"/>
            <w:color w:val="3333FF"/>
            <w:sz w:val="22"/>
            <w:szCs w:val="22"/>
          </w:rPr>
          <w:t>Queensland Contracts Directory</w:t>
        </w:r>
      </w:hyperlink>
      <w:r>
        <w:rPr>
          <w:rStyle w:val="Hyperlink"/>
          <w:rFonts w:ascii="Arial" w:hAnsi="Arial" w:cs="Arial"/>
          <w:b w:val="0"/>
          <w:color w:val="3333FF"/>
          <w:sz w:val="22"/>
          <w:szCs w:val="22"/>
        </w:rPr>
        <w:t>.</w:t>
      </w:r>
    </w:p>
    <w:p w14:paraId="26F8F1B7" w14:textId="77777777" w:rsidR="00AF3B54" w:rsidRDefault="00AF3B54" w:rsidP="00AF3B54">
      <w:pPr>
        <w:pStyle w:val="purchasingtitle"/>
        <w:tabs>
          <w:tab w:val="left" w:pos="426"/>
        </w:tabs>
        <w:spacing w:before="180" w:after="60"/>
        <w:ind w:left="851"/>
        <w:rPr>
          <w:rFonts w:ascii="Arial" w:eastAsiaTheme="minorHAnsi" w:hAnsi="Arial" w:cs="Arial"/>
          <w:b w:val="0"/>
          <w:color w:val="auto"/>
          <w:sz w:val="22"/>
          <w:szCs w:val="22"/>
        </w:rPr>
      </w:pPr>
      <w:r>
        <w:rPr>
          <w:rFonts w:ascii="Arial" w:hAnsi="Arial" w:cs="Arial"/>
          <w:b w:val="0"/>
          <w:color w:val="auto"/>
          <w:sz w:val="22"/>
          <w:szCs w:val="22"/>
        </w:rPr>
        <w:t xml:space="preserve">The QPP also allows government buyers to consider a supplier who is not on a common-use supply arrangement where the good or service is to be supplied to regional or remote Queensland. This is another way to secure value, by buying the required good or service and supporting local business </w:t>
      </w:r>
    </w:p>
    <w:p w14:paraId="375DC9A8" w14:textId="77777777" w:rsidR="00AF3B54" w:rsidRPr="00E94D36" w:rsidRDefault="00AF3B54" w:rsidP="00AF3B54">
      <w:pPr>
        <w:pStyle w:val="purchasingtitle"/>
        <w:numPr>
          <w:ilvl w:val="1"/>
          <w:numId w:val="26"/>
        </w:numPr>
        <w:tabs>
          <w:tab w:val="left" w:pos="426"/>
        </w:tabs>
        <w:spacing w:before="180" w:after="60"/>
        <w:ind w:left="851"/>
        <w:rPr>
          <w:rFonts w:ascii="Arial" w:eastAsiaTheme="minorHAnsi" w:hAnsi="Arial" w:cs="Arial"/>
          <w:b w:val="0"/>
          <w:color w:val="auto"/>
          <w:sz w:val="22"/>
          <w:szCs w:val="22"/>
        </w:rPr>
      </w:pPr>
      <w:r>
        <w:rPr>
          <w:rFonts w:ascii="Arial" w:eastAsiaTheme="minorHAnsi" w:hAnsi="Arial" w:cs="Arial"/>
          <w:b w:val="0"/>
          <w:color w:val="auto"/>
          <w:sz w:val="22"/>
          <w:szCs w:val="22"/>
        </w:rPr>
        <w:t>if no common-use supply arrangement or contract exists, government buyers should ask whether there is a capable local supplier offering value for money. L</w:t>
      </w:r>
      <w:r w:rsidRPr="00E94D36">
        <w:rPr>
          <w:rFonts w:ascii="Arial" w:eastAsiaTheme="minorHAnsi" w:hAnsi="Arial" w:cs="Arial"/>
          <w:b w:val="0"/>
          <w:color w:val="auto"/>
          <w:sz w:val="22"/>
          <w:szCs w:val="22"/>
        </w:rPr>
        <w:t>ow value and low business risk procurement</w:t>
      </w:r>
      <w:r>
        <w:rPr>
          <w:rFonts w:ascii="Arial" w:eastAsiaTheme="minorHAnsi" w:hAnsi="Arial" w:cs="Arial"/>
          <w:b w:val="0"/>
          <w:color w:val="auto"/>
          <w:sz w:val="22"/>
          <w:szCs w:val="22"/>
        </w:rPr>
        <w:t>s should, where practicable,</w:t>
      </w:r>
      <w:r w:rsidRPr="00E94D36">
        <w:rPr>
          <w:rFonts w:ascii="Arial" w:eastAsiaTheme="minorHAnsi" w:hAnsi="Arial" w:cs="Arial"/>
          <w:b w:val="0"/>
          <w:color w:val="auto"/>
          <w:sz w:val="22"/>
          <w:szCs w:val="22"/>
        </w:rPr>
        <w:t xml:space="preserve"> be</w:t>
      </w:r>
      <w:r>
        <w:rPr>
          <w:rFonts w:ascii="Arial" w:eastAsiaTheme="minorHAnsi" w:hAnsi="Arial" w:cs="Arial"/>
          <w:b w:val="0"/>
          <w:color w:val="auto"/>
          <w:sz w:val="22"/>
          <w:szCs w:val="22"/>
        </w:rPr>
        <w:t xml:space="preserve"> </w:t>
      </w:r>
      <w:r w:rsidRPr="00E94D36">
        <w:rPr>
          <w:rFonts w:ascii="Arial" w:eastAsiaTheme="minorHAnsi" w:hAnsi="Arial" w:cs="Arial"/>
          <w:b w:val="0"/>
          <w:color w:val="auto"/>
          <w:sz w:val="22"/>
          <w:szCs w:val="22"/>
        </w:rPr>
        <w:t>delegated to the geographical location where the good or service is</w:t>
      </w:r>
      <w:r>
        <w:rPr>
          <w:rFonts w:ascii="Arial" w:eastAsiaTheme="minorHAnsi" w:hAnsi="Arial" w:cs="Arial"/>
          <w:b w:val="0"/>
          <w:color w:val="auto"/>
          <w:sz w:val="22"/>
          <w:szCs w:val="22"/>
        </w:rPr>
        <w:t xml:space="preserve"> </w:t>
      </w:r>
      <w:r w:rsidRPr="00E94D36">
        <w:rPr>
          <w:rFonts w:ascii="Arial" w:eastAsiaTheme="minorHAnsi" w:hAnsi="Arial" w:cs="Arial"/>
          <w:b w:val="0"/>
          <w:color w:val="auto"/>
          <w:sz w:val="22"/>
          <w:szCs w:val="22"/>
        </w:rPr>
        <w:t>to be supplied.</w:t>
      </w:r>
    </w:p>
    <w:p w14:paraId="240DF325" w14:textId="77777777" w:rsidR="00AF3B54" w:rsidRPr="00401DD3" w:rsidRDefault="00AF3B54" w:rsidP="00AF3B54">
      <w:pPr>
        <w:pStyle w:val="purchasingtitle"/>
        <w:spacing w:before="180" w:after="60"/>
        <w:rPr>
          <w:rFonts w:ascii="Arial" w:eastAsiaTheme="minorHAnsi" w:hAnsi="Arial" w:cs="Arial"/>
          <w:b w:val="0"/>
          <w:color w:val="auto"/>
          <w:sz w:val="22"/>
          <w:szCs w:val="22"/>
        </w:rPr>
      </w:pPr>
      <w:r w:rsidRPr="007A73BF">
        <w:rPr>
          <w:rFonts w:ascii="Arial" w:eastAsiaTheme="minorHAnsi" w:hAnsi="Arial" w:cs="Arial"/>
          <w:b w:val="0"/>
          <w:color w:val="auto"/>
          <w:sz w:val="22"/>
          <w:szCs w:val="22"/>
        </w:rPr>
        <w:t xml:space="preserve">These purchases play an important role in </w:t>
      </w:r>
      <w:r>
        <w:rPr>
          <w:rFonts w:ascii="Arial" w:eastAsiaTheme="minorHAnsi" w:hAnsi="Arial" w:cs="Arial"/>
          <w:b w:val="0"/>
          <w:color w:val="auto"/>
          <w:sz w:val="22"/>
          <w:szCs w:val="22"/>
        </w:rPr>
        <w:t xml:space="preserve">advancing government objectives to support regional and remote economies and create and sustain jobs for Queenslanders. </w:t>
      </w:r>
      <w:r w:rsidRPr="007A73BF">
        <w:rPr>
          <w:rFonts w:ascii="Arial" w:eastAsiaTheme="minorHAnsi" w:hAnsi="Arial" w:cs="Arial"/>
          <w:b w:val="0"/>
          <w:color w:val="auto"/>
          <w:sz w:val="22"/>
          <w:szCs w:val="22"/>
        </w:rPr>
        <w:t xml:space="preserve">They can </w:t>
      </w:r>
      <w:r>
        <w:rPr>
          <w:rFonts w:ascii="Arial" w:eastAsiaTheme="minorHAnsi" w:hAnsi="Arial" w:cs="Arial"/>
          <w:b w:val="0"/>
          <w:color w:val="auto"/>
          <w:sz w:val="22"/>
          <w:szCs w:val="22"/>
        </w:rPr>
        <w:t xml:space="preserve">also support </w:t>
      </w:r>
      <w:r w:rsidRPr="00401DD3">
        <w:rPr>
          <w:rFonts w:ascii="Arial" w:eastAsiaTheme="minorHAnsi" w:hAnsi="Arial" w:cs="Arial"/>
          <w:b w:val="0"/>
          <w:color w:val="auto"/>
          <w:sz w:val="22"/>
          <w:szCs w:val="22"/>
        </w:rPr>
        <w:t xml:space="preserve">businesses like social enterprises, which can deliver valuable outcomes in local communities. </w:t>
      </w:r>
    </w:p>
    <w:p w14:paraId="4635A65C" w14:textId="77777777" w:rsidR="00AF3B54" w:rsidRPr="00C33BDC" w:rsidRDefault="00AF3B54" w:rsidP="00AF3B54">
      <w:pPr>
        <w:rPr>
          <w:b/>
          <w:sz w:val="22"/>
        </w:rPr>
      </w:pPr>
      <w:r w:rsidRPr="00C33BDC">
        <w:rPr>
          <w:rFonts w:cs="Arial"/>
          <w:sz w:val="22"/>
        </w:rPr>
        <w:t xml:space="preserve">Refer to </w:t>
      </w:r>
      <w:hyperlink r:id="rId22" w:history="1">
        <w:r w:rsidRPr="00C33BDC">
          <w:rPr>
            <w:rStyle w:val="Hyperlink"/>
            <w:color w:val="3333FF"/>
            <w:sz w:val="22"/>
          </w:rPr>
          <w:t>Optimising opportunities for local suppliers</w:t>
        </w:r>
      </w:hyperlink>
      <w:r w:rsidRPr="00C33BDC">
        <w:rPr>
          <w:sz w:val="22"/>
        </w:rPr>
        <w:t xml:space="preserve"> </w:t>
      </w:r>
      <w:r w:rsidRPr="00C33BDC">
        <w:rPr>
          <w:rFonts w:cs="Arial"/>
          <w:sz w:val="22"/>
        </w:rPr>
        <w:t xml:space="preserve">and the </w:t>
      </w:r>
      <w:hyperlink r:id="rId23" w:history="1">
        <w:r w:rsidRPr="00C33BDC">
          <w:rPr>
            <w:rStyle w:val="Hyperlink"/>
            <w:color w:val="3333FF"/>
            <w:sz w:val="22"/>
          </w:rPr>
          <w:t>Social procurement toolkit</w:t>
        </w:r>
      </w:hyperlink>
      <w:r w:rsidRPr="00C33BDC">
        <w:rPr>
          <w:sz w:val="22"/>
        </w:rPr>
        <w:t xml:space="preserve"> </w:t>
      </w:r>
      <w:r w:rsidRPr="00C33BDC">
        <w:rPr>
          <w:rFonts w:cs="Arial"/>
          <w:sz w:val="22"/>
        </w:rPr>
        <w:t>for more tips.</w:t>
      </w:r>
    </w:p>
    <w:p w14:paraId="133C020C" w14:textId="77777777" w:rsidR="00AF3B54" w:rsidRPr="00ED2A34" w:rsidRDefault="00AF3B54" w:rsidP="00AF3B54">
      <w:pPr>
        <w:pStyle w:val="purchasingtitle"/>
        <w:tabs>
          <w:tab w:val="left" w:pos="0"/>
        </w:tabs>
        <w:spacing w:before="180" w:after="60"/>
        <w:rPr>
          <w:rFonts w:eastAsiaTheme="minorHAnsi" w:cs="Arial"/>
          <w:szCs w:val="22"/>
        </w:rPr>
      </w:pPr>
      <w:r>
        <w:rPr>
          <w:rFonts w:ascii="Arial" w:eastAsiaTheme="minorHAnsi" w:hAnsi="Arial" w:cs="Arial"/>
          <w:color w:val="auto"/>
          <w:sz w:val="22"/>
          <w:szCs w:val="22"/>
        </w:rPr>
        <w:t>Significant procurement:</w:t>
      </w:r>
      <w:r>
        <w:rPr>
          <w:rFonts w:ascii="Arial" w:eastAsiaTheme="minorHAnsi" w:hAnsi="Arial" w:cs="Arial"/>
          <w:b w:val="0"/>
          <w:color w:val="auto"/>
          <w:sz w:val="22"/>
          <w:szCs w:val="22"/>
        </w:rPr>
        <w:t xml:space="preserve"> These are procurements with a high value and/or for which there is a high degree of business risk and are </w:t>
      </w:r>
      <w:r w:rsidRPr="005F36EE">
        <w:rPr>
          <w:rFonts w:ascii="Arial" w:eastAsiaTheme="minorHAnsi" w:hAnsi="Arial" w:cs="Arial"/>
          <w:b w:val="0"/>
          <w:color w:val="auto"/>
          <w:sz w:val="22"/>
          <w:szCs w:val="22"/>
        </w:rPr>
        <w:t>t</w:t>
      </w:r>
      <w:r w:rsidRPr="005F36EE">
        <w:rPr>
          <w:rFonts w:ascii="Arial" w:eastAsiaTheme="minorHAnsi" w:hAnsi="Arial" w:cs="Arial"/>
          <w:b w:val="0"/>
          <w:color w:val="auto"/>
          <w:sz w:val="22"/>
          <w:szCs w:val="22"/>
          <w:lang w:val="en-AU"/>
        </w:rPr>
        <w:t>he primary focus of this guide</w:t>
      </w:r>
      <w:r w:rsidRPr="009A4C10">
        <w:rPr>
          <w:rFonts w:ascii="Arial" w:hAnsi="Arial"/>
          <w:b w:val="0"/>
          <w:color w:val="auto"/>
          <w:sz w:val="22"/>
          <w:lang w:val="en-AU"/>
        </w:rPr>
        <w:t xml:space="preserve">. </w:t>
      </w:r>
      <w:r>
        <w:rPr>
          <w:rFonts w:ascii="Arial" w:eastAsiaTheme="minorHAnsi" w:hAnsi="Arial" w:cs="Arial"/>
          <w:b w:val="0"/>
          <w:color w:val="auto"/>
          <w:sz w:val="22"/>
          <w:szCs w:val="22"/>
        </w:rPr>
        <w:t>Achieving value for money for these procurements requires a well-considered and planned</w:t>
      </w:r>
      <w:r w:rsidRPr="0077784E">
        <w:rPr>
          <w:color w:val="auto"/>
          <w:lang w:eastAsia="en-AU"/>
        </w:rPr>
        <w:t xml:space="preserve"> </w:t>
      </w:r>
      <w:r w:rsidRPr="00ED2A34">
        <w:rPr>
          <w:rFonts w:ascii="Arial" w:hAnsi="Arial" w:cs="Arial"/>
          <w:b w:val="0"/>
          <w:color w:val="auto"/>
          <w:sz w:val="22"/>
          <w:szCs w:val="22"/>
          <w:lang w:eastAsia="en-AU"/>
        </w:rPr>
        <w:t>approach</w:t>
      </w:r>
      <w:r>
        <w:rPr>
          <w:rFonts w:ascii="Arial" w:hAnsi="Arial" w:cs="Arial"/>
          <w:b w:val="0"/>
          <w:color w:val="auto"/>
          <w:sz w:val="22"/>
          <w:szCs w:val="22"/>
          <w:lang w:eastAsia="en-AU"/>
        </w:rPr>
        <w:t xml:space="preserve"> to what determines ‘value’.  </w:t>
      </w:r>
    </w:p>
    <w:p w14:paraId="00274C0C" w14:textId="77777777" w:rsidR="00AF3B54" w:rsidRPr="0000112C" w:rsidRDefault="00AF3B54" w:rsidP="00AF3B54">
      <w:pPr>
        <w:pStyle w:val="purchasingtitle"/>
        <w:tabs>
          <w:tab w:val="left" w:pos="426"/>
        </w:tabs>
        <w:spacing w:before="180" w:after="60"/>
        <w:ind w:left="426" w:hanging="426"/>
        <w:rPr>
          <w:rFonts w:ascii="Arial" w:eastAsiaTheme="minorHAnsi" w:hAnsi="Arial" w:cs="Arial"/>
          <w:b w:val="0"/>
          <w:color w:val="auto"/>
          <w:sz w:val="22"/>
          <w:szCs w:val="22"/>
        </w:rPr>
      </w:pPr>
      <w:r>
        <w:rPr>
          <w:rFonts w:ascii="Arial" w:eastAsiaTheme="minorHAnsi" w:hAnsi="Arial" w:cs="Arial"/>
          <w:b w:val="0"/>
          <w:color w:val="auto"/>
          <w:sz w:val="22"/>
          <w:szCs w:val="22"/>
        </w:rPr>
        <w:t>For these procurements value should be considered at each key stage of the procurement.</w:t>
      </w:r>
    </w:p>
    <w:p w14:paraId="7E9D18FC" w14:textId="77777777" w:rsidR="00AF3B54" w:rsidRDefault="00AF3B54" w:rsidP="00AF3B54">
      <w:pPr>
        <w:spacing w:after="0" w:line="240" w:lineRule="auto"/>
        <w:rPr>
          <w:rFonts w:cs="Arial"/>
          <w:b/>
          <w:bCs/>
          <w:color w:val="708090"/>
          <w:sz w:val="28"/>
          <w:szCs w:val="20"/>
          <w:lang w:eastAsia="en-AU"/>
        </w:rPr>
      </w:pPr>
    </w:p>
    <w:p w14:paraId="6BD47754" w14:textId="77777777" w:rsidR="00AF3B54" w:rsidRDefault="00AF3B54" w:rsidP="00AF3B54">
      <w:pPr>
        <w:pStyle w:val="Heading2"/>
      </w:pPr>
      <w:bookmarkStart w:id="44" w:name="_Toc514843900"/>
      <w:bookmarkStart w:id="45" w:name="_Toc80363221"/>
      <w:r>
        <w:lastRenderedPageBreak/>
        <w:t>K</w:t>
      </w:r>
      <w:r w:rsidRPr="00FA5741">
        <w:t>ey</w:t>
      </w:r>
      <w:r w:rsidRPr="009A4C10">
        <w:t xml:space="preserve"> stages</w:t>
      </w:r>
      <w:r w:rsidRPr="00FA5741">
        <w:t xml:space="preserve"> of a significant procurement process</w:t>
      </w:r>
      <w:bookmarkEnd w:id="44"/>
      <w:bookmarkEnd w:id="45"/>
    </w:p>
    <w:p w14:paraId="50F2BC70" w14:textId="77777777" w:rsidR="00AF3B54" w:rsidRPr="004530F5" w:rsidRDefault="00AF3B54" w:rsidP="00AF3B54"/>
    <w:p w14:paraId="0B33F653" w14:textId="77777777" w:rsidR="00AF3B54" w:rsidRDefault="00AF3B54" w:rsidP="00AF3B54">
      <w:pPr>
        <w:pStyle w:val="purchasingtitle"/>
        <w:tabs>
          <w:tab w:val="left" w:pos="426"/>
        </w:tabs>
        <w:jc w:val="center"/>
        <w:rPr>
          <w:rFonts w:ascii="Arial" w:eastAsiaTheme="minorHAnsi" w:hAnsi="Arial" w:cs="Arial"/>
          <w:b w:val="0"/>
          <w:color w:val="auto"/>
          <w:sz w:val="22"/>
          <w:szCs w:val="22"/>
        </w:rPr>
      </w:pPr>
      <w:r>
        <w:rPr>
          <w:noProof/>
        </w:rPr>
        <w:drawing>
          <wp:inline distT="0" distB="0" distL="0" distR="0" wp14:anchorId="4BC42DB8" wp14:editId="07F3353C">
            <wp:extent cx="3865205" cy="38004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17100" cy="3851501"/>
                    </a:xfrm>
                    <a:prstGeom prst="rect">
                      <a:avLst/>
                    </a:prstGeom>
                  </pic:spPr>
                </pic:pic>
              </a:graphicData>
            </a:graphic>
          </wp:inline>
        </w:drawing>
      </w:r>
    </w:p>
    <w:p w14:paraId="637D7543" w14:textId="184E03BC" w:rsidR="00AF3B54" w:rsidRDefault="00AF3B54" w:rsidP="00AF3B54">
      <w:pPr>
        <w:spacing w:after="0" w:line="240" w:lineRule="auto"/>
        <w:rPr>
          <w:rFonts w:cs="Arial"/>
          <w:bCs/>
          <w:lang w:val="en-GB"/>
        </w:rPr>
      </w:pPr>
    </w:p>
    <w:p w14:paraId="5F08847F" w14:textId="77777777" w:rsidR="00AF3B54" w:rsidRDefault="00AF3B54" w:rsidP="00AF3B54">
      <w:pPr>
        <w:pStyle w:val="purchasingtitle"/>
        <w:tabs>
          <w:tab w:val="left" w:pos="426"/>
        </w:tabs>
        <w:rPr>
          <w:rFonts w:ascii="Arial" w:eastAsiaTheme="minorHAnsi" w:hAnsi="Arial" w:cs="Arial"/>
          <w:b w:val="0"/>
          <w:color w:val="auto"/>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487"/>
      </w:tblGrid>
      <w:tr w:rsidR="00AF3B54" w:rsidRPr="00972AE8" w14:paraId="1869DA4A" w14:textId="77777777" w:rsidTr="00AF3B54">
        <w:tc>
          <w:tcPr>
            <w:tcW w:w="9628" w:type="dxa"/>
            <w:shd w:val="clear" w:color="auto" w:fill="808080" w:themeFill="background1" w:themeFillShade="80"/>
          </w:tcPr>
          <w:p w14:paraId="64CFF153" w14:textId="77777777" w:rsidR="00AF3B54" w:rsidRPr="007A2625" w:rsidRDefault="00AF3B54" w:rsidP="00AF3B54">
            <w:pPr>
              <w:pStyle w:val="Tableheadings"/>
              <w:rPr>
                <w:sz w:val="22"/>
                <w:szCs w:val="22"/>
              </w:rPr>
            </w:pPr>
            <w:r w:rsidRPr="007A2625">
              <w:rPr>
                <w:sz w:val="22"/>
                <w:szCs w:val="22"/>
              </w:rPr>
              <w:t>Why pursuing value for money throughout the procurement process is important</w:t>
            </w:r>
          </w:p>
        </w:tc>
      </w:tr>
      <w:tr w:rsidR="00AF3B54" w14:paraId="17AEAA9A" w14:textId="77777777" w:rsidTr="00AF3B54">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2FE81A42" w14:textId="77777777" w:rsidR="00AF3B54" w:rsidRPr="004530F5" w:rsidRDefault="00AF3B54" w:rsidP="00AF3B54">
            <w:pPr>
              <w:pStyle w:val="Tabletext"/>
              <w:spacing w:before="180" w:after="60"/>
            </w:pPr>
            <w:r w:rsidRPr="004530F5">
              <w:t>Traditionally, procurement has focused on securing value through formal tender processes. Greater value can be driven by focusing more effort on planning, engagement with industry and more effective contract management.</w:t>
            </w:r>
          </w:p>
          <w:p w14:paraId="7644137D" w14:textId="77777777" w:rsidR="00AF3B54" w:rsidRPr="004530F5" w:rsidRDefault="00AF3B54" w:rsidP="00AF3B54">
            <w:pPr>
              <w:pStyle w:val="Tabletext"/>
              <w:spacing w:before="180" w:after="60"/>
            </w:pPr>
            <w:r w:rsidRPr="004530F5">
              <w:t>Doing this acknowledges two things:</w:t>
            </w:r>
          </w:p>
          <w:p w14:paraId="2CACA77C" w14:textId="77777777" w:rsidR="00AF3B54" w:rsidRPr="004530F5" w:rsidRDefault="00AF3B54" w:rsidP="00AF3B54">
            <w:pPr>
              <w:pStyle w:val="Tabletext"/>
              <w:numPr>
                <w:ilvl w:val="0"/>
                <w:numId w:val="51"/>
              </w:numPr>
              <w:spacing w:before="180" w:after="60" w:line="240" w:lineRule="auto"/>
              <w:ind w:left="714" w:hanging="357"/>
            </w:pPr>
            <w:r w:rsidRPr="004530F5">
              <w:t>that proper planning is fundamental to securing value for money</w:t>
            </w:r>
          </w:p>
          <w:p w14:paraId="76A20A4C" w14:textId="77777777" w:rsidR="00AF3B54" w:rsidRPr="004530F5" w:rsidRDefault="00AF3B54" w:rsidP="00AF3B54">
            <w:pPr>
              <w:pStyle w:val="Tabletext"/>
              <w:numPr>
                <w:ilvl w:val="0"/>
                <w:numId w:val="51"/>
              </w:numPr>
              <w:spacing w:before="180" w:after="60" w:line="240" w:lineRule="auto"/>
              <w:ind w:left="714" w:hanging="357"/>
            </w:pPr>
            <w:r w:rsidRPr="004530F5">
              <w:t>that industry often has great ideas which they can bring to the table. They can also help government agencies structure their procurement approach in such a way that outcomes for all parties are maximised, while the effort and complexity associated with the formal tender process is reduced.</w:t>
            </w:r>
          </w:p>
          <w:p w14:paraId="41720609" w14:textId="77777777" w:rsidR="00AF3B54" w:rsidRPr="004530F5" w:rsidRDefault="00AF3B54" w:rsidP="00AF3B54">
            <w:pPr>
              <w:pStyle w:val="Tabletext"/>
              <w:spacing w:before="180" w:after="60"/>
            </w:pPr>
            <w:r w:rsidRPr="004530F5">
              <w:t>This increased engagement with industry should also carry through to the contract management phase, where government agencies and suppliers work together to drive value through the life of the contract.</w:t>
            </w:r>
          </w:p>
          <w:p w14:paraId="4E5E6DFF" w14:textId="77777777" w:rsidR="00AF3B54" w:rsidRPr="001B2EB8" w:rsidRDefault="00AF3B54" w:rsidP="00AF3B54">
            <w:pPr>
              <w:pStyle w:val="Tabletext"/>
              <w:spacing w:before="180" w:after="60"/>
              <w:rPr>
                <w:sz w:val="22"/>
                <w:szCs w:val="22"/>
              </w:rPr>
            </w:pPr>
            <w:r w:rsidRPr="004530F5">
              <w:t xml:space="preserve">For more information about probity and how to engage with suppliers during a procurement project, see </w:t>
            </w:r>
            <w:hyperlink r:id="rId25" w:history="1">
              <w:r w:rsidRPr="004530F5">
                <w:rPr>
                  <w:rStyle w:val="Hyperlink"/>
                </w:rPr>
                <w:t>Probity and integrity in procurement guide</w:t>
              </w:r>
            </w:hyperlink>
            <w:r w:rsidRPr="004530F5">
              <w:t>.</w:t>
            </w:r>
          </w:p>
        </w:tc>
      </w:tr>
    </w:tbl>
    <w:p w14:paraId="60CD81CE" w14:textId="77777777" w:rsidR="00A96301" w:rsidRDefault="00A96301" w:rsidP="00AF3B54">
      <w:pPr>
        <w:pStyle w:val="Heading1"/>
      </w:pPr>
      <w:bookmarkStart w:id="46" w:name="_Toc491873079"/>
      <w:bookmarkStart w:id="47" w:name="_Toc514843901"/>
      <w:bookmarkStart w:id="48" w:name="_Toc80363222"/>
      <w:bookmarkEnd w:id="24"/>
    </w:p>
    <w:p w14:paraId="72CCDE8A" w14:textId="77777777" w:rsidR="00A96301" w:rsidRDefault="00A96301">
      <w:pPr>
        <w:spacing w:line="259" w:lineRule="auto"/>
        <w:rPr>
          <w:rFonts w:eastAsiaTheme="majorEastAsia" w:cstheme="majorBidi"/>
          <w:b/>
          <w:color w:val="A91D37"/>
          <w:sz w:val="32"/>
          <w:szCs w:val="32"/>
        </w:rPr>
      </w:pPr>
      <w:r>
        <w:br w:type="page"/>
      </w:r>
    </w:p>
    <w:p w14:paraId="22D39D0E" w14:textId="46F9A8C8" w:rsidR="00AF3B54" w:rsidRPr="00C80820" w:rsidRDefault="00AF3B54" w:rsidP="00AF3B54">
      <w:pPr>
        <w:pStyle w:val="Heading1"/>
      </w:pPr>
      <w:r w:rsidRPr="00C80820">
        <w:lastRenderedPageBreak/>
        <w:t>Planning</w:t>
      </w:r>
      <w:bookmarkEnd w:id="46"/>
      <w:bookmarkEnd w:id="47"/>
      <w:bookmarkEnd w:id="48"/>
    </w:p>
    <w:p w14:paraId="2B3CE406" w14:textId="77777777" w:rsidR="00AF3B54" w:rsidRPr="00C33BDC" w:rsidRDefault="00AF3B54" w:rsidP="00AF3B54">
      <w:pPr>
        <w:rPr>
          <w:sz w:val="22"/>
        </w:rPr>
      </w:pPr>
      <w:r w:rsidRPr="00C33BDC">
        <w:rPr>
          <w:sz w:val="22"/>
        </w:rPr>
        <w:t xml:space="preserve">The Queensland Government uses procurement to advance the government’s economic, environmental and social objectives to support the community. Every procurement is different and a decision to advance particular objectives should consider a range of factors, including the characteristics of what is being procured as well as the capability and capacity of the supply market. </w:t>
      </w:r>
    </w:p>
    <w:p w14:paraId="5A048E06" w14:textId="6F3B05BA" w:rsidR="00AF3B54" w:rsidRPr="00C33BDC" w:rsidRDefault="00AF3B54" w:rsidP="00A96301">
      <w:pPr>
        <w:spacing w:after="120"/>
        <w:rPr>
          <w:sz w:val="22"/>
        </w:rPr>
      </w:pPr>
      <w:r w:rsidRPr="00C33BDC">
        <w:rPr>
          <w:sz w:val="22"/>
        </w:rPr>
        <w:t>Regardless of which approach is pursued it is important it is included from the start during the planning process.</w:t>
      </w:r>
      <w:r w:rsidR="00401DD3">
        <w:rPr>
          <w:sz w:val="22"/>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487"/>
      </w:tblGrid>
      <w:tr w:rsidR="00AF3B54" w:rsidRPr="00972AE8" w14:paraId="602DF78D" w14:textId="77777777" w:rsidTr="00AF3B54">
        <w:tc>
          <w:tcPr>
            <w:tcW w:w="9628" w:type="dxa"/>
            <w:shd w:val="clear" w:color="auto" w:fill="808080" w:themeFill="background1" w:themeFillShade="80"/>
          </w:tcPr>
          <w:p w14:paraId="776E5E8B" w14:textId="77777777" w:rsidR="00AF3B54" w:rsidRPr="007A2625" w:rsidRDefault="00AF3B54" w:rsidP="00AF3B54">
            <w:pPr>
              <w:pStyle w:val="Tableheadings"/>
              <w:rPr>
                <w:color w:val="5D6771"/>
                <w:sz w:val="22"/>
                <w:szCs w:val="22"/>
              </w:rPr>
            </w:pPr>
            <w:r w:rsidRPr="007A2625">
              <w:rPr>
                <w:sz w:val="22"/>
                <w:szCs w:val="22"/>
              </w:rPr>
              <w:t>Securing value for money through process improvements</w:t>
            </w:r>
          </w:p>
        </w:tc>
      </w:tr>
      <w:tr w:rsidR="00AF3B54" w14:paraId="3F070AE1" w14:textId="77777777" w:rsidTr="00AF3B54">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5E7EBC34" w14:textId="77777777" w:rsidR="00AF3B54" w:rsidRPr="004530F5" w:rsidRDefault="00AF3B54" w:rsidP="00AF3B54">
            <w:pPr>
              <w:pStyle w:val="Tabletext"/>
              <w:spacing w:before="180" w:after="60"/>
            </w:pPr>
            <w:r w:rsidRPr="004530F5">
              <w:t xml:space="preserve">Agencies should also be mindful that value for money can be secured by ensuring that procurement processes are conducted in an efficient manner. This can be through, for example, simplified tender processes and documentation requirements. </w:t>
            </w:r>
          </w:p>
        </w:tc>
      </w:tr>
    </w:tbl>
    <w:p w14:paraId="0C393A79" w14:textId="77777777" w:rsidR="00AF3B54" w:rsidRPr="00D94843" w:rsidRDefault="00AF3B54" w:rsidP="00A96301">
      <w:pPr>
        <w:pStyle w:val="Heading2"/>
        <w:spacing w:before="240"/>
      </w:pPr>
      <w:bookmarkStart w:id="49" w:name="_Toc491873080"/>
      <w:bookmarkStart w:id="50" w:name="_Toc514843902"/>
      <w:bookmarkStart w:id="51" w:name="_Toc80363223"/>
      <w:r w:rsidRPr="00D94843">
        <w:t xml:space="preserve">Category </w:t>
      </w:r>
      <w:r>
        <w:t>p</w:t>
      </w:r>
      <w:r w:rsidRPr="00D94843">
        <w:t>lanning</w:t>
      </w:r>
      <w:bookmarkEnd w:id="49"/>
      <w:bookmarkEnd w:id="50"/>
      <w:bookmarkEnd w:id="51"/>
    </w:p>
    <w:p w14:paraId="0A84FA8B" w14:textId="77777777" w:rsidR="00AF3B54" w:rsidRPr="00C33BDC" w:rsidRDefault="00AF3B54" w:rsidP="00AF3B54">
      <w:pPr>
        <w:rPr>
          <w:sz w:val="22"/>
        </w:rPr>
      </w:pPr>
      <w:r w:rsidRPr="00C33BDC">
        <w:rPr>
          <w:sz w:val="22"/>
        </w:rPr>
        <w:t xml:space="preserve">The Queensland Government segments its procurement expenditure into six categories. The lead agency for each category is responsible for developing a category strategy which details the category’s approach to value for money, including the advancement of economic, environmental and social outcomes, along with targets and commitments of the government. These strategies therefore act as good starting points in determining what value for money looks like in a particular category. They should also provide direction about which government objectives, targets and commitments are the most relevant, and how these are to be pursued, through the category. </w:t>
      </w:r>
    </w:p>
    <w:p w14:paraId="2A8C5E05" w14:textId="03F1FAF9" w:rsidR="00AF3B54" w:rsidRDefault="00AF3B54" w:rsidP="00AF3B54">
      <w:pPr>
        <w:spacing w:after="0" w:line="240" w:lineRule="auto"/>
      </w:pPr>
    </w:p>
    <w:p w14:paraId="65FFB025" w14:textId="77777777" w:rsidR="00AF3B54" w:rsidRPr="00C33BDC" w:rsidRDefault="00AF3B54" w:rsidP="00AF3B54">
      <w:pPr>
        <w:rPr>
          <w:rFonts w:cs="Arial"/>
          <w:sz w:val="22"/>
        </w:rPr>
      </w:pPr>
      <w:r w:rsidRPr="00C33BDC">
        <w:rPr>
          <w:sz w:val="22"/>
        </w:rPr>
        <w:t xml:space="preserve">The six </w:t>
      </w:r>
      <w:r w:rsidRPr="00C33BDC">
        <w:rPr>
          <w:rFonts w:cs="Arial"/>
          <w:sz w:val="22"/>
        </w:rPr>
        <w:t>categories are:</w:t>
      </w:r>
    </w:p>
    <w:p w14:paraId="1D155C7A" w14:textId="215347D7"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 xml:space="preserve">Building Construction and Maintenance – led by the Department of </w:t>
      </w:r>
      <w:r w:rsidR="00401DD3" w:rsidRPr="00C33BDC">
        <w:rPr>
          <w:rFonts w:cs="Arial"/>
          <w:sz w:val="22"/>
        </w:rPr>
        <w:t xml:space="preserve">Energy </w:t>
      </w:r>
      <w:r w:rsidRPr="00C33BDC">
        <w:rPr>
          <w:rFonts w:cs="Arial"/>
          <w:sz w:val="22"/>
        </w:rPr>
        <w:t>and Public Works</w:t>
      </w:r>
      <w:r w:rsidRPr="00C33BDC">
        <w:rPr>
          <w:rFonts w:cs="Arial"/>
          <w:sz w:val="22"/>
        </w:rPr>
        <w:br/>
      </w:r>
    </w:p>
    <w:p w14:paraId="57897069" w14:textId="12F7D947"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 xml:space="preserve">General Goods and Services – led by the Department of </w:t>
      </w:r>
      <w:r w:rsidR="00401DD3" w:rsidRPr="00C33BDC">
        <w:rPr>
          <w:rFonts w:cs="Arial"/>
          <w:sz w:val="22"/>
        </w:rPr>
        <w:t xml:space="preserve">Energy </w:t>
      </w:r>
      <w:r w:rsidRPr="00C33BDC">
        <w:rPr>
          <w:rFonts w:cs="Arial"/>
          <w:sz w:val="22"/>
        </w:rPr>
        <w:t>and Public Works</w:t>
      </w:r>
      <w:r w:rsidRPr="00C33BDC">
        <w:rPr>
          <w:rFonts w:cs="Arial"/>
          <w:sz w:val="22"/>
        </w:rPr>
        <w:br/>
      </w:r>
    </w:p>
    <w:p w14:paraId="4EAA5FE8" w14:textId="495727EC"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 xml:space="preserve">ICT – led by the Department of </w:t>
      </w:r>
      <w:r w:rsidR="00401DD3" w:rsidRPr="00C33BDC">
        <w:rPr>
          <w:rFonts w:cs="Arial"/>
          <w:sz w:val="22"/>
        </w:rPr>
        <w:t xml:space="preserve">Energy </w:t>
      </w:r>
      <w:r w:rsidRPr="00C33BDC">
        <w:rPr>
          <w:rFonts w:cs="Arial"/>
          <w:sz w:val="22"/>
        </w:rPr>
        <w:t>and Public Works</w:t>
      </w:r>
      <w:r w:rsidRPr="00C33BDC" w:rsidDel="00A43DE2">
        <w:rPr>
          <w:rFonts w:cs="Arial"/>
          <w:sz w:val="22"/>
        </w:rPr>
        <w:t xml:space="preserve"> </w:t>
      </w:r>
      <w:r w:rsidRPr="00C33BDC">
        <w:rPr>
          <w:rFonts w:cs="Arial"/>
          <w:sz w:val="22"/>
        </w:rPr>
        <w:br/>
      </w:r>
    </w:p>
    <w:p w14:paraId="792E3978" w14:textId="77777777"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Medical – led by Queensland Health</w:t>
      </w:r>
      <w:r w:rsidRPr="00C33BDC">
        <w:rPr>
          <w:rFonts w:cs="Arial"/>
          <w:sz w:val="22"/>
        </w:rPr>
        <w:br/>
      </w:r>
    </w:p>
    <w:p w14:paraId="7D5FA9E6" w14:textId="2FA36C3E"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 xml:space="preserve">Social Services – led by the Department of Communities, </w:t>
      </w:r>
      <w:r w:rsidR="00401DD3" w:rsidRPr="00C33BDC">
        <w:rPr>
          <w:rFonts w:cs="Arial"/>
          <w:sz w:val="22"/>
        </w:rPr>
        <w:t>Housing and Digital Economy.</w:t>
      </w:r>
    </w:p>
    <w:p w14:paraId="68A33493" w14:textId="77777777" w:rsidR="00401DD3" w:rsidRPr="00C33BDC" w:rsidRDefault="00401DD3" w:rsidP="00C33BDC">
      <w:pPr>
        <w:pStyle w:val="ListParagraph"/>
        <w:spacing w:before="180" w:line="240" w:lineRule="auto"/>
        <w:ind w:left="714"/>
        <w:contextualSpacing/>
        <w:rPr>
          <w:rFonts w:cs="Arial"/>
          <w:sz w:val="22"/>
        </w:rPr>
      </w:pPr>
    </w:p>
    <w:p w14:paraId="5A05DFC1" w14:textId="0CE3DB38" w:rsidR="00AF3B54" w:rsidRPr="00C33BDC" w:rsidRDefault="00AF3B54" w:rsidP="00AF3B54">
      <w:pPr>
        <w:pStyle w:val="ListParagraph"/>
        <w:numPr>
          <w:ilvl w:val="0"/>
          <w:numId w:val="40"/>
        </w:numPr>
        <w:spacing w:before="180" w:line="240" w:lineRule="auto"/>
        <w:ind w:left="714" w:hanging="357"/>
        <w:contextualSpacing/>
        <w:rPr>
          <w:rFonts w:cs="Arial"/>
          <w:sz w:val="22"/>
        </w:rPr>
      </w:pPr>
      <w:r w:rsidRPr="00C33BDC">
        <w:rPr>
          <w:rFonts w:cs="Arial"/>
          <w:sz w:val="22"/>
        </w:rPr>
        <w:t>Transport Infrastructure and Services – led by the Department of Transport and Main Roads.</w:t>
      </w:r>
      <w:r w:rsidR="00401DD3" w:rsidRPr="00C33BDC">
        <w:rPr>
          <w:rFonts w:cs="Arial"/>
          <w:sz w:val="22"/>
        </w:rPr>
        <w:br/>
      </w:r>
    </w:p>
    <w:p w14:paraId="2E65CB0D" w14:textId="77777777" w:rsidR="00AF3B54" w:rsidRPr="00C33BDC" w:rsidRDefault="00AF3B54" w:rsidP="00AF3B54">
      <w:pPr>
        <w:rPr>
          <w:sz w:val="22"/>
        </w:rPr>
      </w:pPr>
      <w:r w:rsidRPr="00C33BDC">
        <w:rPr>
          <w:sz w:val="22"/>
        </w:rPr>
        <w:t>In addition to category planning activities, lead agencies often set up common-use supply arrangements or contracts to leverage government’s collective buying power. Depending on the government objectives relative to the category or sub-category of spend, specific objectives may be in place through these common-use supply arrangements or contracts targeting small businesses, local suppliers, Aboriginal businesses and Torres Strait Islander businesses, or social enterprises. They may also include targets in support of environmental objectives, local jobs, ending domestic and family violence or supporting other relevant government priorities.</w:t>
      </w:r>
    </w:p>
    <w:p w14:paraId="2ADB0D64" w14:textId="54A9B63D" w:rsidR="00AF3B54" w:rsidRDefault="00AF3B54" w:rsidP="00A96301">
      <w:pPr>
        <w:rPr>
          <w:b/>
          <w:sz w:val="22"/>
        </w:rPr>
      </w:pPr>
      <w:r w:rsidRPr="00C33BDC">
        <w:rPr>
          <w:sz w:val="22"/>
        </w:rPr>
        <w:t xml:space="preserve">Agencies are encouraged to look at what strategies and arrangements have been put in place through these category plans and are encouraged to actively use the arrangements that </w:t>
      </w:r>
      <w:r w:rsidRPr="00C33BDC">
        <w:rPr>
          <w:sz w:val="22"/>
        </w:rPr>
        <w:lastRenderedPageBreak/>
        <w:t xml:space="preserve">contribute to these targets. The category strategies can be obtained by contacting the category lead while information on existing arrangements is available on the </w:t>
      </w:r>
      <w:hyperlink r:id="rId26" w:history="1">
        <w:r w:rsidRPr="00C33BDC">
          <w:rPr>
            <w:rStyle w:val="Hyperlink"/>
            <w:sz w:val="22"/>
          </w:rPr>
          <w:t>Queensland Contracts Directory</w:t>
        </w:r>
      </w:hyperlink>
      <w:r w:rsidRPr="00C33BDC">
        <w:rPr>
          <w:sz w:val="22"/>
        </w:rPr>
        <w:t>.</w:t>
      </w:r>
      <w:r>
        <w:br/>
      </w:r>
      <w:bookmarkStart w:id="52" w:name="_Toc491873081"/>
      <w:r w:rsidR="00A96301">
        <w:rPr>
          <w:b/>
          <w:sz w:val="22"/>
        </w:rPr>
        <w:br/>
      </w:r>
      <w:r w:rsidRPr="00C33BDC">
        <w:rPr>
          <w:b/>
          <w:sz w:val="22"/>
        </w:rPr>
        <w:t>Forward procurement pipelines</w:t>
      </w:r>
      <w:bookmarkEnd w:id="52"/>
    </w:p>
    <w:p w14:paraId="309D8E0B" w14:textId="77777777" w:rsidR="00AF3B54" w:rsidRPr="00C33BDC" w:rsidRDefault="00AF3B54" w:rsidP="00AF3B54">
      <w:pPr>
        <w:rPr>
          <w:sz w:val="22"/>
        </w:rPr>
      </w:pPr>
      <w:r w:rsidRPr="00C33BDC">
        <w:rPr>
          <w:sz w:val="22"/>
        </w:rPr>
        <w:t>Category lead teams are also required to co-ordinate with budget sector agencies and produce a forward procurement pipeline which shows all key procurement activity that is expected to occur over at least the next 12 months.</w:t>
      </w:r>
    </w:p>
    <w:p w14:paraId="275F183C" w14:textId="77777777" w:rsidR="00AF3B54" w:rsidRPr="00C33BDC" w:rsidRDefault="00AF3B54" w:rsidP="00AF3B54">
      <w:pPr>
        <w:rPr>
          <w:sz w:val="22"/>
        </w:rPr>
      </w:pPr>
      <w:r w:rsidRPr="00C33BDC">
        <w:rPr>
          <w:sz w:val="22"/>
        </w:rPr>
        <w:t xml:space="preserve">These pipelines help support value for money by promoting forward planning and early engagement with industry. This is particularly important in regional and remote communities, especially construction and maintenance related activity, to help ensure there is a planned supply of work that enables ongoing, stable employment. </w:t>
      </w:r>
    </w:p>
    <w:p w14:paraId="06318048" w14:textId="77777777" w:rsidR="00AF3B54" w:rsidRDefault="00AF3B54" w:rsidP="00AF3B54">
      <w:pPr>
        <w:pStyle w:val="Heading2"/>
      </w:pPr>
      <w:bookmarkStart w:id="53" w:name="_Toc491873082"/>
      <w:bookmarkStart w:id="54" w:name="_Toc514843903"/>
      <w:bookmarkStart w:id="55" w:name="_Toc80363224"/>
      <w:r>
        <w:t>Pre-tender planning</w:t>
      </w:r>
      <w:bookmarkEnd w:id="53"/>
      <w:bookmarkEnd w:id="54"/>
      <w:bookmarkEnd w:id="55"/>
    </w:p>
    <w:p w14:paraId="3412EC66" w14:textId="77777777" w:rsidR="00AF3B54" w:rsidRPr="00C33BDC" w:rsidRDefault="00AF3B54" w:rsidP="00AF3B54">
      <w:pPr>
        <w:rPr>
          <w:sz w:val="22"/>
        </w:rPr>
      </w:pPr>
      <w:r w:rsidRPr="00C33BDC">
        <w:rPr>
          <w:sz w:val="22"/>
        </w:rPr>
        <w:t xml:space="preserve">Good planning prior to going to market for a procurement is essential. Government buyers are strongly encouraged to ensure they have a thorough understanding of the outcome being sought and supply market capability.  </w:t>
      </w:r>
    </w:p>
    <w:p w14:paraId="5503DF44" w14:textId="7A40A188" w:rsidR="00C33BDC" w:rsidRDefault="00AF3B54" w:rsidP="00A96301">
      <w:pPr>
        <w:spacing w:after="240"/>
        <w:rPr>
          <w:rFonts w:cs="Arial"/>
          <w:bCs/>
          <w:sz w:val="22"/>
          <w:lang w:eastAsia="en-AU"/>
        </w:rPr>
      </w:pPr>
      <w:r w:rsidRPr="00C33BDC">
        <w:rPr>
          <w:rFonts w:cs="Arial"/>
          <w:bCs/>
          <w:sz w:val="22"/>
          <w:lang w:eastAsia="en-AU"/>
        </w:rPr>
        <w:t xml:space="preserve">Government buyers are also strongly encouraged to express the procurement objectives in their tendering documents as outcomes rather than detailed specifications where possible. This enables suppliers to understand what government is trying to achieve and to contribute ideas and solutions for how government might best achieve the objectives. Prescribing a solution through specification may be more expensive or not provide the best result.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487"/>
      </w:tblGrid>
      <w:tr w:rsidR="00AF3B54" w:rsidRPr="00972AE8" w14:paraId="7F6F9F7F" w14:textId="77777777" w:rsidTr="00C33BDC">
        <w:tc>
          <w:tcPr>
            <w:tcW w:w="9487" w:type="dxa"/>
            <w:shd w:val="clear" w:color="auto" w:fill="808080" w:themeFill="background1" w:themeFillShade="80"/>
          </w:tcPr>
          <w:p w14:paraId="08A00F17" w14:textId="77777777" w:rsidR="00AF3B54" w:rsidRPr="00C33BDC" w:rsidRDefault="00AF3B54" w:rsidP="00AF3B54">
            <w:pPr>
              <w:pStyle w:val="Tableheadings"/>
              <w:rPr>
                <w:sz w:val="22"/>
                <w:szCs w:val="22"/>
              </w:rPr>
            </w:pPr>
            <w:r w:rsidRPr="00C33BDC">
              <w:rPr>
                <w:sz w:val="22"/>
                <w:szCs w:val="22"/>
              </w:rPr>
              <w:t>Local benefits evaluation planning</w:t>
            </w:r>
          </w:p>
        </w:tc>
      </w:tr>
      <w:tr w:rsidR="00AF3B54" w14:paraId="4EAE9D75" w14:textId="77777777" w:rsidTr="00C33BDC">
        <w:tc>
          <w:tcPr>
            <w:tcW w:w="9487"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7846C98A" w14:textId="590BD530" w:rsidR="00AF3B54" w:rsidRPr="004530F5" w:rsidRDefault="00AF3B54" w:rsidP="00AF3B54">
            <w:pPr>
              <w:pStyle w:val="Tabletext"/>
              <w:spacing w:before="180" w:after="60"/>
            </w:pPr>
            <w:r w:rsidRPr="004530F5">
              <w:t xml:space="preserve">To help officers quantify the benefit one supplier brings over another, the local benefits criterion can be broken down into sub-criteria to help the evaluation panel score the local benefit in line with the government’s priorities. For more information on this refer to our guide on the </w:t>
            </w:r>
            <w:hyperlink r:id="rId27" w:history="1">
              <w:r w:rsidR="00493064">
                <w:rPr>
                  <w:rStyle w:val="Hyperlink"/>
                </w:rPr>
                <w:t>L</w:t>
              </w:r>
              <w:r>
                <w:rPr>
                  <w:rStyle w:val="Hyperlink"/>
                </w:rPr>
                <w:t>ocal benefits test</w:t>
              </w:r>
            </w:hyperlink>
            <w:r w:rsidRPr="0007282A">
              <w:t>.</w:t>
            </w:r>
          </w:p>
        </w:tc>
      </w:tr>
    </w:tbl>
    <w:p w14:paraId="1BDB61C1" w14:textId="77777777" w:rsidR="00AF3B54" w:rsidRPr="00C33BDC" w:rsidRDefault="00AF3B54" w:rsidP="00AF3B54">
      <w:pPr>
        <w:rPr>
          <w:rFonts w:cs="Arial"/>
          <w:bCs/>
          <w:sz w:val="22"/>
          <w:lang w:eastAsia="en-AU"/>
        </w:rPr>
      </w:pPr>
    </w:p>
    <w:p w14:paraId="4A41F132" w14:textId="35FE6AA1" w:rsidR="00AF3B54" w:rsidRPr="00C33BDC" w:rsidRDefault="00AF3B54" w:rsidP="00AF3B54">
      <w:pPr>
        <w:rPr>
          <w:sz w:val="22"/>
        </w:rPr>
      </w:pPr>
      <w:r w:rsidRPr="00C33BDC">
        <w:rPr>
          <w:sz w:val="22"/>
        </w:rPr>
        <w:t>For complex or high-risk procurements, government buyers are advised to seek support and advice from the relevant lead agency category team. Advice should also be sought from the Department of State Development, Infrastructure</w:t>
      </w:r>
      <w:r w:rsidR="00493064">
        <w:rPr>
          <w:sz w:val="22"/>
        </w:rPr>
        <w:t xml:space="preserve">, Local </w:t>
      </w:r>
      <w:r w:rsidR="00B650CD">
        <w:rPr>
          <w:sz w:val="22"/>
        </w:rPr>
        <w:t>Government</w:t>
      </w:r>
      <w:r w:rsidRPr="00C33BDC">
        <w:rPr>
          <w:sz w:val="22"/>
        </w:rPr>
        <w:t xml:space="preserve"> and Planning</w:t>
      </w:r>
      <w:r w:rsidRPr="00C33BDC" w:rsidDel="0028707F">
        <w:rPr>
          <w:sz w:val="22"/>
        </w:rPr>
        <w:t xml:space="preserve"> </w:t>
      </w:r>
      <w:r w:rsidRPr="00C33BDC">
        <w:rPr>
          <w:sz w:val="22"/>
        </w:rPr>
        <w:t xml:space="preserve">for significant infrastructure procurement. </w:t>
      </w:r>
    </w:p>
    <w:p w14:paraId="5ECEDAF6" w14:textId="77777777" w:rsidR="00AF3B54" w:rsidRPr="00C33BDC" w:rsidRDefault="00AF3B54" w:rsidP="00A96301">
      <w:pPr>
        <w:spacing w:after="120"/>
        <w:rPr>
          <w:sz w:val="22"/>
        </w:rPr>
      </w:pPr>
      <w:r w:rsidRPr="00C33BDC">
        <w:rPr>
          <w:sz w:val="22"/>
        </w:rPr>
        <w:t xml:space="preserve">Government buyers are also advised to seek input from industry, particularly for complex procurements. It is important that any discussions with industry maintain expected standards of probity. Talking to industry about the objectives being sought in procurement activity, and the problem to be solved, enables collaboration in solution design. It also contributes to improved service delivery outcomes and can help to drive innovation. </w:t>
      </w:r>
    </w:p>
    <w:p w14:paraId="40B2FA5D" w14:textId="77777777" w:rsidR="00AF3B54" w:rsidRDefault="00AF3B54" w:rsidP="00AF3B54">
      <w:pPr>
        <w:pStyle w:val="Tabletext"/>
        <w:jc w:val="both"/>
        <w:rPr>
          <w:sz w:val="22"/>
          <w:szCs w:val="22"/>
        </w:rPr>
      </w:pPr>
    </w:p>
    <w:tbl>
      <w:tblPr>
        <w:tblW w:w="9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634"/>
      </w:tblGrid>
      <w:tr w:rsidR="00AF3B54" w:rsidRPr="00972AE8" w14:paraId="65018172" w14:textId="77777777" w:rsidTr="00AF3B54">
        <w:tc>
          <w:tcPr>
            <w:tcW w:w="9634" w:type="dxa"/>
            <w:shd w:val="clear" w:color="auto" w:fill="808080" w:themeFill="background1" w:themeFillShade="80"/>
          </w:tcPr>
          <w:p w14:paraId="2D3BAA50" w14:textId="77777777" w:rsidR="00AF3B54" w:rsidRPr="00D261AB" w:rsidRDefault="00AF3B54" w:rsidP="00AF3B54">
            <w:pPr>
              <w:pStyle w:val="Tableheadings"/>
              <w:rPr>
                <w:sz w:val="22"/>
                <w:szCs w:val="22"/>
              </w:rPr>
            </w:pPr>
            <w:bookmarkStart w:id="56" w:name="_Toc491873083"/>
            <w:bookmarkStart w:id="57" w:name="_Toc491873084"/>
            <w:bookmarkStart w:id="58" w:name="_Toc491873085"/>
            <w:bookmarkStart w:id="59" w:name="_Toc491873086"/>
            <w:bookmarkStart w:id="60" w:name="_Toc491873087"/>
            <w:bookmarkStart w:id="61" w:name="_Toc491873088"/>
            <w:bookmarkStart w:id="62" w:name="_Toc491873089"/>
            <w:bookmarkStart w:id="63" w:name="_Toc491873090"/>
            <w:bookmarkStart w:id="64" w:name="_Toc491873091"/>
            <w:bookmarkStart w:id="65" w:name="_Toc491873092"/>
            <w:bookmarkStart w:id="66" w:name="_Toc491873093"/>
            <w:bookmarkStart w:id="67" w:name="_Toc491873094"/>
            <w:bookmarkStart w:id="68" w:name="_Toc491873095"/>
            <w:bookmarkStart w:id="69" w:name="_Toc491873096"/>
            <w:bookmarkStart w:id="70" w:name="_Toc491873097"/>
            <w:bookmarkStart w:id="71" w:name="_Toc491873098"/>
            <w:bookmarkStart w:id="72" w:name="_Toc49187310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D261AB">
              <w:rPr>
                <w:sz w:val="22"/>
                <w:szCs w:val="22"/>
              </w:rPr>
              <w:t>Frameworks</w:t>
            </w:r>
          </w:p>
        </w:tc>
      </w:tr>
      <w:tr w:rsidR="00AF3B54" w:rsidRPr="00972AE8" w14:paraId="4D96946C" w14:textId="77777777" w:rsidTr="00AF3B54">
        <w:tc>
          <w:tcPr>
            <w:tcW w:w="9634"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05CFF013" w14:textId="77777777" w:rsidR="00AF3B54" w:rsidRPr="004530F5" w:rsidRDefault="00AF3B54" w:rsidP="00AF3B54">
            <w:pPr>
              <w:pStyle w:val="Tabletext"/>
              <w:spacing w:before="180" w:after="60"/>
            </w:pPr>
            <w:r w:rsidRPr="004530F5">
              <w:t>The Queensland Government uses a range of frameworks to help ensure value for money outcomes. Government buyers should be aware of these when undertaking procurement activities. Some of these include:</w:t>
            </w:r>
          </w:p>
          <w:p w14:paraId="1539AD78" w14:textId="77777777" w:rsidR="00AF3B54" w:rsidRPr="004530F5" w:rsidRDefault="00AF3B54" w:rsidP="00AF3B54">
            <w:pPr>
              <w:pStyle w:val="Tabletext"/>
              <w:numPr>
                <w:ilvl w:val="0"/>
                <w:numId w:val="23"/>
              </w:numPr>
              <w:spacing w:before="180" w:after="60" w:line="240" w:lineRule="auto"/>
              <w:ind w:left="499" w:hanging="357"/>
            </w:pPr>
            <w:r w:rsidRPr="004530F5">
              <w:t>Project Assessment Framework, administered by Queensland Treasury</w:t>
            </w:r>
          </w:p>
          <w:p w14:paraId="60C0A0A5" w14:textId="7C4D744E" w:rsidR="00AF3B54" w:rsidRPr="004530F5" w:rsidRDefault="00AF3B54" w:rsidP="00AF3B54">
            <w:pPr>
              <w:pStyle w:val="Tabletext"/>
              <w:numPr>
                <w:ilvl w:val="0"/>
                <w:numId w:val="23"/>
              </w:numPr>
              <w:spacing w:before="180" w:after="60" w:line="240" w:lineRule="auto"/>
              <w:ind w:left="499" w:hanging="357"/>
            </w:pPr>
            <w:r w:rsidRPr="004530F5">
              <w:t xml:space="preserve">Capital Works Management Framework, and the Maintenance Management Framework, administered by the Department of </w:t>
            </w:r>
            <w:r w:rsidR="00493064">
              <w:t>Energy</w:t>
            </w:r>
            <w:r w:rsidR="00493064" w:rsidRPr="004530F5">
              <w:t xml:space="preserve"> </w:t>
            </w:r>
            <w:r w:rsidRPr="004530F5">
              <w:t>and Public Works</w:t>
            </w:r>
          </w:p>
          <w:p w14:paraId="58DFC1CA" w14:textId="77777777" w:rsidR="00AF3B54" w:rsidRPr="004530F5" w:rsidRDefault="00AF3B54" w:rsidP="00AF3B54">
            <w:pPr>
              <w:pStyle w:val="Tabletext"/>
              <w:numPr>
                <w:ilvl w:val="0"/>
                <w:numId w:val="23"/>
              </w:numPr>
              <w:spacing w:before="180" w:after="60" w:line="240" w:lineRule="auto"/>
              <w:ind w:left="499" w:hanging="357"/>
            </w:pPr>
            <w:r w:rsidRPr="004530F5">
              <w:lastRenderedPageBreak/>
              <w:t>Transport Infrastructure Project Delivery System, administered by the Department of Transport and Main Roads</w:t>
            </w:r>
          </w:p>
          <w:p w14:paraId="1B1A5926" w14:textId="02112ED4" w:rsidR="00AF3B54" w:rsidRPr="004530F5" w:rsidRDefault="00AF3B54" w:rsidP="00AF3B54">
            <w:pPr>
              <w:pStyle w:val="Tabletext"/>
              <w:numPr>
                <w:ilvl w:val="0"/>
                <w:numId w:val="23"/>
              </w:numPr>
              <w:spacing w:before="180" w:after="60" w:line="240" w:lineRule="auto"/>
              <w:ind w:left="499" w:hanging="357"/>
            </w:pPr>
            <w:r w:rsidRPr="004530F5">
              <w:t>Business Case Development Framework, administered by Building Queensland.</w:t>
            </w:r>
            <w:r w:rsidR="00493064">
              <w:br/>
            </w:r>
          </w:p>
          <w:p w14:paraId="5CDAB675" w14:textId="77777777" w:rsidR="00AF3B54" w:rsidRPr="00972AE8" w:rsidRDefault="00AF3B54" w:rsidP="00AF3B54">
            <w:r w:rsidRPr="004530F5">
              <w:rPr>
                <w:szCs w:val="20"/>
              </w:rPr>
              <w:t>In addition, Public Private Partnerships are subject to the National PPP Guidelines, along with supporting guidelines issued by Queensland Treasury.</w:t>
            </w:r>
          </w:p>
        </w:tc>
      </w:tr>
    </w:tbl>
    <w:p w14:paraId="24C8DEFC" w14:textId="77777777" w:rsidR="00AF3B54" w:rsidRDefault="00AF3B54" w:rsidP="00AF3B54">
      <w:pPr>
        <w:pStyle w:val="Heading1"/>
      </w:pPr>
      <w:bookmarkStart w:id="73" w:name="_Toc514843904"/>
      <w:bookmarkStart w:id="74" w:name="_Toc80363225"/>
      <w:r>
        <w:lastRenderedPageBreak/>
        <w:t>Tender and contracting</w:t>
      </w:r>
      <w:bookmarkEnd w:id="72"/>
      <w:bookmarkEnd w:id="73"/>
      <w:bookmarkEnd w:id="74"/>
    </w:p>
    <w:p w14:paraId="491F24AA" w14:textId="77777777" w:rsidR="00AF3B54" w:rsidRPr="006D2A89" w:rsidRDefault="00AF3B54" w:rsidP="00AF3B54">
      <w:pPr>
        <w:pStyle w:val="Heading2"/>
      </w:pPr>
      <w:bookmarkStart w:id="75" w:name="_Toc491873106"/>
      <w:bookmarkStart w:id="76" w:name="_Toc514843905"/>
      <w:bookmarkStart w:id="77" w:name="_Toc80363226"/>
      <w:r w:rsidRPr="006D2A89">
        <w:t>Evaluating for value in quotes and tenders</w:t>
      </w:r>
      <w:bookmarkEnd w:id="75"/>
      <w:bookmarkEnd w:id="76"/>
      <w:bookmarkEnd w:id="77"/>
    </w:p>
    <w:p w14:paraId="4ACE73A9" w14:textId="77777777" w:rsidR="00AF3B54" w:rsidRPr="00C33BDC" w:rsidRDefault="00AF3B54" w:rsidP="00AF3B54">
      <w:pPr>
        <w:rPr>
          <w:sz w:val="22"/>
          <w:lang w:eastAsia="en-AU"/>
        </w:rPr>
      </w:pPr>
      <w:r w:rsidRPr="00C33BDC">
        <w:rPr>
          <w:sz w:val="22"/>
          <w:lang w:eastAsia="en-AU"/>
        </w:rPr>
        <w:t>Typically, an evaluation process will consider both price and non-price criteria in supplier selection. It should also consider relevant economic, environmental and social considerations, as described earlier in this guide.</w:t>
      </w:r>
    </w:p>
    <w:p w14:paraId="6D37F56E" w14:textId="77777777" w:rsidR="00AF3B54" w:rsidRPr="00C33BDC" w:rsidRDefault="00AF3B54" w:rsidP="00AF3B54">
      <w:pPr>
        <w:rPr>
          <w:sz w:val="22"/>
          <w:lang w:eastAsia="en-AU"/>
        </w:rPr>
      </w:pPr>
      <w:r w:rsidRPr="00C33BDC">
        <w:rPr>
          <w:sz w:val="22"/>
          <w:lang w:eastAsia="en-AU"/>
        </w:rPr>
        <w:t xml:space="preserve">The emphasis and weighting placed on these criteria are likely to be different for the good/service being purchased and should be determined by the evaluation panel and documented in the evaluation plan prior to the tender or quote being released. For more information about evaluating offers, refer to </w:t>
      </w:r>
      <w:hyperlink r:id="rId28" w:history="1">
        <w:r w:rsidRPr="00C33BDC">
          <w:rPr>
            <w:rStyle w:val="Hyperlink"/>
            <w:sz w:val="22"/>
            <w:lang w:eastAsia="en-AU"/>
          </w:rPr>
          <w:t>Evaluating Offers</w:t>
        </w:r>
      </w:hyperlink>
      <w:r w:rsidRPr="00C33BDC">
        <w:rPr>
          <w:rStyle w:val="FootnoteReference"/>
          <w:sz w:val="22"/>
          <w:lang w:eastAsia="en-AU"/>
        </w:rPr>
        <w:footnoteReference w:id="2"/>
      </w:r>
      <w:r w:rsidRPr="00C33BDC">
        <w:rPr>
          <w:sz w:val="22"/>
          <w:lang w:eastAsia="en-AU"/>
        </w:rPr>
        <w:t xml:space="preserve"> guide.</w:t>
      </w:r>
    </w:p>
    <w:p w14:paraId="16CF7167" w14:textId="77777777" w:rsidR="00AF3B54" w:rsidRPr="00C33BDC" w:rsidRDefault="00AF3B54" w:rsidP="00AF3B54">
      <w:pPr>
        <w:rPr>
          <w:sz w:val="22"/>
          <w:lang w:eastAsia="en-AU"/>
        </w:rPr>
      </w:pPr>
      <w:r w:rsidRPr="00C33BDC">
        <w:rPr>
          <w:sz w:val="22"/>
          <w:lang w:eastAsia="en-AU"/>
        </w:rPr>
        <w:t xml:space="preserve">The non-cost factors will likely include things such as the quality aspects of a product, the relevant experience of a service provider and many other aspects important to achieving the outcome being sought from the procurement activity. </w:t>
      </w:r>
    </w:p>
    <w:p w14:paraId="2F3E3A63" w14:textId="062900D6" w:rsidR="00AF3B54" w:rsidRPr="00C33BDC" w:rsidRDefault="00AF3B54" w:rsidP="00AF3B54">
      <w:pPr>
        <w:rPr>
          <w:sz w:val="22"/>
          <w:lang w:eastAsia="en-AU"/>
        </w:rPr>
      </w:pPr>
      <w:r w:rsidRPr="00C33BDC">
        <w:rPr>
          <w:sz w:val="22"/>
          <w:lang w:eastAsia="en-AU"/>
        </w:rPr>
        <w:t xml:space="preserve">Government buyers are also encouraged to ensure that the focus remains on the outcome and not having too many criteria to make the process difficult and costly for suppliers and government. Buyers should look for opportunities to generate new ideas and innovation in the solution design. </w:t>
      </w:r>
    </w:p>
    <w:p w14:paraId="0152A3C3" w14:textId="77777777" w:rsidR="00AF3B54" w:rsidRPr="00C33BDC" w:rsidRDefault="00AF3B54" w:rsidP="00AF3B54">
      <w:pPr>
        <w:rPr>
          <w:sz w:val="22"/>
          <w:lang w:eastAsia="en-AU"/>
        </w:rPr>
      </w:pPr>
      <w:r w:rsidRPr="00C33BDC">
        <w:rPr>
          <w:sz w:val="22"/>
          <w:lang w:eastAsia="en-AU"/>
        </w:rPr>
        <w:t>For example, if an agency genuinely requires a specific quality assurance standard this should be clearly specified and included upfront as a mandatory criterion. This will clearly communicate to suppliers the government’s expectations and save some suppliers from submitting an offer when they do not (and do not wish to) hold certain quality assurance. Agencies should always strive to align the procurement outcomes with industry best practice principles.</w:t>
      </w:r>
    </w:p>
    <w:p w14:paraId="5A61215E" w14:textId="77777777" w:rsidR="00AF3B54" w:rsidRPr="002235D1" w:rsidRDefault="00AF3B54">
      <w:pPr>
        <w:pStyle w:val="Heading1"/>
      </w:pPr>
      <w:bookmarkStart w:id="78" w:name="_Toc491873107"/>
      <w:bookmarkStart w:id="79" w:name="_Toc491873108"/>
      <w:bookmarkStart w:id="80" w:name="_Toc491873109"/>
      <w:bookmarkStart w:id="81" w:name="_Toc491873110"/>
      <w:bookmarkStart w:id="82" w:name="_Toc491873111"/>
      <w:bookmarkStart w:id="83" w:name="_Toc491873112"/>
      <w:bookmarkStart w:id="84" w:name="_Toc491873113"/>
      <w:bookmarkStart w:id="85" w:name="_Toc491873114"/>
      <w:bookmarkStart w:id="86" w:name="_Toc491873115"/>
      <w:bookmarkStart w:id="87" w:name="_Toc491873116"/>
      <w:bookmarkStart w:id="88" w:name="_Toc491873117"/>
      <w:bookmarkStart w:id="89" w:name="_Toc491873118"/>
      <w:bookmarkStart w:id="90" w:name="_Toc491873119"/>
      <w:bookmarkStart w:id="91" w:name="_Toc491873120"/>
      <w:bookmarkStart w:id="92" w:name="_Toc491873121"/>
      <w:bookmarkStart w:id="93" w:name="_Toc491873122"/>
      <w:bookmarkStart w:id="94" w:name="_Toc491873123"/>
      <w:bookmarkStart w:id="95" w:name="_Toc491873124"/>
      <w:bookmarkStart w:id="96" w:name="_Toc491873125"/>
      <w:bookmarkStart w:id="97" w:name="_Toc491873126"/>
      <w:bookmarkStart w:id="98" w:name="_Toc491873127"/>
      <w:bookmarkStart w:id="99" w:name="_Toc491873128"/>
      <w:bookmarkStart w:id="100" w:name="_Toc491873129"/>
      <w:bookmarkStart w:id="101" w:name="_Toc491873130"/>
      <w:bookmarkStart w:id="102" w:name="_Toc491873131"/>
      <w:bookmarkStart w:id="103" w:name="_Toc491873132"/>
      <w:bookmarkStart w:id="104" w:name="_Toc491873133"/>
      <w:bookmarkStart w:id="105" w:name="_Toc491873134"/>
      <w:bookmarkStart w:id="106" w:name="_Toc491873135"/>
      <w:bookmarkStart w:id="107" w:name="_Toc491873136"/>
      <w:bookmarkStart w:id="108" w:name="_Toc491873137"/>
      <w:bookmarkStart w:id="109" w:name="_Toc491873138"/>
      <w:bookmarkStart w:id="110" w:name="_Toc491873139"/>
      <w:bookmarkStart w:id="111" w:name="_Toc491873140"/>
      <w:bookmarkStart w:id="112" w:name="_Toc491873141"/>
      <w:bookmarkStart w:id="113" w:name="_Toc491873142"/>
      <w:bookmarkStart w:id="114" w:name="_Toc491873143"/>
      <w:bookmarkStart w:id="115" w:name="_Toc491873144"/>
      <w:bookmarkStart w:id="116" w:name="_Toc491873145"/>
      <w:bookmarkStart w:id="117" w:name="_Toc491873146"/>
      <w:bookmarkStart w:id="118" w:name="_Toc491873147"/>
      <w:bookmarkStart w:id="119" w:name="_Toc491873148"/>
      <w:bookmarkStart w:id="120" w:name="_Toc491873149"/>
      <w:bookmarkStart w:id="121" w:name="_Toc491873150"/>
      <w:bookmarkStart w:id="122" w:name="_Toc491873151"/>
      <w:bookmarkStart w:id="123" w:name="_Toc491873152"/>
      <w:bookmarkStart w:id="124" w:name="_Toc491873153"/>
      <w:bookmarkStart w:id="125" w:name="_Toc514843906"/>
      <w:bookmarkStart w:id="126" w:name="_Toc80363227"/>
      <w:bookmarkEnd w:id="2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235D1">
        <w:t>Managing contracts</w:t>
      </w:r>
      <w:bookmarkEnd w:id="124"/>
      <w:bookmarkEnd w:id="125"/>
      <w:bookmarkEnd w:id="126"/>
    </w:p>
    <w:p w14:paraId="5B49EF76" w14:textId="77777777" w:rsidR="00AF3B54" w:rsidRDefault="00AF3B54" w:rsidP="00AF3B54">
      <w:pPr>
        <w:pStyle w:val="Heading2"/>
      </w:pPr>
      <w:bookmarkStart w:id="127" w:name="_Toc491873154"/>
      <w:bookmarkStart w:id="128" w:name="_Toc514843907"/>
      <w:bookmarkStart w:id="129" w:name="_Toc80363228"/>
      <w:r>
        <w:t>Contract e</w:t>
      </w:r>
      <w:r w:rsidRPr="002A3372">
        <w:t>xtensions</w:t>
      </w:r>
      <w:bookmarkEnd w:id="127"/>
      <w:bookmarkEnd w:id="128"/>
      <w:bookmarkEnd w:id="129"/>
    </w:p>
    <w:p w14:paraId="3E745EC7" w14:textId="77777777" w:rsidR="00AF3B54" w:rsidRPr="00C33BDC" w:rsidRDefault="00AF3B54" w:rsidP="00AF3B54">
      <w:pPr>
        <w:spacing w:after="0"/>
        <w:rPr>
          <w:sz w:val="22"/>
        </w:rPr>
      </w:pPr>
      <w:r w:rsidRPr="00C33BDC">
        <w:rPr>
          <w:sz w:val="22"/>
        </w:rPr>
        <w:t xml:space="preserve">Many contracts contain an option to extend after the contract term has expired. It is important that the contract output is examined prior to extending the term to ensure that the agency is still getting a value for money outcome. </w:t>
      </w:r>
    </w:p>
    <w:p w14:paraId="1164DB20" w14:textId="77777777" w:rsidR="00AF3B54" w:rsidRPr="00C33BDC" w:rsidRDefault="00AF3B54" w:rsidP="00AF3B54">
      <w:pPr>
        <w:spacing w:before="60"/>
        <w:rPr>
          <w:rFonts w:cs="Arial"/>
          <w:sz w:val="22"/>
        </w:rPr>
      </w:pPr>
      <w:r w:rsidRPr="00C33BDC">
        <w:rPr>
          <w:rFonts w:cs="Arial"/>
          <w:sz w:val="22"/>
        </w:rPr>
        <w:t>Government buyers should consider several factors in this assessment:</w:t>
      </w:r>
    </w:p>
    <w:p w14:paraId="65372481"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 xml:space="preserve">has the market changed significantly since the original procurement was undertaken? </w:t>
      </w:r>
      <w:r w:rsidRPr="00C33BDC">
        <w:rPr>
          <w:rFonts w:cs="Arial"/>
          <w:i/>
          <w:sz w:val="22"/>
        </w:rPr>
        <w:t>(e.g. are there new competitors or less competitors, has technology changed the way this good/service is used, have there been any significant market disruptions)</w:t>
      </w:r>
      <w:r w:rsidRPr="00C33BDC">
        <w:rPr>
          <w:rFonts w:cs="Arial"/>
          <w:i/>
          <w:sz w:val="22"/>
        </w:rPr>
        <w:br/>
      </w:r>
    </w:p>
    <w:p w14:paraId="0F804674"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is the market expected to change over the duration of the extension?</w:t>
      </w:r>
      <w:r w:rsidRPr="00C33BDC">
        <w:rPr>
          <w:rFonts w:cs="Arial"/>
          <w:sz w:val="22"/>
        </w:rPr>
        <w:br/>
      </w:r>
    </w:p>
    <w:p w14:paraId="471B7E99"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lastRenderedPageBreak/>
        <w:t>can we benchmark the prices, and if so, what does it tell us about the current pricing structure in the contract? Is it in line with current market offerings?</w:t>
      </w:r>
      <w:r w:rsidRPr="00C33BDC">
        <w:rPr>
          <w:rFonts w:cs="Arial"/>
          <w:sz w:val="22"/>
        </w:rPr>
        <w:br/>
      </w:r>
    </w:p>
    <w:p w14:paraId="04D47EBD"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has the supplier been meeting their contractual obligations and key performance indicators?</w:t>
      </w:r>
      <w:r w:rsidRPr="00C33BDC">
        <w:rPr>
          <w:rFonts w:cs="Arial"/>
          <w:sz w:val="22"/>
        </w:rPr>
        <w:br/>
      </w:r>
    </w:p>
    <w:p w14:paraId="670ED341"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what are the benefits and risks associated with exercising this extension?</w:t>
      </w:r>
      <w:r w:rsidRPr="00C33BDC" w:rsidDel="00A55692">
        <w:rPr>
          <w:rFonts w:cs="Arial"/>
          <w:sz w:val="22"/>
        </w:rPr>
        <w:t xml:space="preserve"> </w:t>
      </w:r>
    </w:p>
    <w:p w14:paraId="3ECB401A" w14:textId="77777777" w:rsidR="00AF3B54" w:rsidRPr="00C33BDC" w:rsidRDefault="00AF3B54" w:rsidP="00AF3B54">
      <w:pPr>
        <w:pStyle w:val="ListParagraph"/>
        <w:spacing w:line="240" w:lineRule="auto"/>
        <w:rPr>
          <w:rFonts w:cs="Arial"/>
          <w:sz w:val="22"/>
        </w:rPr>
      </w:pPr>
    </w:p>
    <w:p w14:paraId="1666F6F8" w14:textId="77777777" w:rsidR="00AF3B54" w:rsidRPr="00C33BDC" w:rsidRDefault="00AF3B54" w:rsidP="00AF3B54">
      <w:pPr>
        <w:spacing w:after="120" w:line="240" w:lineRule="auto"/>
        <w:rPr>
          <w:b/>
          <w:sz w:val="22"/>
        </w:rPr>
      </w:pPr>
      <w:r w:rsidRPr="00C33BDC">
        <w:rPr>
          <w:b/>
          <w:sz w:val="22"/>
        </w:rPr>
        <w:t>Where a contract can be varied or extended consider:</w:t>
      </w:r>
    </w:p>
    <w:p w14:paraId="071D538D"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if targets and commitments of the government can be included in variations or extensions</w:t>
      </w:r>
      <w:r w:rsidRPr="00C33BDC">
        <w:rPr>
          <w:rFonts w:cs="Arial"/>
          <w:sz w:val="22"/>
        </w:rPr>
        <w:br/>
      </w:r>
    </w:p>
    <w:p w14:paraId="0B1AF855" w14:textId="77777777" w:rsidR="00AF3B54" w:rsidRPr="00C33BDC" w:rsidRDefault="00AF3B54" w:rsidP="00AF3B54">
      <w:pPr>
        <w:pStyle w:val="ListParagraph"/>
        <w:numPr>
          <w:ilvl w:val="0"/>
          <w:numId w:val="25"/>
        </w:numPr>
        <w:spacing w:before="20" w:after="20" w:line="240" w:lineRule="auto"/>
        <w:ind w:left="714" w:hanging="357"/>
        <w:contextualSpacing/>
        <w:rPr>
          <w:rFonts w:cs="Arial"/>
          <w:sz w:val="22"/>
        </w:rPr>
      </w:pPr>
      <w:r w:rsidRPr="00C33BDC">
        <w:rPr>
          <w:rFonts w:cs="Arial"/>
          <w:sz w:val="22"/>
        </w:rPr>
        <w:t>working with a supplier to have them voluntarily incorporate government policy.</w:t>
      </w:r>
    </w:p>
    <w:p w14:paraId="24B57985" w14:textId="77777777" w:rsidR="00AF3B54" w:rsidRPr="0007208C" w:rsidRDefault="00AF3B54" w:rsidP="00AF3B54">
      <w:pPr>
        <w:pStyle w:val="ListParagraph"/>
        <w:spacing w:before="20" w:after="20" w:line="240" w:lineRule="auto"/>
        <w:ind w:left="714"/>
        <w:rPr>
          <w:rFonts w:cs="Arial"/>
        </w:rPr>
      </w:pPr>
    </w:p>
    <w:p w14:paraId="6103B656" w14:textId="77777777" w:rsidR="00AF3B54" w:rsidRPr="00C21FAC" w:rsidRDefault="00AF3B54" w:rsidP="00AF3B54">
      <w:pPr>
        <w:pStyle w:val="Heading2"/>
      </w:pPr>
      <w:bookmarkStart w:id="130" w:name="_Toc491873155"/>
      <w:bookmarkStart w:id="131" w:name="_Toc514843908"/>
      <w:bookmarkStart w:id="132" w:name="_Toc80363229"/>
      <w:r>
        <w:t>Contract m</w:t>
      </w:r>
      <w:r w:rsidRPr="00C21FAC">
        <w:t>anagement</w:t>
      </w:r>
      <w:bookmarkEnd w:id="130"/>
      <w:bookmarkEnd w:id="131"/>
      <w:bookmarkEnd w:id="132"/>
    </w:p>
    <w:p w14:paraId="6676E4F8" w14:textId="77777777" w:rsidR="00AF3B54" w:rsidRPr="00C33BDC" w:rsidRDefault="00AF3B54" w:rsidP="00AF3B54">
      <w:pPr>
        <w:rPr>
          <w:sz w:val="22"/>
          <w:lang w:eastAsia="en-AU"/>
        </w:rPr>
      </w:pPr>
      <w:r w:rsidRPr="00C33BDC">
        <w:rPr>
          <w:sz w:val="22"/>
          <w:lang w:eastAsia="en-AU"/>
        </w:rPr>
        <w:t>To ensure value for money is achieved it is important that what you request in the tender process and a supplier undertakes to do, flows through to the contract and is monitored as part of the contract management process. If applicable, plans for transitioning in and out should be used to better understand each party’s obligations during the implementation and end phase. Also consider building in relevant key performance indicators in the contract and check that the supplier is doing what has been agreed. This is highly important in relation to benefits that a supplier has undertaken to deliver, particularly social benefits.</w:t>
      </w:r>
    </w:p>
    <w:p w14:paraId="7A3AF53A" w14:textId="77777777" w:rsidR="00AF3B54" w:rsidRPr="00C33BDC" w:rsidRDefault="00AF3B54" w:rsidP="00AF3B54">
      <w:pPr>
        <w:rPr>
          <w:sz w:val="22"/>
          <w:lang w:eastAsia="en-AU"/>
        </w:rPr>
      </w:pPr>
      <w:r w:rsidRPr="00C33BDC">
        <w:rPr>
          <w:sz w:val="22"/>
          <w:lang w:eastAsia="en-AU"/>
        </w:rPr>
        <w:t xml:space="preserve">For example, if you had requested that several apprenticeships be created as one of your value for money criteria, then it is important to ensure this requirement has been included in the contract – and that you check to confirm the successful supplier has created and filled the agreed number of apprenticeships. </w:t>
      </w:r>
    </w:p>
    <w:p w14:paraId="42DEAAEE" w14:textId="77777777" w:rsidR="00AF3B54" w:rsidRPr="00C33BDC" w:rsidRDefault="00AF3B54" w:rsidP="00AF3B54">
      <w:pPr>
        <w:rPr>
          <w:sz w:val="22"/>
          <w:lang w:eastAsia="en-AU"/>
        </w:rPr>
      </w:pPr>
      <w:r w:rsidRPr="00C33BDC">
        <w:rPr>
          <w:sz w:val="22"/>
          <w:lang w:eastAsia="en-AU"/>
        </w:rPr>
        <w:t xml:space="preserve">It is important to remember that the initial value realised during the sourcing process can be quickly reduced if your contract is not managed properly. For further guidance see the </w:t>
      </w:r>
      <w:hyperlink r:id="rId29" w:history="1">
        <w:r w:rsidRPr="00C33BDC">
          <w:rPr>
            <w:rStyle w:val="Hyperlink"/>
            <w:sz w:val="22"/>
            <w:lang w:eastAsia="en-AU"/>
          </w:rPr>
          <w:t>Contract Management Framework</w:t>
        </w:r>
        <w:r w:rsidRPr="00C33BDC">
          <w:rPr>
            <w:rStyle w:val="Hyperlink"/>
            <w:sz w:val="22"/>
            <w:vertAlign w:val="superscript"/>
            <w:lang w:eastAsia="en-AU"/>
          </w:rPr>
          <w:footnoteReference w:id="3"/>
        </w:r>
        <w:r w:rsidRPr="00C33BDC">
          <w:rPr>
            <w:rStyle w:val="Hyperlink"/>
            <w:sz w:val="22"/>
            <w:lang w:eastAsia="en-AU"/>
          </w:rPr>
          <w:t>.</w:t>
        </w:r>
      </w:hyperlink>
      <w:r w:rsidRPr="00C33BDC">
        <w:rPr>
          <w:sz w:val="22"/>
          <w:lang w:eastAsia="en-AU"/>
        </w:rPr>
        <w:br/>
      </w:r>
    </w:p>
    <w:p w14:paraId="735045D9" w14:textId="77777777" w:rsidR="00AF3B54" w:rsidRPr="00D32A18" w:rsidRDefault="00AF3B54" w:rsidP="00AF3B54">
      <w:pPr>
        <w:pStyle w:val="Heading1"/>
        <w:spacing w:before="120"/>
      </w:pPr>
      <w:bookmarkStart w:id="133" w:name="_Toc492624350"/>
      <w:bookmarkStart w:id="134" w:name="_Toc514843909"/>
      <w:bookmarkStart w:id="135" w:name="_Toc80363230"/>
      <w:r>
        <w:t>L</w:t>
      </w:r>
      <w:r w:rsidRPr="000D5727">
        <w:t>earning</w:t>
      </w:r>
      <w:bookmarkEnd w:id="133"/>
      <w:bookmarkEnd w:id="134"/>
      <w:bookmarkEnd w:id="135"/>
    </w:p>
    <w:p w14:paraId="69948A6B" w14:textId="77777777" w:rsidR="00AF3B54" w:rsidRPr="00C33BDC" w:rsidRDefault="00AF3B54" w:rsidP="00AF3B54">
      <w:pPr>
        <w:rPr>
          <w:sz w:val="22"/>
          <w:lang w:eastAsia="en-AU"/>
        </w:rPr>
      </w:pPr>
      <w:r w:rsidRPr="00C33BDC">
        <w:rPr>
          <w:sz w:val="22"/>
          <w:lang w:eastAsia="en-AU"/>
        </w:rPr>
        <w:t>Reporting requirements must be commensurate with the size and value of the procurement and should be kept as simple and clear as possible.</w:t>
      </w:r>
    </w:p>
    <w:p w14:paraId="028F1CFE" w14:textId="77777777" w:rsidR="00AF3B54" w:rsidRPr="00C33BDC" w:rsidRDefault="00AF3B54" w:rsidP="00AF3B54">
      <w:pPr>
        <w:rPr>
          <w:sz w:val="22"/>
        </w:rPr>
      </w:pPr>
      <w:r w:rsidRPr="00C33BDC">
        <w:rPr>
          <w:sz w:val="22"/>
          <w:lang w:eastAsia="en-AU"/>
        </w:rPr>
        <w:t xml:space="preserve">Evaluating the value and other outcomes associated with a procurement is easier and more meaningful if it is considered during planning stages and not just at the end of a contract. </w:t>
      </w:r>
      <w:r w:rsidRPr="00C33BDC">
        <w:rPr>
          <w:rFonts w:eastAsia="Calibri" w:cs="Arial"/>
          <w:sz w:val="22"/>
          <w:lang w:eastAsia="en-AU"/>
        </w:rPr>
        <w:t>Clearly articulated, measurable and easily reported outputs and outcomes form the foundation for any evaluation and learning process. Planning for this early takes the hard work out of supplier reporting and outcomes evaluation.</w:t>
      </w:r>
    </w:p>
    <w:p w14:paraId="4757E1E3" w14:textId="77777777" w:rsidR="00AF3B54" w:rsidRPr="00C33BDC" w:rsidRDefault="00AF3B54" w:rsidP="00AF3B54">
      <w:pPr>
        <w:rPr>
          <w:sz w:val="22"/>
        </w:rPr>
      </w:pPr>
      <w:r w:rsidRPr="00C33BDC">
        <w:rPr>
          <w:sz w:val="22"/>
        </w:rPr>
        <w:t>Learning, sharing and applying the lessons from each procurement project is a powerful way to continuously improve and maximise the impact government buyers can have over time.</w:t>
      </w:r>
    </w:p>
    <w:p w14:paraId="1181A25A" w14:textId="77777777" w:rsidR="00AF3B54" w:rsidRDefault="00AF3B54" w:rsidP="00AF3B54">
      <w:pPr>
        <w:rPr>
          <w:rFonts w:cs="Arial"/>
          <w:b/>
          <w:bCs/>
          <w:color w:val="0083C8"/>
          <w:sz w:val="36"/>
          <w:szCs w:val="20"/>
          <w:lang w:eastAsia="en-AU"/>
        </w:rPr>
      </w:pPr>
      <w:r w:rsidRPr="00711036">
        <w:t>.</w:t>
      </w:r>
      <w:r>
        <w:br w:type="page"/>
      </w:r>
    </w:p>
    <w:p w14:paraId="353E1BDB" w14:textId="77777777" w:rsidR="00AF3B54" w:rsidRDefault="00AF3B54" w:rsidP="00AF3B54">
      <w:pPr>
        <w:pStyle w:val="Heading1"/>
      </w:pPr>
      <w:bookmarkStart w:id="136" w:name="_Toc491873156"/>
      <w:bookmarkStart w:id="137" w:name="_Toc514843910"/>
      <w:bookmarkStart w:id="138" w:name="_Toc80363231"/>
      <w:r w:rsidRPr="00851D18">
        <w:lastRenderedPageBreak/>
        <w:t xml:space="preserve">Appendix </w:t>
      </w:r>
      <w:r>
        <w:t>1</w:t>
      </w:r>
      <w:bookmarkEnd w:id="136"/>
      <w:bookmarkEnd w:id="137"/>
      <w:bookmarkEnd w:id="138"/>
    </w:p>
    <w:p w14:paraId="2ABF6D23" w14:textId="77777777" w:rsidR="00AF3B54" w:rsidRPr="00C33BDC" w:rsidRDefault="00AF3B54" w:rsidP="00AF3B54">
      <w:pPr>
        <w:rPr>
          <w:sz w:val="22"/>
          <w:lang w:eastAsia="en-AU"/>
        </w:rPr>
      </w:pPr>
      <w:r w:rsidRPr="00C33BDC">
        <w:rPr>
          <w:b/>
          <w:sz w:val="22"/>
        </w:rPr>
        <w:t>Principle 1</w:t>
      </w:r>
      <w:r w:rsidRPr="00C33BDC">
        <w:rPr>
          <w:sz w:val="22"/>
          <w:lang w:eastAsia="en-AU"/>
        </w:rPr>
        <w:t xml:space="preserve"> of the QPP details several requirements to help secure value for money. While clause 1.1</w:t>
      </w:r>
      <w:r w:rsidRPr="00C33BDC">
        <w:rPr>
          <w:b/>
          <w:sz w:val="22"/>
        </w:rPr>
        <w:t xml:space="preserve"> </w:t>
      </w:r>
      <w:r w:rsidRPr="00C33BDC">
        <w:rPr>
          <w:sz w:val="22"/>
          <w:lang w:eastAsia="en-AU"/>
        </w:rPr>
        <w:t xml:space="preserve">is the primary focus of this guide, agencies can also help secure value for money by making sure other clauses are properly implemented. </w:t>
      </w:r>
    </w:p>
    <w:p w14:paraId="0CCAA39F" w14:textId="77777777" w:rsidR="00AF3B54" w:rsidRDefault="00AF3B54" w:rsidP="00AF3B54">
      <w:pPr>
        <w:rPr>
          <w:lang w:eastAsia="en-AU"/>
        </w:rPr>
      </w:pPr>
      <w:r w:rsidRPr="00C33BDC">
        <w:rPr>
          <w:sz w:val="22"/>
          <w:lang w:eastAsia="en-AU"/>
        </w:rPr>
        <w:t>The below table details these clauses and how they help support securing value for money.</w:t>
      </w:r>
      <w:r>
        <w:rPr>
          <w:lang w:eastAsia="en-AU"/>
        </w:rPr>
        <w:br/>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119" w:type="dxa"/>
          <w:bottom w:w="28" w:type="dxa"/>
          <w:right w:w="119" w:type="dxa"/>
        </w:tblCellMar>
        <w:tblLook w:val="01E0" w:firstRow="1" w:lastRow="1" w:firstColumn="1" w:lastColumn="1" w:noHBand="0" w:noVBand="0"/>
      </w:tblPr>
      <w:tblGrid>
        <w:gridCol w:w="3666"/>
        <w:gridCol w:w="5821"/>
      </w:tblGrid>
      <w:tr w:rsidR="00AF3B54" w:rsidRPr="00972AE8" w14:paraId="0B715DAA" w14:textId="77777777" w:rsidTr="00AF3B54">
        <w:trPr>
          <w:tblHeader/>
        </w:trPr>
        <w:tc>
          <w:tcPr>
            <w:tcW w:w="0" w:type="auto"/>
            <w:shd w:val="clear" w:color="auto" w:fill="808080" w:themeFill="background1" w:themeFillShade="80"/>
          </w:tcPr>
          <w:p w14:paraId="54F3BE50" w14:textId="77777777" w:rsidR="00AF3B54" w:rsidRPr="002E2D1A" w:rsidRDefault="00AF3B54" w:rsidP="00AF3B54">
            <w:pPr>
              <w:pStyle w:val="Tableheadings"/>
              <w:rPr>
                <w:sz w:val="22"/>
                <w:szCs w:val="22"/>
              </w:rPr>
            </w:pPr>
            <w:r w:rsidRPr="002E2D1A">
              <w:rPr>
                <w:sz w:val="22"/>
                <w:szCs w:val="22"/>
              </w:rPr>
              <w:t>Clause</w:t>
            </w:r>
          </w:p>
        </w:tc>
        <w:tc>
          <w:tcPr>
            <w:tcW w:w="0" w:type="auto"/>
            <w:shd w:val="clear" w:color="auto" w:fill="808080" w:themeFill="background1" w:themeFillShade="80"/>
          </w:tcPr>
          <w:p w14:paraId="25D8DBB4" w14:textId="77777777" w:rsidR="00AF3B54" w:rsidRPr="002E2D1A" w:rsidRDefault="00AF3B54" w:rsidP="00AF3B54">
            <w:pPr>
              <w:pStyle w:val="Tableheadings"/>
              <w:rPr>
                <w:sz w:val="22"/>
                <w:szCs w:val="22"/>
              </w:rPr>
            </w:pPr>
            <w:r w:rsidRPr="002E2D1A">
              <w:rPr>
                <w:sz w:val="22"/>
                <w:szCs w:val="22"/>
              </w:rPr>
              <w:t>How it helps support value for money</w:t>
            </w:r>
          </w:p>
        </w:tc>
      </w:tr>
      <w:tr w:rsidR="00AF3B54" w14:paraId="36E1FBC1" w14:textId="77777777" w:rsidTr="00AF3B54">
        <w:tc>
          <w:tcPr>
            <w:tcW w:w="0" w:type="auto"/>
            <w:shd w:val="clear" w:color="auto" w:fill="BFBFBF" w:themeFill="background1" w:themeFillShade="BF"/>
          </w:tcPr>
          <w:p w14:paraId="1722EAFF" w14:textId="77777777" w:rsidR="00AF3B54" w:rsidRPr="00004D41" w:rsidRDefault="00AF3B54" w:rsidP="00AF3B54">
            <w:pPr>
              <w:pStyle w:val="Tabletext"/>
              <w:rPr>
                <w:b/>
              </w:rPr>
            </w:pPr>
            <w:r w:rsidRPr="00004D41">
              <w:rPr>
                <w:b/>
              </w:rPr>
              <w:t>Clause 1.2</w:t>
            </w:r>
          </w:p>
          <w:p w14:paraId="319E00DE" w14:textId="77777777" w:rsidR="00AF3B54" w:rsidRPr="00004D41" w:rsidRDefault="00AF3B54" w:rsidP="00AF3B54">
            <w:pPr>
              <w:pStyle w:val="Tabletext"/>
            </w:pPr>
            <w:r w:rsidRPr="00004D41">
              <w:t>Agencies will identify the procurement strategy and method (open, limited or selective)</w:t>
            </w:r>
            <w:r>
              <w:t xml:space="preserve"> </w:t>
            </w:r>
            <w:r w:rsidRPr="00004D41">
              <w:t>most appropriate for delivering the best procurement outcome. This will be based on an</w:t>
            </w:r>
            <w:r>
              <w:t xml:space="preserve"> </w:t>
            </w:r>
            <w:r w:rsidRPr="00004D41">
              <w:t>assessment of complexity, scope, opportunities and risks associated with procurement</w:t>
            </w:r>
            <w:r>
              <w:t xml:space="preserve"> </w:t>
            </w:r>
            <w:r w:rsidRPr="00004D41">
              <w:t>objectives, as well as the level of competition in the supply market.</w:t>
            </w:r>
          </w:p>
        </w:tc>
        <w:tc>
          <w:tcPr>
            <w:tcW w:w="0" w:type="auto"/>
            <w:shd w:val="clear" w:color="auto" w:fill="F2F2F2" w:themeFill="background1" w:themeFillShade="F2"/>
          </w:tcPr>
          <w:p w14:paraId="15942263" w14:textId="77777777" w:rsidR="00AF3B54" w:rsidRDefault="00AF3B54" w:rsidP="00AF3B54">
            <w:pPr>
              <w:pStyle w:val="Tabletext"/>
            </w:pPr>
            <w:r>
              <w:t>Value for money outcomes are also supported through ensuring that procurement processes are efficient.</w:t>
            </w:r>
          </w:p>
          <w:p w14:paraId="6EF7EC5B" w14:textId="77777777" w:rsidR="00AF3B54" w:rsidRDefault="00AF3B54" w:rsidP="00AF3B54">
            <w:pPr>
              <w:pStyle w:val="Tabletext"/>
            </w:pPr>
          </w:p>
          <w:p w14:paraId="38334855" w14:textId="77777777" w:rsidR="00AF3B54" w:rsidRDefault="00AF3B54" w:rsidP="00AF3B54">
            <w:pPr>
              <w:pStyle w:val="Tabletext"/>
            </w:pPr>
            <w:r>
              <w:t xml:space="preserve">This clause gives agencies the flexibility to select the most appropriate way to engage the market based on an assessment of the procurement. </w:t>
            </w:r>
          </w:p>
          <w:p w14:paraId="226AC6AA" w14:textId="77777777" w:rsidR="00AF3B54" w:rsidRDefault="00AF3B54" w:rsidP="00AF3B54">
            <w:pPr>
              <w:pStyle w:val="Tabletext"/>
            </w:pPr>
          </w:p>
          <w:p w14:paraId="75541CCE" w14:textId="77777777" w:rsidR="00AF3B54" w:rsidRPr="0051562C" w:rsidRDefault="00AF3B54" w:rsidP="00AF3B54">
            <w:pPr>
              <w:pStyle w:val="Tabletext"/>
            </w:pPr>
            <w:r>
              <w:t>For example, an agency could choose to maximise competitive tension through an open tender process. Alternatively, an agency could streamline the effort associated with its tender process by directly approaching several suppliers (a limited tender) which its supply market analysis has shown are the only ones capable of delivering the required good/service.</w:t>
            </w:r>
          </w:p>
        </w:tc>
      </w:tr>
      <w:tr w:rsidR="00AF3B54" w14:paraId="074D1DC6" w14:textId="77777777" w:rsidTr="00AF3B54">
        <w:tc>
          <w:tcPr>
            <w:tcW w:w="0" w:type="auto"/>
            <w:shd w:val="clear" w:color="auto" w:fill="BFBFBF" w:themeFill="background1" w:themeFillShade="BF"/>
          </w:tcPr>
          <w:p w14:paraId="1683EAC4" w14:textId="77777777" w:rsidR="00AF3B54" w:rsidRPr="00004D41" w:rsidRDefault="00AF3B54" w:rsidP="00AF3B54">
            <w:pPr>
              <w:pStyle w:val="Tabletext"/>
              <w:rPr>
                <w:b/>
              </w:rPr>
            </w:pPr>
            <w:r w:rsidRPr="00004D41">
              <w:rPr>
                <w:b/>
              </w:rPr>
              <w:t>Clause 1.3</w:t>
            </w:r>
          </w:p>
          <w:p w14:paraId="5DD217E6" w14:textId="77777777" w:rsidR="00AF3B54" w:rsidRPr="00004D41" w:rsidRDefault="00AF3B54" w:rsidP="00AF3B54">
            <w:pPr>
              <w:pStyle w:val="Tabletext"/>
            </w:pPr>
            <w:r w:rsidRPr="00004D41">
              <w:t>Agencies may deal directly with their own agency or other Queensland Government agencies</w:t>
            </w:r>
            <w:r>
              <w:t xml:space="preserve"> </w:t>
            </w:r>
            <w:r w:rsidRPr="00004D41">
              <w:t>including commercialised business units.</w:t>
            </w:r>
            <w:r>
              <w:t xml:space="preserve"> </w:t>
            </w:r>
          </w:p>
        </w:tc>
        <w:tc>
          <w:tcPr>
            <w:tcW w:w="0" w:type="auto"/>
            <w:shd w:val="clear" w:color="auto" w:fill="F2F2F2" w:themeFill="background1" w:themeFillShade="F2"/>
          </w:tcPr>
          <w:p w14:paraId="5FEBC352" w14:textId="77777777" w:rsidR="00AF3B54" w:rsidRDefault="00AF3B54" w:rsidP="00AF3B54">
            <w:pPr>
              <w:pStyle w:val="Tabletext"/>
            </w:pPr>
            <w:r>
              <w:t>The government has several internal service providers who can also offer required services to government.</w:t>
            </w:r>
          </w:p>
          <w:p w14:paraId="72B108C9" w14:textId="77777777" w:rsidR="00AF3B54" w:rsidRDefault="00AF3B54" w:rsidP="00AF3B54">
            <w:pPr>
              <w:pStyle w:val="Tabletext"/>
            </w:pPr>
          </w:p>
          <w:p w14:paraId="0CAB0BB9" w14:textId="77777777" w:rsidR="00AF3B54" w:rsidRDefault="00AF3B54" w:rsidP="00AF3B54">
            <w:pPr>
              <w:pStyle w:val="Tabletext"/>
            </w:pPr>
            <w:r>
              <w:t xml:space="preserve">To streamline the engagement process, this clause reinforces the ability for agencies to directly engage an internal to government service provider. </w:t>
            </w:r>
          </w:p>
          <w:p w14:paraId="18ED5FB2" w14:textId="77777777" w:rsidR="00AF3B54" w:rsidRDefault="00AF3B54" w:rsidP="00AF3B54">
            <w:pPr>
              <w:pStyle w:val="Tabletext"/>
            </w:pPr>
          </w:p>
          <w:p w14:paraId="657CFEF0" w14:textId="77777777" w:rsidR="00AF3B54" w:rsidRPr="0051562C" w:rsidRDefault="00AF3B54" w:rsidP="00AF3B54">
            <w:pPr>
              <w:pStyle w:val="Tabletext"/>
            </w:pPr>
            <w:r w:rsidRPr="008043B1">
              <w:t xml:space="preserve">Agencies should refer to the Advisory Note – Intragovernmental Procurement at </w:t>
            </w:r>
            <w:hyperlink r:id="rId30" w:history="1">
              <w:r w:rsidRPr="00B43823">
                <w:rPr>
                  <w:rStyle w:val="Hyperlink"/>
                </w:rPr>
                <w:t>https://www.forgov.qld.gov.au/procurement</w:t>
              </w:r>
            </w:hyperlink>
            <w:r w:rsidRPr="008043B1">
              <w:t>.</w:t>
            </w:r>
          </w:p>
        </w:tc>
      </w:tr>
      <w:tr w:rsidR="00AF3B54" w14:paraId="7C0BF1A1" w14:textId="77777777" w:rsidTr="00AF3B54">
        <w:tc>
          <w:tcPr>
            <w:tcW w:w="0" w:type="auto"/>
            <w:shd w:val="clear" w:color="auto" w:fill="BFBFBF" w:themeFill="background1" w:themeFillShade="BF"/>
          </w:tcPr>
          <w:p w14:paraId="347BED94" w14:textId="77777777" w:rsidR="00AF3B54" w:rsidRPr="00004D41" w:rsidRDefault="00AF3B54" w:rsidP="00AF3B54">
            <w:pPr>
              <w:pStyle w:val="Tabletext"/>
              <w:rPr>
                <w:b/>
              </w:rPr>
            </w:pPr>
            <w:r w:rsidRPr="00004D41">
              <w:rPr>
                <w:b/>
              </w:rPr>
              <w:t>Clause 1.4</w:t>
            </w:r>
          </w:p>
          <w:p w14:paraId="11560688" w14:textId="77777777" w:rsidR="00AF3B54" w:rsidRPr="00004D41" w:rsidRDefault="00AF3B54" w:rsidP="00AF3B54">
            <w:pPr>
              <w:pStyle w:val="Tabletext"/>
            </w:pPr>
            <w:r w:rsidRPr="00004D41">
              <w:t>Agencies will:</w:t>
            </w:r>
          </w:p>
          <w:p w14:paraId="2C4558FD" w14:textId="77777777" w:rsidR="00AF3B54" w:rsidRDefault="00AF3B54" w:rsidP="00AF3B54">
            <w:pPr>
              <w:pStyle w:val="Tabletext"/>
              <w:numPr>
                <w:ilvl w:val="0"/>
                <w:numId w:val="16"/>
              </w:numPr>
            </w:pPr>
            <w:r w:rsidRPr="00004D41">
              <w:t>use the Queensland Government’s QTenders website to publish all open tender</w:t>
            </w:r>
            <w:r>
              <w:t>s</w:t>
            </w:r>
          </w:p>
          <w:p w14:paraId="7B73A39E" w14:textId="77777777" w:rsidR="00AF3B54" w:rsidRPr="00004D41" w:rsidRDefault="00AF3B54" w:rsidP="00AF3B54">
            <w:pPr>
              <w:pStyle w:val="Tabletext"/>
              <w:numPr>
                <w:ilvl w:val="0"/>
                <w:numId w:val="16"/>
              </w:numPr>
            </w:pPr>
            <w:r w:rsidRPr="00004D41">
              <w:t>ensure the Queensland Contracts Directory is maintained and up to date.</w:t>
            </w:r>
          </w:p>
        </w:tc>
        <w:tc>
          <w:tcPr>
            <w:tcW w:w="0" w:type="auto"/>
            <w:shd w:val="clear" w:color="auto" w:fill="F2F2F2" w:themeFill="background1" w:themeFillShade="F2"/>
          </w:tcPr>
          <w:p w14:paraId="1E58F011" w14:textId="77777777" w:rsidR="00AF3B54" w:rsidRDefault="00AF3B54" w:rsidP="00AF3B54">
            <w:pPr>
              <w:pStyle w:val="Tabletext"/>
            </w:pPr>
            <w:r>
              <w:t>Using QTenders as a ‘</w:t>
            </w:r>
            <w:r w:rsidRPr="00EC75A7">
              <w:t>single point’</w:t>
            </w:r>
            <w:r>
              <w:t xml:space="preserve"> for all open government tenders means that suppliers interested in tendering have only one website to monitor. QTenders also alerts suppliers to new tender opportunities, which helps to maximise the available supply market.</w:t>
            </w:r>
          </w:p>
          <w:p w14:paraId="54FE85D4" w14:textId="77777777" w:rsidR="00AF3B54" w:rsidRDefault="00AF3B54" w:rsidP="00AF3B54">
            <w:pPr>
              <w:pStyle w:val="Tabletext"/>
            </w:pPr>
          </w:p>
          <w:p w14:paraId="4361050F" w14:textId="77777777" w:rsidR="00AF3B54" w:rsidRPr="0051562C" w:rsidRDefault="00AF3B54" w:rsidP="00AF3B54">
            <w:pPr>
              <w:pStyle w:val="Tabletext"/>
            </w:pPr>
            <w:r>
              <w:t>Using the Queensland Contracts Directory ensures that there is a ‘single point’ for all government common-use supply arrangements. This allows government buyers from across the sector to more quickly and easily buy goods/services rather than having to each time engage with the market. It also helps to secure value by aggregating government expenditure together which, in turn, can help achieve better pricing.</w:t>
            </w:r>
          </w:p>
        </w:tc>
      </w:tr>
      <w:tr w:rsidR="00AF3B54" w14:paraId="374F52B4" w14:textId="77777777" w:rsidTr="00AF3B54">
        <w:tc>
          <w:tcPr>
            <w:tcW w:w="0" w:type="auto"/>
            <w:shd w:val="clear" w:color="auto" w:fill="BFBFBF" w:themeFill="background1" w:themeFillShade="BF"/>
          </w:tcPr>
          <w:p w14:paraId="71419DE1" w14:textId="77777777" w:rsidR="00AF3B54" w:rsidRPr="00004D41" w:rsidRDefault="00AF3B54" w:rsidP="00AF3B54">
            <w:pPr>
              <w:pStyle w:val="Tabletext"/>
              <w:rPr>
                <w:b/>
              </w:rPr>
            </w:pPr>
            <w:r w:rsidRPr="00004D41">
              <w:rPr>
                <w:b/>
              </w:rPr>
              <w:t>Clause 1.5</w:t>
            </w:r>
          </w:p>
          <w:p w14:paraId="7D52AC42" w14:textId="77777777" w:rsidR="00AF3B54" w:rsidRPr="00004D41" w:rsidRDefault="00AF3B54" w:rsidP="00AF3B54">
            <w:pPr>
              <w:pStyle w:val="Tabletext"/>
            </w:pPr>
            <w:r w:rsidRPr="00004D41">
              <w:t>When identifying value for money priorities during category planning activities,</w:t>
            </w:r>
            <w:r>
              <w:t xml:space="preserve"> </w:t>
            </w:r>
            <w:r w:rsidRPr="00004D41">
              <w:t>category managers will pursue opportunities to advance relevant economic, environmental</w:t>
            </w:r>
            <w:r>
              <w:t xml:space="preserve"> </w:t>
            </w:r>
            <w:r w:rsidRPr="00004D41">
              <w:t xml:space="preserve">and </w:t>
            </w:r>
            <w:r w:rsidRPr="00004D41">
              <w:lastRenderedPageBreak/>
              <w:t>social outcomes and objectives of the government. This includes factoring the</w:t>
            </w:r>
            <w:r>
              <w:t xml:space="preserve"> </w:t>
            </w:r>
            <w:r w:rsidRPr="00004D41">
              <w:t>achievement of targets set by government into planning and subsequent procurement</w:t>
            </w:r>
            <w:r>
              <w:t xml:space="preserve"> </w:t>
            </w:r>
            <w:r w:rsidRPr="00004D41">
              <w:t>activities.</w:t>
            </w:r>
            <w:r>
              <w:t xml:space="preserve"> </w:t>
            </w:r>
          </w:p>
        </w:tc>
        <w:tc>
          <w:tcPr>
            <w:tcW w:w="0" w:type="auto"/>
            <w:shd w:val="clear" w:color="auto" w:fill="F2F2F2" w:themeFill="background1" w:themeFillShade="F2"/>
          </w:tcPr>
          <w:p w14:paraId="67A752FD" w14:textId="77777777" w:rsidR="00AF3B54" w:rsidRDefault="00AF3B54" w:rsidP="00AF3B54">
            <w:pPr>
              <w:pStyle w:val="Tabletext"/>
            </w:pPr>
            <w:r>
              <w:lastRenderedPageBreak/>
              <w:t>The Queensland Government has adopted a category management approach for procurement. Requiring category strategies to consider government objectives, targets and commitments helps to ensure that these are appropriately integrated and pursued within procurement.</w:t>
            </w:r>
          </w:p>
          <w:p w14:paraId="1927AD39" w14:textId="77777777" w:rsidR="00AF3B54" w:rsidRDefault="00AF3B54" w:rsidP="00AF3B54">
            <w:pPr>
              <w:pStyle w:val="Tabletext"/>
            </w:pPr>
          </w:p>
          <w:p w14:paraId="222D1A1B" w14:textId="77777777" w:rsidR="00AF3B54" w:rsidRPr="0051562C" w:rsidRDefault="00AF3B54" w:rsidP="00AF3B54">
            <w:pPr>
              <w:pStyle w:val="Tabletext"/>
            </w:pPr>
            <w:r w:rsidRPr="008043B1">
              <w:lastRenderedPageBreak/>
              <w:t xml:space="preserve">Examples of outcomes relating to added value can be found at </w:t>
            </w:r>
            <w:hyperlink r:id="rId31" w:history="1">
              <w:r w:rsidRPr="00B43823">
                <w:rPr>
                  <w:rStyle w:val="Hyperlink"/>
                </w:rPr>
                <w:t>https://www.forgov.qld.gov.au/procurement</w:t>
              </w:r>
            </w:hyperlink>
            <w:r w:rsidRPr="008043B1">
              <w:t>.</w:t>
            </w:r>
          </w:p>
        </w:tc>
      </w:tr>
      <w:tr w:rsidR="00AF3B54" w14:paraId="56AA00BD" w14:textId="77777777" w:rsidTr="00AF3B54">
        <w:tc>
          <w:tcPr>
            <w:tcW w:w="0" w:type="auto"/>
            <w:shd w:val="clear" w:color="auto" w:fill="BFBFBF" w:themeFill="background1" w:themeFillShade="BF"/>
          </w:tcPr>
          <w:p w14:paraId="79249582" w14:textId="77777777" w:rsidR="00AF3B54" w:rsidRPr="00004D41" w:rsidRDefault="00AF3B54" w:rsidP="00AF3B54">
            <w:pPr>
              <w:pStyle w:val="Tabletext"/>
              <w:rPr>
                <w:b/>
              </w:rPr>
            </w:pPr>
            <w:r w:rsidRPr="00004D41">
              <w:rPr>
                <w:b/>
              </w:rPr>
              <w:lastRenderedPageBreak/>
              <w:t>Clause 1.6</w:t>
            </w:r>
          </w:p>
          <w:p w14:paraId="0B889F6E" w14:textId="77777777" w:rsidR="00AF3B54" w:rsidRPr="00004D41" w:rsidRDefault="00AF3B54" w:rsidP="00AF3B54">
            <w:pPr>
              <w:pStyle w:val="Tabletext"/>
            </w:pPr>
            <w:r w:rsidRPr="00004D41">
              <w:t>Lead agency category teams, in consultation with other budget sector agencies, are</w:t>
            </w:r>
            <w:r>
              <w:t xml:space="preserve"> </w:t>
            </w:r>
            <w:r w:rsidRPr="00004D41">
              <w:t>responsible for coordinating and publishing a forward procurement pipeline (minimum 12</w:t>
            </w:r>
            <w:r>
              <w:t xml:space="preserve"> month</w:t>
            </w:r>
            <w:r w:rsidRPr="00004D41">
              <w:t xml:space="preserve"> forecast) for their category.</w:t>
            </w:r>
          </w:p>
        </w:tc>
        <w:tc>
          <w:tcPr>
            <w:tcW w:w="0" w:type="auto"/>
            <w:vMerge w:val="restart"/>
            <w:shd w:val="clear" w:color="auto" w:fill="F2F2F2" w:themeFill="background1" w:themeFillShade="F2"/>
          </w:tcPr>
          <w:p w14:paraId="1358F48A" w14:textId="77777777" w:rsidR="00AF3B54" w:rsidRPr="0051562C" w:rsidRDefault="00AF3B54" w:rsidP="00AF3B54">
            <w:pPr>
              <w:pStyle w:val="Tabletext"/>
            </w:pPr>
            <w:r>
              <w:t>Ensuring greater visibility of future supply opportunities gives industry a better chance to prepare and respond to future supply opportunities. It can also help industry by smoothing peaks and troughs in government demand over time. For government, it may also increase the number of interested suppliers, increasing competitive tension in a procurement process.</w:t>
            </w:r>
          </w:p>
        </w:tc>
      </w:tr>
      <w:tr w:rsidR="00AF3B54" w14:paraId="3C0DF813" w14:textId="77777777" w:rsidTr="00AF3B54">
        <w:tc>
          <w:tcPr>
            <w:tcW w:w="0" w:type="auto"/>
            <w:shd w:val="clear" w:color="auto" w:fill="BFBFBF" w:themeFill="background1" w:themeFillShade="BF"/>
          </w:tcPr>
          <w:p w14:paraId="52EB2BC0" w14:textId="77777777" w:rsidR="00AF3B54" w:rsidRPr="00004D41" w:rsidRDefault="00AF3B54" w:rsidP="00AF3B54">
            <w:pPr>
              <w:pStyle w:val="Tabletext"/>
              <w:rPr>
                <w:b/>
              </w:rPr>
            </w:pPr>
            <w:r w:rsidRPr="00004D41">
              <w:rPr>
                <w:b/>
              </w:rPr>
              <w:t>Clause 1.7</w:t>
            </w:r>
          </w:p>
          <w:p w14:paraId="22FA3D78" w14:textId="77777777" w:rsidR="00AF3B54" w:rsidRPr="00004D41" w:rsidRDefault="00AF3B54" w:rsidP="00AF3B54">
            <w:pPr>
              <w:pStyle w:val="Tabletext"/>
            </w:pPr>
            <w:r w:rsidRPr="00004D41">
              <w:t>Statutory bodies, government</w:t>
            </w:r>
            <w:r>
              <w:t xml:space="preserve"> </w:t>
            </w:r>
            <w:r w:rsidRPr="00004D41">
              <w:t>owned corporations and special purpose vehicles will</w:t>
            </w:r>
            <w:r>
              <w:t xml:space="preserve"> </w:t>
            </w:r>
            <w:r w:rsidRPr="00004D41">
              <w:t>publish notices of potential future procurements on the Queensland Government’s</w:t>
            </w:r>
            <w:r>
              <w:t xml:space="preserve"> </w:t>
            </w:r>
            <w:r w:rsidRPr="00004D41">
              <w:t>QTenders website, where the agency identifies there would be a benefit to it or the supply</w:t>
            </w:r>
            <w:r>
              <w:t xml:space="preserve"> </w:t>
            </w:r>
            <w:r w:rsidRPr="00004D41">
              <w:t>market from doing so.</w:t>
            </w:r>
          </w:p>
        </w:tc>
        <w:tc>
          <w:tcPr>
            <w:tcW w:w="0" w:type="auto"/>
            <w:vMerge/>
            <w:shd w:val="clear" w:color="auto" w:fill="F2F2F2" w:themeFill="background1" w:themeFillShade="F2"/>
          </w:tcPr>
          <w:p w14:paraId="7514DA77" w14:textId="77777777" w:rsidR="00AF3B54" w:rsidRPr="0051562C" w:rsidRDefault="00AF3B54" w:rsidP="00AF3B54">
            <w:pPr>
              <w:pStyle w:val="Tabletext"/>
              <w:numPr>
                <w:ilvl w:val="0"/>
                <w:numId w:val="21"/>
              </w:numPr>
            </w:pPr>
          </w:p>
        </w:tc>
      </w:tr>
      <w:tr w:rsidR="00AF3B54" w14:paraId="11F7F2D3" w14:textId="77777777" w:rsidTr="00AF3B54">
        <w:tc>
          <w:tcPr>
            <w:tcW w:w="0" w:type="auto"/>
            <w:shd w:val="clear" w:color="auto" w:fill="BFBFBF" w:themeFill="background1" w:themeFillShade="BF"/>
          </w:tcPr>
          <w:p w14:paraId="7EF2B9A7" w14:textId="77777777" w:rsidR="00AF3B54" w:rsidRPr="00004D41" w:rsidRDefault="00AF3B54" w:rsidP="00AF3B54">
            <w:pPr>
              <w:pStyle w:val="Tabletext"/>
              <w:rPr>
                <w:b/>
              </w:rPr>
            </w:pPr>
            <w:r w:rsidRPr="00004D41">
              <w:rPr>
                <w:b/>
              </w:rPr>
              <w:t>Clause 1.8</w:t>
            </w:r>
          </w:p>
          <w:p w14:paraId="40C94A2F" w14:textId="7FCA4D55" w:rsidR="00AF3B54" w:rsidRPr="00004D41" w:rsidRDefault="00AF3B54" w:rsidP="00AF3B54">
            <w:pPr>
              <w:pStyle w:val="Tabletext"/>
            </w:pPr>
            <w:r w:rsidRPr="00004D41">
              <w:t>Agencies will measure and report on procurement benefits in accordance with whole-of</w:t>
            </w:r>
            <w:r>
              <w:t>-</w:t>
            </w:r>
            <w:r w:rsidRPr="00004D41">
              <w:t>government</w:t>
            </w:r>
            <w:r>
              <w:t xml:space="preserve"> </w:t>
            </w:r>
            <w:r w:rsidRPr="00004D41">
              <w:t xml:space="preserve">procurement performance principles issued by </w:t>
            </w:r>
            <w:r w:rsidR="00DD0465">
              <w:t>Queensland Government Procurement</w:t>
            </w:r>
            <w:r w:rsidRPr="0007208C">
              <w:t>.</w:t>
            </w:r>
          </w:p>
        </w:tc>
        <w:tc>
          <w:tcPr>
            <w:tcW w:w="0" w:type="auto"/>
            <w:shd w:val="clear" w:color="auto" w:fill="F2F2F2" w:themeFill="background1" w:themeFillShade="F2"/>
          </w:tcPr>
          <w:p w14:paraId="052FB323" w14:textId="77777777" w:rsidR="00AF3B54" w:rsidRPr="001E4498" w:rsidRDefault="00AF3B54" w:rsidP="00AF3B54">
            <w:pPr>
              <w:pStyle w:val="Tabletext"/>
            </w:pPr>
            <w:r>
              <w:t xml:space="preserve">To help determine whether value for money has been secured it is necessary to measure and report on procurement benefits. </w:t>
            </w:r>
          </w:p>
        </w:tc>
      </w:tr>
    </w:tbl>
    <w:p w14:paraId="702B4976" w14:textId="77777777" w:rsidR="00AF3B54" w:rsidRPr="003400D9" w:rsidRDefault="00AF3B54" w:rsidP="00AF3B54">
      <w:pPr>
        <w:spacing w:after="0" w:line="240" w:lineRule="auto"/>
        <w:rPr>
          <w:lang w:eastAsia="en-AU"/>
        </w:rPr>
      </w:pPr>
    </w:p>
    <w:p w14:paraId="47AE38A4" w14:textId="77777777" w:rsidR="00AF3B54" w:rsidRDefault="00AF3B54" w:rsidP="00AF3B54">
      <w:pPr>
        <w:spacing w:after="0" w:line="240" w:lineRule="auto"/>
        <w:rPr>
          <w:rFonts w:cs="Arial"/>
          <w:b/>
          <w:bCs/>
          <w:color w:val="0083C8"/>
          <w:sz w:val="36"/>
          <w:szCs w:val="20"/>
          <w:lang w:eastAsia="en-AU"/>
        </w:rPr>
      </w:pPr>
      <w:r>
        <w:br w:type="page"/>
      </w:r>
    </w:p>
    <w:p w14:paraId="01BFC053" w14:textId="77777777" w:rsidR="00AF3B54" w:rsidRPr="00851D18" w:rsidRDefault="00AF3B54" w:rsidP="00AF3B54">
      <w:pPr>
        <w:pStyle w:val="Heading1"/>
      </w:pPr>
      <w:bookmarkStart w:id="139" w:name="_Toc491873157"/>
      <w:bookmarkStart w:id="140" w:name="_Toc514843911"/>
      <w:bookmarkStart w:id="141" w:name="_Toc80363232"/>
      <w:bookmarkStart w:id="142" w:name="_Hlk490136923"/>
      <w:r w:rsidRPr="00851D18">
        <w:lastRenderedPageBreak/>
        <w:t xml:space="preserve">Appendix </w:t>
      </w:r>
      <w:r>
        <w:t>2</w:t>
      </w:r>
      <w:bookmarkEnd w:id="139"/>
      <w:bookmarkEnd w:id="140"/>
      <w:bookmarkEnd w:id="141"/>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3256"/>
        <w:gridCol w:w="6372"/>
      </w:tblGrid>
      <w:tr w:rsidR="00AF3B54" w:rsidRPr="00972AE8" w14:paraId="61476C52" w14:textId="77777777" w:rsidTr="00AF3B54">
        <w:trPr>
          <w:tblHeader/>
        </w:trPr>
        <w:tc>
          <w:tcPr>
            <w:tcW w:w="9628"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808080" w:themeFill="background1" w:themeFillShade="80"/>
          </w:tcPr>
          <w:p w14:paraId="3441F457" w14:textId="77777777" w:rsidR="00AF3B54" w:rsidRPr="002E2D1A" w:rsidRDefault="00AF3B54" w:rsidP="00AF3B54">
            <w:pPr>
              <w:pStyle w:val="Tableheadings"/>
              <w:rPr>
                <w:sz w:val="22"/>
                <w:szCs w:val="22"/>
              </w:rPr>
            </w:pPr>
            <w:r w:rsidRPr="002E2D1A">
              <w:rPr>
                <w:sz w:val="22"/>
                <w:szCs w:val="22"/>
              </w:rPr>
              <w:t>Checklist for identifying whole-of-life costs</w:t>
            </w:r>
          </w:p>
        </w:tc>
      </w:tr>
      <w:tr w:rsidR="00AF3B54" w14:paraId="3E9BFA78"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0C1377E9" w14:textId="77777777" w:rsidR="00AF3B54" w:rsidRDefault="00AF3B54" w:rsidP="00AF3B54">
            <w:pPr>
              <w:pStyle w:val="Tabletext"/>
              <w:rPr>
                <w:b/>
              </w:rPr>
            </w:pPr>
            <w:r>
              <w:rPr>
                <w:b/>
              </w:rPr>
              <w:t xml:space="preserve">Acquisition costs </w:t>
            </w:r>
          </w:p>
          <w:p w14:paraId="61EBCB42" w14:textId="77777777" w:rsidR="00AF3B54" w:rsidRDefault="00AF3B54" w:rsidP="00AF3B54">
            <w:pPr>
              <w:pStyle w:val="Tabletext"/>
              <w:rPr>
                <w:b/>
              </w:rPr>
            </w:pPr>
          </w:p>
          <w:p w14:paraId="2DE183DC" w14:textId="77777777" w:rsidR="00AF3B54" w:rsidRPr="00DF05C6" w:rsidRDefault="00AF3B54" w:rsidP="00AF3B54">
            <w:pPr>
              <w:pStyle w:val="Tabletext"/>
              <w:rPr>
                <w:i/>
              </w:rPr>
            </w:pPr>
            <w:r w:rsidRPr="00DF05C6">
              <w:rPr>
                <w:i/>
              </w:rPr>
              <w:t>Associated with the initial procurement</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8C6371" w14:textId="77777777" w:rsidR="00AF3B54" w:rsidRDefault="00AF3B54" w:rsidP="00AF3B54">
            <w:pPr>
              <w:pStyle w:val="Tabletext"/>
            </w:pPr>
            <w:r>
              <w:t>These can include:</w:t>
            </w:r>
          </w:p>
          <w:p w14:paraId="07CFBBB3" w14:textId="77777777" w:rsidR="00AF3B54" w:rsidRDefault="00AF3B54" w:rsidP="00AF3B54">
            <w:pPr>
              <w:pStyle w:val="Tabletext"/>
              <w:numPr>
                <w:ilvl w:val="0"/>
                <w:numId w:val="15"/>
              </w:numPr>
            </w:pPr>
            <w:r>
              <w:t>price</w:t>
            </w:r>
          </w:p>
          <w:p w14:paraId="476066BE" w14:textId="77777777" w:rsidR="00AF3B54" w:rsidRDefault="00AF3B54" w:rsidP="00AF3B54">
            <w:pPr>
              <w:pStyle w:val="Tabletext"/>
              <w:numPr>
                <w:ilvl w:val="0"/>
                <w:numId w:val="15"/>
              </w:numPr>
            </w:pPr>
            <w:r>
              <w:t>costs of capital</w:t>
            </w:r>
          </w:p>
          <w:p w14:paraId="58526103" w14:textId="77777777" w:rsidR="00AF3B54" w:rsidRDefault="00AF3B54" w:rsidP="00AF3B54">
            <w:pPr>
              <w:pStyle w:val="Tabletext"/>
              <w:numPr>
                <w:ilvl w:val="0"/>
                <w:numId w:val="15"/>
              </w:numPr>
            </w:pPr>
            <w:r>
              <w:t xml:space="preserve">freight/transport </w:t>
            </w:r>
          </w:p>
          <w:p w14:paraId="6B608FB2" w14:textId="77777777" w:rsidR="00AF3B54" w:rsidRDefault="00AF3B54" w:rsidP="00AF3B54">
            <w:pPr>
              <w:pStyle w:val="Tabletext"/>
              <w:numPr>
                <w:ilvl w:val="0"/>
                <w:numId w:val="15"/>
              </w:numPr>
            </w:pPr>
            <w:r>
              <w:t>permits and fees</w:t>
            </w:r>
          </w:p>
          <w:p w14:paraId="7275972C" w14:textId="77777777" w:rsidR="00AF3B54" w:rsidRDefault="00AF3B54" w:rsidP="00AF3B54">
            <w:pPr>
              <w:pStyle w:val="Tabletext"/>
              <w:numPr>
                <w:ilvl w:val="0"/>
                <w:numId w:val="15"/>
              </w:numPr>
            </w:pPr>
            <w:r>
              <w:t>survey</w:t>
            </w:r>
          </w:p>
          <w:p w14:paraId="24356866" w14:textId="77777777" w:rsidR="00AF3B54" w:rsidRDefault="00AF3B54" w:rsidP="00AF3B54">
            <w:pPr>
              <w:pStyle w:val="Tabletext"/>
              <w:numPr>
                <w:ilvl w:val="0"/>
                <w:numId w:val="15"/>
              </w:numPr>
            </w:pPr>
            <w:r>
              <w:t>design</w:t>
            </w:r>
          </w:p>
          <w:p w14:paraId="2FF2DCCF" w14:textId="77777777" w:rsidR="00AF3B54" w:rsidRDefault="00AF3B54" w:rsidP="00AF3B54">
            <w:pPr>
              <w:pStyle w:val="Tabletext"/>
              <w:numPr>
                <w:ilvl w:val="0"/>
                <w:numId w:val="15"/>
              </w:numPr>
            </w:pPr>
            <w:r>
              <w:t>consulting and contractor costs</w:t>
            </w:r>
          </w:p>
          <w:p w14:paraId="130DBD2E" w14:textId="77777777" w:rsidR="00AF3B54" w:rsidRDefault="00AF3B54" w:rsidP="00AF3B54">
            <w:pPr>
              <w:pStyle w:val="Tabletext"/>
              <w:numPr>
                <w:ilvl w:val="0"/>
                <w:numId w:val="15"/>
              </w:numPr>
            </w:pPr>
            <w:r>
              <w:t>legal fees</w:t>
            </w:r>
          </w:p>
          <w:p w14:paraId="111F483C" w14:textId="77777777" w:rsidR="00AF3B54" w:rsidRDefault="00AF3B54" w:rsidP="00AF3B54">
            <w:pPr>
              <w:pStyle w:val="Tabletext"/>
              <w:numPr>
                <w:ilvl w:val="0"/>
                <w:numId w:val="15"/>
              </w:numPr>
            </w:pPr>
            <w:r>
              <w:t>labour, materials, components</w:t>
            </w:r>
          </w:p>
          <w:p w14:paraId="7822D3F3" w14:textId="77777777" w:rsidR="00AF3B54" w:rsidRDefault="00AF3B54" w:rsidP="00AF3B54">
            <w:pPr>
              <w:pStyle w:val="Tabletext"/>
              <w:numPr>
                <w:ilvl w:val="0"/>
                <w:numId w:val="15"/>
              </w:numPr>
            </w:pPr>
            <w:r>
              <w:t>replacement costs</w:t>
            </w:r>
          </w:p>
          <w:p w14:paraId="6B2A0D48" w14:textId="77777777" w:rsidR="00AF3B54" w:rsidRDefault="00AF3B54" w:rsidP="00AF3B54">
            <w:pPr>
              <w:pStyle w:val="Tabletext"/>
              <w:numPr>
                <w:ilvl w:val="0"/>
                <w:numId w:val="15"/>
              </w:numPr>
            </w:pPr>
            <w:r>
              <w:t>direct communication</w:t>
            </w:r>
          </w:p>
          <w:p w14:paraId="474C74AC" w14:textId="77777777" w:rsidR="00AF3B54" w:rsidRDefault="00AF3B54" w:rsidP="00AF3B54">
            <w:pPr>
              <w:pStyle w:val="Tabletext"/>
              <w:numPr>
                <w:ilvl w:val="0"/>
                <w:numId w:val="15"/>
              </w:numPr>
            </w:pPr>
            <w:r>
              <w:t>warehousing</w:t>
            </w:r>
          </w:p>
          <w:p w14:paraId="5B24CB84" w14:textId="77777777" w:rsidR="00AF3B54" w:rsidRDefault="00AF3B54" w:rsidP="00AF3B54">
            <w:pPr>
              <w:pStyle w:val="Tabletext"/>
              <w:numPr>
                <w:ilvl w:val="0"/>
                <w:numId w:val="15"/>
              </w:numPr>
            </w:pPr>
            <w:r>
              <w:t>initial inventory management</w:t>
            </w:r>
          </w:p>
          <w:p w14:paraId="2DA06969" w14:textId="77777777" w:rsidR="00AF3B54" w:rsidRDefault="00AF3B54" w:rsidP="00AF3B54">
            <w:pPr>
              <w:pStyle w:val="Tabletext"/>
              <w:numPr>
                <w:ilvl w:val="0"/>
                <w:numId w:val="15"/>
              </w:numPr>
            </w:pPr>
            <w:r>
              <w:t>initial quality inspection and testing</w:t>
            </w:r>
          </w:p>
          <w:p w14:paraId="7DF8AE8B" w14:textId="77777777" w:rsidR="00AF3B54" w:rsidRDefault="00AF3B54" w:rsidP="00AF3B54">
            <w:pPr>
              <w:pStyle w:val="Tabletext"/>
              <w:numPr>
                <w:ilvl w:val="0"/>
                <w:numId w:val="15"/>
              </w:numPr>
            </w:pPr>
            <w:r>
              <w:t>initial handling and insurance</w:t>
            </w:r>
          </w:p>
          <w:p w14:paraId="484CFCB0" w14:textId="77777777" w:rsidR="00AF3B54" w:rsidRDefault="00AF3B54" w:rsidP="00AF3B54">
            <w:pPr>
              <w:pStyle w:val="Tabletext"/>
              <w:numPr>
                <w:ilvl w:val="0"/>
                <w:numId w:val="15"/>
              </w:numPr>
            </w:pPr>
            <w:r>
              <w:t>any modification costs to meet immediate requirements</w:t>
            </w:r>
          </w:p>
          <w:p w14:paraId="4C86BEE2" w14:textId="77777777" w:rsidR="00AF3B54" w:rsidRDefault="00AF3B54" w:rsidP="00AF3B54">
            <w:pPr>
              <w:pStyle w:val="Tabletext"/>
              <w:numPr>
                <w:ilvl w:val="0"/>
                <w:numId w:val="15"/>
              </w:numPr>
            </w:pPr>
            <w:r>
              <w:t>installation and commissioning</w:t>
            </w:r>
          </w:p>
          <w:p w14:paraId="6855C0DC" w14:textId="77777777" w:rsidR="00AF3B54" w:rsidRDefault="00AF3B54" w:rsidP="00AF3B54">
            <w:pPr>
              <w:pStyle w:val="Tabletext"/>
              <w:numPr>
                <w:ilvl w:val="0"/>
                <w:numId w:val="15"/>
              </w:numPr>
            </w:pPr>
            <w:r>
              <w:t>initial training</w:t>
            </w:r>
          </w:p>
          <w:p w14:paraId="3CD4B32E" w14:textId="77777777" w:rsidR="00AF3B54" w:rsidRDefault="00AF3B54" w:rsidP="00AF3B54">
            <w:pPr>
              <w:pStyle w:val="Tabletext"/>
              <w:numPr>
                <w:ilvl w:val="0"/>
                <w:numId w:val="15"/>
              </w:numPr>
            </w:pPr>
            <w:r>
              <w:t>manuals and support literature</w:t>
            </w:r>
          </w:p>
          <w:p w14:paraId="46EABDD5" w14:textId="77777777" w:rsidR="00AF3B54" w:rsidRDefault="00AF3B54" w:rsidP="00AF3B54">
            <w:pPr>
              <w:pStyle w:val="Tabletext"/>
              <w:numPr>
                <w:ilvl w:val="0"/>
                <w:numId w:val="15"/>
              </w:numPr>
            </w:pPr>
            <w:r>
              <w:t>initial consumables</w:t>
            </w:r>
          </w:p>
          <w:p w14:paraId="36817137" w14:textId="77777777" w:rsidR="00AF3B54" w:rsidRDefault="00AF3B54" w:rsidP="00AF3B54">
            <w:pPr>
              <w:pStyle w:val="Tabletext"/>
              <w:numPr>
                <w:ilvl w:val="0"/>
                <w:numId w:val="15"/>
              </w:numPr>
            </w:pPr>
            <w:r>
              <w:t>initial spare parts</w:t>
            </w:r>
          </w:p>
          <w:p w14:paraId="1EE126D8" w14:textId="77777777" w:rsidR="00AF3B54" w:rsidRPr="0051562C" w:rsidRDefault="00AF3B54" w:rsidP="00AF3B54">
            <w:pPr>
              <w:pStyle w:val="Tabletext"/>
              <w:numPr>
                <w:ilvl w:val="0"/>
                <w:numId w:val="15"/>
              </w:numPr>
            </w:pPr>
            <w:r>
              <w:t>safety compliance.</w:t>
            </w:r>
          </w:p>
        </w:tc>
      </w:tr>
      <w:tr w:rsidR="00AF3B54" w14:paraId="562335BD"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00E4AACF" w14:textId="77777777" w:rsidR="00AF3B54" w:rsidRPr="003B11FA" w:rsidRDefault="00AF3B54" w:rsidP="00AF3B54">
            <w:pPr>
              <w:pStyle w:val="Tabletext"/>
              <w:rPr>
                <w:b/>
              </w:rPr>
            </w:pPr>
            <w:r w:rsidRPr="00DF05C6">
              <w:rPr>
                <w:b/>
              </w:rPr>
              <w:t>Operating costs</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79792D" w14:textId="77777777" w:rsidR="00AF3B54" w:rsidRDefault="00AF3B54" w:rsidP="00AF3B54">
            <w:pPr>
              <w:pStyle w:val="Tabletext"/>
            </w:pPr>
            <w:r w:rsidRPr="00DF05C6">
              <w:t>These</w:t>
            </w:r>
            <w:r>
              <w:t xml:space="preserve"> can</w:t>
            </w:r>
            <w:r w:rsidRPr="00DF05C6">
              <w:t xml:space="preserve"> include:</w:t>
            </w:r>
          </w:p>
          <w:p w14:paraId="522A931B" w14:textId="77777777" w:rsidR="00AF3B54" w:rsidRDefault="00AF3B54" w:rsidP="00AF3B54">
            <w:pPr>
              <w:pStyle w:val="Tabletext"/>
              <w:numPr>
                <w:ilvl w:val="0"/>
                <w:numId w:val="16"/>
              </w:numPr>
            </w:pPr>
            <w:r>
              <w:t>fuel or energy sources and charges</w:t>
            </w:r>
          </w:p>
          <w:p w14:paraId="465A5D5B" w14:textId="77777777" w:rsidR="00AF3B54" w:rsidRDefault="00AF3B54" w:rsidP="00AF3B54">
            <w:pPr>
              <w:pStyle w:val="Tabletext"/>
              <w:numPr>
                <w:ilvl w:val="0"/>
                <w:numId w:val="16"/>
              </w:numPr>
            </w:pPr>
            <w:r>
              <w:t>operational labour</w:t>
            </w:r>
          </w:p>
          <w:p w14:paraId="13BC5124" w14:textId="77777777" w:rsidR="00AF3B54" w:rsidRDefault="00AF3B54" w:rsidP="00AF3B54">
            <w:pPr>
              <w:pStyle w:val="Tabletext"/>
              <w:numPr>
                <w:ilvl w:val="0"/>
                <w:numId w:val="16"/>
              </w:numPr>
            </w:pPr>
            <w:r>
              <w:t>technology refresh and software licences</w:t>
            </w:r>
          </w:p>
          <w:p w14:paraId="3A8186D4" w14:textId="77777777" w:rsidR="00AF3B54" w:rsidRDefault="00AF3B54" w:rsidP="00AF3B54">
            <w:pPr>
              <w:pStyle w:val="Tabletext"/>
              <w:numPr>
                <w:ilvl w:val="0"/>
                <w:numId w:val="16"/>
              </w:numPr>
            </w:pPr>
            <w:r>
              <w:t>security</w:t>
            </w:r>
          </w:p>
          <w:p w14:paraId="161E4810" w14:textId="77777777" w:rsidR="00AF3B54" w:rsidRDefault="00AF3B54" w:rsidP="00AF3B54">
            <w:pPr>
              <w:pStyle w:val="Tabletext"/>
              <w:numPr>
                <w:ilvl w:val="0"/>
                <w:numId w:val="16"/>
              </w:numPr>
            </w:pPr>
            <w:r>
              <w:t>safety</w:t>
            </w:r>
          </w:p>
          <w:p w14:paraId="22BF4782" w14:textId="77777777" w:rsidR="00AF3B54" w:rsidRDefault="00AF3B54" w:rsidP="00AF3B54">
            <w:pPr>
              <w:pStyle w:val="Tabletext"/>
              <w:numPr>
                <w:ilvl w:val="0"/>
                <w:numId w:val="16"/>
              </w:numPr>
            </w:pPr>
            <w:r>
              <w:t>training</w:t>
            </w:r>
          </w:p>
          <w:p w14:paraId="1F271AD3" w14:textId="77777777" w:rsidR="00AF3B54" w:rsidRDefault="00AF3B54" w:rsidP="00AF3B54">
            <w:pPr>
              <w:pStyle w:val="Tabletext"/>
              <w:numPr>
                <w:ilvl w:val="0"/>
                <w:numId w:val="16"/>
              </w:numPr>
            </w:pPr>
            <w:r>
              <w:t>ordering and processing costs incurred by the agency</w:t>
            </w:r>
          </w:p>
          <w:p w14:paraId="3A3CC6E7" w14:textId="77777777" w:rsidR="00AF3B54" w:rsidRDefault="00AF3B54" w:rsidP="00AF3B54">
            <w:pPr>
              <w:pStyle w:val="Tabletext"/>
              <w:numPr>
                <w:ilvl w:val="0"/>
                <w:numId w:val="16"/>
              </w:numPr>
            </w:pPr>
            <w:r>
              <w:t>performance monitoring and managing arrangements</w:t>
            </w:r>
          </w:p>
          <w:p w14:paraId="48A752E0" w14:textId="77777777" w:rsidR="00AF3B54" w:rsidRPr="0051562C" w:rsidRDefault="00AF3B54" w:rsidP="00AF3B54">
            <w:pPr>
              <w:pStyle w:val="Tabletext"/>
              <w:numPr>
                <w:ilvl w:val="0"/>
                <w:numId w:val="16"/>
              </w:numPr>
            </w:pPr>
            <w:r>
              <w:t>supplier relationship management.</w:t>
            </w:r>
          </w:p>
        </w:tc>
      </w:tr>
      <w:tr w:rsidR="00AF3B54" w14:paraId="367C3754"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1FD16FC0" w14:textId="77777777" w:rsidR="00AF3B54" w:rsidRDefault="00AF3B54" w:rsidP="00AF3B54">
            <w:pPr>
              <w:pStyle w:val="Tabletext"/>
              <w:rPr>
                <w:b/>
              </w:rPr>
            </w:pPr>
            <w:r>
              <w:rPr>
                <w:b/>
              </w:rPr>
              <w:t>Maintenance costs</w:t>
            </w:r>
          </w:p>
          <w:p w14:paraId="40B8D54B" w14:textId="77777777" w:rsidR="00AF3B54" w:rsidRDefault="00AF3B54" w:rsidP="00AF3B54">
            <w:pPr>
              <w:pStyle w:val="Tabletext"/>
              <w:rPr>
                <w:b/>
              </w:rPr>
            </w:pPr>
          </w:p>
          <w:p w14:paraId="0DDB6F19" w14:textId="77777777" w:rsidR="00AF3B54" w:rsidRPr="00DF05C6" w:rsidRDefault="00AF3B54" w:rsidP="00AF3B54">
            <w:pPr>
              <w:pStyle w:val="Tabletext"/>
              <w:rPr>
                <w:i/>
              </w:rPr>
            </w:pPr>
            <w:r w:rsidRPr="00DF05C6">
              <w:rPr>
                <w:i/>
              </w:rPr>
              <w:t>Relate to the cost of retaining the asset in a fit, efficient and operable condition (this might vary over the life of the asset according to corporate strategies on maintenance liability and appraisal)</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41C52F" w14:textId="77777777" w:rsidR="00AF3B54" w:rsidRDefault="00AF3B54" w:rsidP="00AF3B54">
            <w:pPr>
              <w:pStyle w:val="Tabletext"/>
            </w:pPr>
            <w:r w:rsidRPr="00480544">
              <w:t>These can include:</w:t>
            </w:r>
          </w:p>
          <w:p w14:paraId="14367145" w14:textId="77777777" w:rsidR="00AF3B54" w:rsidRDefault="00AF3B54" w:rsidP="00AF3B54">
            <w:pPr>
              <w:pStyle w:val="Tabletext"/>
              <w:numPr>
                <w:ilvl w:val="0"/>
                <w:numId w:val="18"/>
              </w:numPr>
            </w:pPr>
            <w:r>
              <w:t>consumables</w:t>
            </w:r>
          </w:p>
          <w:p w14:paraId="07A42BB4" w14:textId="77777777" w:rsidR="00AF3B54" w:rsidRDefault="00AF3B54" w:rsidP="00AF3B54">
            <w:pPr>
              <w:pStyle w:val="Tabletext"/>
              <w:numPr>
                <w:ilvl w:val="0"/>
                <w:numId w:val="17"/>
              </w:numPr>
            </w:pPr>
            <w:r>
              <w:t>maintenance of spare parts</w:t>
            </w:r>
          </w:p>
          <w:p w14:paraId="402D3E61" w14:textId="77777777" w:rsidR="00AF3B54" w:rsidRDefault="00AF3B54" w:rsidP="00AF3B54">
            <w:pPr>
              <w:pStyle w:val="Tabletext"/>
              <w:numPr>
                <w:ilvl w:val="0"/>
                <w:numId w:val="17"/>
              </w:numPr>
            </w:pPr>
            <w:r>
              <w:t>inventory and use of spare parts</w:t>
            </w:r>
          </w:p>
          <w:p w14:paraId="22BEEC9A" w14:textId="77777777" w:rsidR="00AF3B54" w:rsidRDefault="00AF3B54" w:rsidP="00AF3B54">
            <w:pPr>
              <w:pStyle w:val="Tabletext"/>
              <w:numPr>
                <w:ilvl w:val="0"/>
                <w:numId w:val="17"/>
              </w:numPr>
            </w:pPr>
            <w:r>
              <w:t>environmental compliance</w:t>
            </w:r>
          </w:p>
          <w:p w14:paraId="11878FDD" w14:textId="77777777" w:rsidR="00AF3B54" w:rsidRDefault="00AF3B54" w:rsidP="00AF3B54">
            <w:pPr>
              <w:pStyle w:val="Tabletext"/>
              <w:numPr>
                <w:ilvl w:val="0"/>
                <w:numId w:val="17"/>
              </w:numPr>
            </w:pPr>
            <w:r>
              <w:t>software maintenance</w:t>
            </w:r>
          </w:p>
          <w:p w14:paraId="18A6C271" w14:textId="77777777" w:rsidR="00AF3B54" w:rsidRDefault="00AF3B54" w:rsidP="00AF3B54">
            <w:pPr>
              <w:pStyle w:val="Tabletext"/>
              <w:numPr>
                <w:ilvl w:val="0"/>
                <w:numId w:val="17"/>
              </w:numPr>
            </w:pPr>
            <w:r>
              <w:t>external environmental and social impacts</w:t>
            </w:r>
          </w:p>
          <w:p w14:paraId="507E2285" w14:textId="77777777" w:rsidR="00AF3B54" w:rsidRDefault="00AF3B54" w:rsidP="00AF3B54">
            <w:pPr>
              <w:pStyle w:val="Tabletext"/>
              <w:numPr>
                <w:ilvl w:val="0"/>
                <w:numId w:val="17"/>
              </w:numPr>
            </w:pPr>
            <w:r>
              <w:t>recalibration costs</w:t>
            </w:r>
          </w:p>
          <w:p w14:paraId="11FF2E5F" w14:textId="77777777" w:rsidR="00AF3B54" w:rsidRDefault="00AF3B54" w:rsidP="00AF3B54">
            <w:pPr>
              <w:pStyle w:val="Tabletext"/>
              <w:numPr>
                <w:ilvl w:val="0"/>
                <w:numId w:val="17"/>
              </w:numPr>
            </w:pPr>
            <w:r>
              <w:t>overhaul and repair – labour and overheads</w:t>
            </w:r>
          </w:p>
          <w:p w14:paraId="05A2B520" w14:textId="77777777" w:rsidR="00AF3B54" w:rsidRDefault="00AF3B54" w:rsidP="00AF3B54">
            <w:pPr>
              <w:pStyle w:val="Tabletext"/>
              <w:numPr>
                <w:ilvl w:val="0"/>
                <w:numId w:val="17"/>
              </w:numPr>
            </w:pPr>
            <w:r>
              <w:lastRenderedPageBreak/>
              <w:t>logistics, costs of spares including inventory management, warehousing, quality inspection, purchasing, handling, and receipts</w:t>
            </w:r>
          </w:p>
          <w:p w14:paraId="4E0B5275" w14:textId="77777777" w:rsidR="00AF3B54" w:rsidRDefault="00AF3B54" w:rsidP="00AF3B54">
            <w:pPr>
              <w:pStyle w:val="Tabletext"/>
              <w:numPr>
                <w:ilvl w:val="0"/>
                <w:numId w:val="17"/>
              </w:numPr>
            </w:pPr>
            <w:r>
              <w:t>systems monitoring costs</w:t>
            </w:r>
          </w:p>
          <w:p w14:paraId="2367376F" w14:textId="77777777" w:rsidR="00AF3B54" w:rsidRDefault="00AF3B54" w:rsidP="00AF3B54">
            <w:pPr>
              <w:pStyle w:val="Tabletext"/>
              <w:numPr>
                <w:ilvl w:val="0"/>
                <w:numId w:val="17"/>
              </w:numPr>
            </w:pPr>
            <w:r>
              <w:t>warranty conditions</w:t>
            </w:r>
          </w:p>
          <w:p w14:paraId="49C66A80" w14:textId="77777777" w:rsidR="00AF3B54" w:rsidRDefault="00AF3B54" w:rsidP="00AF3B54">
            <w:pPr>
              <w:pStyle w:val="Tabletext"/>
              <w:numPr>
                <w:ilvl w:val="0"/>
                <w:numId w:val="17"/>
              </w:numPr>
            </w:pPr>
            <w:r>
              <w:t>training for operations and maintenance staff</w:t>
            </w:r>
          </w:p>
          <w:p w14:paraId="5BF08DC9" w14:textId="77777777" w:rsidR="00AF3B54" w:rsidRPr="0051562C" w:rsidRDefault="00AF3B54" w:rsidP="00AF3B54">
            <w:pPr>
              <w:pStyle w:val="Tabletext"/>
              <w:numPr>
                <w:ilvl w:val="0"/>
                <w:numId w:val="17"/>
              </w:numPr>
            </w:pPr>
            <w:r>
              <w:t>contract maintenance.</w:t>
            </w:r>
          </w:p>
        </w:tc>
      </w:tr>
      <w:tr w:rsidR="00AF3B54" w14:paraId="222A0C4F" w14:textId="77777777" w:rsidTr="00C33BDC">
        <w:trPr>
          <w:trHeight w:val="2560"/>
        </w:trPr>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56636D27" w14:textId="77777777" w:rsidR="00AF3B54" w:rsidRDefault="00AF3B54" w:rsidP="00AF3B54">
            <w:pPr>
              <w:pStyle w:val="Tabletext"/>
              <w:rPr>
                <w:b/>
              </w:rPr>
            </w:pPr>
            <w:r w:rsidRPr="00DF05C6">
              <w:rPr>
                <w:b/>
              </w:rPr>
              <w:lastRenderedPageBreak/>
              <w:t xml:space="preserve">Cleaning costs </w:t>
            </w:r>
          </w:p>
          <w:p w14:paraId="3F5F50A1" w14:textId="77777777" w:rsidR="00AF3B54" w:rsidRPr="00480544" w:rsidRDefault="00AF3B54" w:rsidP="00AF3B54">
            <w:pPr>
              <w:pStyle w:val="Tabletext"/>
              <w:rPr>
                <w:i/>
              </w:rPr>
            </w:pPr>
          </w:p>
          <w:p w14:paraId="46A4F3B3" w14:textId="77777777" w:rsidR="00AF3B54" w:rsidRPr="003B11FA" w:rsidRDefault="00AF3B54" w:rsidP="00AF3B54">
            <w:pPr>
              <w:pStyle w:val="Tabletext"/>
              <w:rPr>
                <w:b/>
              </w:rPr>
            </w:pPr>
            <w:r w:rsidRPr="00480544">
              <w:rPr>
                <w:i/>
              </w:rPr>
              <w:t>Can be separately identified or included as maintenance costs</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125F13E" w14:textId="77777777" w:rsidR="00AF3B54" w:rsidRDefault="00AF3B54" w:rsidP="00AF3B54">
            <w:pPr>
              <w:pStyle w:val="Tabletext"/>
            </w:pPr>
            <w:r>
              <w:t>These can include:</w:t>
            </w:r>
          </w:p>
          <w:p w14:paraId="67A4C1D8" w14:textId="77777777" w:rsidR="00AF3B54" w:rsidRDefault="00AF3B54" w:rsidP="00AF3B54">
            <w:pPr>
              <w:pStyle w:val="Tabletext"/>
              <w:numPr>
                <w:ilvl w:val="0"/>
                <w:numId w:val="19"/>
              </w:numPr>
            </w:pPr>
            <w:r>
              <w:t>cleaning labour rates</w:t>
            </w:r>
          </w:p>
          <w:p w14:paraId="36AD7202" w14:textId="77777777" w:rsidR="00AF3B54" w:rsidRDefault="00AF3B54" w:rsidP="00AF3B54">
            <w:pPr>
              <w:pStyle w:val="Tabletext"/>
              <w:numPr>
                <w:ilvl w:val="0"/>
                <w:numId w:val="19"/>
              </w:numPr>
            </w:pPr>
            <w:r>
              <w:t>comparative costs associated with types of surface coverings</w:t>
            </w:r>
          </w:p>
          <w:p w14:paraId="36FB77D7" w14:textId="77777777" w:rsidR="00AF3B54" w:rsidRDefault="00AF3B54" w:rsidP="00AF3B54">
            <w:pPr>
              <w:pStyle w:val="Tabletext"/>
              <w:numPr>
                <w:ilvl w:val="0"/>
                <w:numId w:val="19"/>
              </w:numPr>
            </w:pPr>
            <w:r>
              <w:t>capital expenditure on dedicated cleaning equipment, including discrete operating/maintenance/replacement costs</w:t>
            </w:r>
          </w:p>
          <w:p w14:paraId="68314706" w14:textId="77777777" w:rsidR="00AF3B54" w:rsidRDefault="00AF3B54" w:rsidP="00AF3B54">
            <w:pPr>
              <w:pStyle w:val="Tabletext"/>
              <w:numPr>
                <w:ilvl w:val="0"/>
                <w:numId w:val="19"/>
              </w:numPr>
            </w:pPr>
            <w:r>
              <w:t>cleaning consumables</w:t>
            </w:r>
          </w:p>
          <w:p w14:paraId="457E9BCD" w14:textId="77777777" w:rsidR="00AF3B54" w:rsidRDefault="00AF3B54" w:rsidP="00AF3B54">
            <w:pPr>
              <w:pStyle w:val="Tabletext"/>
              <w:numPr>
                <w:ilvl w:val="0"/>
                <w:numId w:val="19"/>
              </w:numPr>
            </w:pPr>
            <w:r>
              <w:t>protective clothing</w:t>
            </w:r>
          </w:p>
          <w:p w14:paraId="252BF385" w14:textId="77777777" w:rsidR="00AF3B54" w:rsidRPr="0051562C" w:rsidRDefault="00AF3B54" w:rsidP="00AF3B54">
            <w:pPr>
              <w:pStyle w:val="Tabletext"/>
              <w:numPr>
                <w:ilvl w:val="0"/>
                <w:numId w:val="19"/>
              </w:numPr>
            </w:pPr>
            <w:r>
              <w:t>accommodation/storage facilities for cleaning equipment/materials.</w:t>
            </w:r>
          </w:p>
        </w:tc>
      </w:tr>
      <w:tr w:rsidR="00AF3B54" w14:paraId="0055B905"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4227081E" w14:textId="77777777" w:rsidR="00AF3B54" w:rsidRPr="003B11FA" w:rsidRDefault="00AF3B54" w:rsidP="00AF3B54">
            <w:pPr>
              <w:pStyle w:val="Tabletext"/>
              <w:rPr>
                <w:b/>
              </w:rPr>
            </w:pPr>
            <w:r w:rsidRPr="00DF05C6">
              <w:rPr>
                <w:b/>
              </w:rPr>
              <w:t>Alteration/refurbishment costs</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6F436F" w14:textId="77777777" w:rsidR="00AF3B54" w:rsidRDefault="00AF3B54" w:rsidP="00AF3B54">
            <w:pPr>
              <w:pStyle w:val="Tabletext"/>
            </w:pPr>
            <w:r w:rsidRPr="00480544">
              <w:t>These can include:</w:t>
            </w:r>
          </w:p>
          <w:p w14:paraId="3D7ADFAD" w14:textId="77777777" w:rsidR="00AF3B54" w:rsidRDefault="00AF3B54" w:rsidP="00AF3B54">
            <w:pPr>
              <w:pStyle w:val="Tabletext"/>
              <w:numPr>
                <w:ilvl w:val="0"/>
                <w:numId w:val="20"/>
              </w:numPr>
            </w:pPr>
            <w:r>
              <w:t>upgrade costs including retrofits</w:t>
            </w:r>
          </w:p>
          <w:p w14:paraId="2DE3CE7C" w14:textId="77777777" w:rsidR="00AF3B54" w:rsidRDefault="00AF3B54" w:rsidP="00AF3B54">
            <w:pPr>
              <w:pStyle w:val="Tabletext"/>
              <w:numPr>
                <w:ilvl w:val="0"/>
                <w:numId w:val="20"/>
              </w:numPr>
            </w:pPr>
            <w:r>
              <w:t>alteration resulting from future change</w:t>
            </w:r>
          </w:p>
          <w:p w14:paraId="17752E56" w14:textId="77777777" w:rsidR="00AF3B54" w:rsidRDefault="00AF3B54" w:rsidP="00AF3B54">
            <w:pPr>
              <w:pStyle w:val="Tabletext"/>
              <w:numPr>
                <w:ilvl w:val="0"/>
                <w:numId w:val="20"/>
              </w:numPr>
            </w:pPr>
            <w:r>
              <w:t>modification to a standard or to purpose-built</w:t>
            </w:r>
          </w:p>
          <w:p w14:paraId="057F5111" w14:textId="77777777" w:rsidR="00AF3B54" w:rsidRPr="0051562C" w:rsidRDefault="00AF3B54" w:rsidP="00AF3B54">
            <w:pPr>
              <w:pStyle w:val="Tabletext"/>
              <w:numPr>
                <w:ilvl w:val="0"/>
                <w:numId w:val="20"/>
              </w:numPr>
            </w:pPr>
            <w:r>
              <w:t>those replacement costs that cannot economically be justified over an expected life span, including retraining costs.</w:t>
            </w:r>
          </w:p>
        </w:tc>
      </w:tr>
      <w:tr w:rsidR="00AF3B54" w14:paraId="36B205AF"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BFBFBF" w:themeFill="background1" w:themeFillShade="BF"/>
          </w:tcPr>
          <w:p w14:paraId="73A79F00" w14:textId="77777777" w:rsidR="00AF3B54" w:rsidRPr="003B11FA" w:rsidRDefault="00AF3B54" w:rsidP="00AF3B54">
            <w:pPr>
              <w:pStyle w:val="Tabletext"/>
              <w:rPr>
                <w:b/>
              </w:rPr>
            </w:pPr>
            <w:r w:rsidRPr="00DF05C6">
              <w:rPr>
                <w:b/>
              </w:rPr>
              <w:t>Support costs</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8BA6F6" w14:textId="77777777" w:rsidR="00AF3B54" w:rsidRDefault="00AF3B54" w:rsidP="00AF3B54">
            <w:pPr>
              <w:pStyle w:val="Tabletext"/>
            </w:pPr>
            <w:r>
              <w:t>These can include:</w:t>
            </w:r>
          </w:p>
          <w:p w14:paraId="0890D2B5" w14:textId="77777777" w:rsidR="00AF3B54" w:rsidRDefault="00AF3B54" w:rsidP="00AF3B54">
            <w:pPr>
              <w:pStyle w:val="Tabletext"/>
              <w:numPr>
                <w:ilvl w:val="0"/>
                <w:numId w:val="21"/>
              </w:numPr>
            </w:pPr>
            <w:r>
              <w:t>management fees and charges</w:t>
            </w:r>
          </w:p>
          <w:p w14:paraId="36F02B18" w14:textId="77777777" w:rsidR="00AF3B54" w:rsidRPr="0051562C" w:rsidRDefault="00AF3B54" w:rsidP="00AF3B54">
            <w:pPr>
              <w:pStyle w:val="Tabletext"/>
              <w:numPr>
                <w:ilvl w:val="0"/>
                <w:numId w:val="21"/>
              </w:numPr>
            </w:pPr>
            <w:r>
              <w:t>safety compliance costs.</w:t>
            </w:r>
          </w:p>
        </w:tc>
      </w:tr>
      <w:tr w:rsidR="00AF3B54" w14:paraId="4F822FDC" w14:textId="77777777" w:rsidTr="00C33BDC">
        <w:tc>
          <w:tcPr>
            <w:tcW w:w="325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l2br w:val="nil"/>
              <w:tr2bl w:val="nil"/>
            </w:tcBorders>
            <w:shd w:val="clear" w:color="auto" w:fill="BFBFBF" w:themeFill="background1" w:themeFillShade="BF"/>
          </w:tcPr>
          <w:p w14:paraId="6690D128" w14:textId="77777777" w:rsidR="00AF3B54" w:rsidRPr="00AE75BB" w:rsidRDefault="00AF3B54" w:rsidP="00AF3B54">
            <w:pPr>
              <w:pStyle w:val="Tabletext"/>
              <w:rPr>
                <w:b/>
              </w:rPr>
            </w:pPr>
            <w:r w:rsidRPr="00DF05C6">
              <w:rPr>
                <w:b/>
              </w:rPr>
              <w:t>Disposal costs</w:t>
            </w:r>
          </w:p>
        </w:tc>
        <w:tc>
          <w:tcPr>
            <w:tcW w:w="6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l2br w:val="nil"/>
              <w:tr2bl w:val="nil"/>
            </w:tcBorders>
            <w:shd w:val="clear" w:color="auto" w:fill="F2F2F2" w:themeFill="background1" w:themeFillShade="F2"/>
          </w:tcPr>
          <w:p w14:paraId="5CB4C96A" w14:textId="77777777" w:rsidR="00AF3B54" w:rsidRDefault="00AF3B54" w:rsidP="00AF3B54">
            <w:pPr>
              <w:pStyle w:val="Tabletext"/>
            </w:pPr>
            <w:r>
              <w:t>These can include:</w:t>
            </w:r>
          </w:p>
          <w:p w14:paraId="1E9FD834" w14:textId="77777777" w:rsidR="00AF3B54" w:rsidRDefault="00AF3B54" w:rsidP="00AF3B54">
            <w:pPr>
              <w:pStyle w:val="Tabletext"/>
              <w:numPr>
                <w:ilvl w:val="0"/>
                <w:numId w:val="22"/>
              </w:numPr>
            </w:pPr>
            <w:r>
              <w:t>residual/salvage cost</w:t>
            </w:r>
          </w:p>
          <w:p w14:paraId="7535FD8E" w14:textId="77777777" w:rsidR="00AF3B54" w:rsidRDefault="00AF3B54" w:rsidP="00AF3B54">
            <w:pPr>
              <w:pStyle w:val="Tabletext"/>
              <w:numPr>
                <w:ilvl w:val="0"/>
                <w:numId w:val="22"/>
              </w:numPr>
            </w:pPr>
            <w:r>
              <w:t>asset ‘residual valuation’ costs/impacts of depreciation</w:t>
            </w:r>
          </w:p>
          <w:p w14:paraId="334D3968" w14:textId="77777777" w:rsidR="00AF3B54" w:rsidRDefault="00AF3B54" w:rsidP="00AF3B54">
            <w:pPr>
              <w:pStyle w:val="Tabletext"/>
              <w:numPr>
                <w:ilvl w:val="0"/>
                <w:numId w:val="22"/>
              </w:numPr>
            </w:pPr>
            <w:r>
              <w:t>disposal method costs, e.g. auctioneers’/agents’ fees</w:t>
            </w:r>
          </w:p>
          <w:p w14:paraId="34A01855" w14:textId="77777777" w:rsidR="00AF3B54" w:rsidRDefault="00AF3B54" w:rsidP="00AF3B54">
            <w:pPr>
              <w:pStyle w:val="Tabletext"/>
              <w:numPr>
                <w:ilvl w:val="0"/>
                <w:numId w:val="22"/>
              </w:numPr>
            </w:pPr>
            <w:r>
              <w:t>associated transport and freight</w:t>
            </w:r>
          </w:p>
          <w:p w14:paraId="7CD24EA4" w14:textId="77777777" w:rsidR="00AF3B54" w:rsidRDefault="00AF3B54" w:rsidP="00AF3B54">
            <w:pPr>
              <w:pStyle w:val="Tabletext"/>
              <w:numPr>
                <w:ilvl w:val="0"/>
                <w:numId w:val="22"/>
              </w:numPr>
            </w:pPr>
            <w:r>
              <w:t>decommissioning</w:t>
            </w:r>
          </w:p>
          <w:p w14:paraId="2B1FDAA6" w14:textId="77777777" w:rsidR="00AF3B54" w:rsidRDefault="00AF3B54" w:rsidP="00AF3B54">
            <w:pPr>
              <w:pStyle w:val="Tabletext"/>
              <w:numPr>
                <w:ilvl w:val="0"/>
                <w:numId w:val="22"/>
              </w:numPr>
            </w:pPr>
            <w:r>
              <w:t>management and administration</w:t>
            </w:r>
          </w:p>
          <w:p w14:paraId="0013C988" w14:textId="77777777" w:rsidR="00AF3B54" w:rsidRDefault="00AF3B54" w:rsidP="00AF3B54">
            <w:pPr>
              <w:pStyle w:val="Tabletext"/>
              <w:numPr>
                <w:ilvl w:val="0"/>
                <w:numId w:val="22"/>
              </w:numPr>
            </w:pPr>
            <w:r>
              <w:t>labour costs associated with disposal</w:t>
            </w:r>
          </w:p>
          <w:p w14:paraId="122714DD" w14:textId="77777777" w:rsidR="00AF3B54" w:rsidRDefault="00AF3B54" w:rsidP="00AF3B54">
            <w:pPr>
              <w:pStyle w:val="Tabletext"/>
              <w:numPr>
                <w:ilvl w:val="0"/>
                <w:numId w:val="22"/>
              </w:numPr>
            </w:pPr>
            <w:r>
              <w:t>any demolition/destruction costs</w:t>
            </w:r>
          </w:p>
          <w:p w14:paraId="00582D72" w14:textId="77777777" w:rsidR="00AF3B54" w:rsidRDefault="00AF3B54" w:rsidP="00AF3B54">
            <w:pPr>
              <w:pStyle w:val="Tabletext"/>
              <w:numPr>
                <w:ilvl w:val="0"/>
                <w:numId w:val="22"/>
              </w:numPr>
            </w:pPr>
            <w:r>
              <w:t>environmental re-establishment</w:t>
            </w:r>
          </w:p>
          <w:p w14:paraId="51D4104D" w14:textId="77777777" w:rsidR="00AF3B54" w:rsidRPr="001E4498" w:rsidRDefault="00AF3B54" w:rsidP="00AF3B54">
            <w:pPr>
              <w:pStyle w:val="Tabletext"/>
              <w:numPr>
                <w:ilvl w:val="0"/>
                <w:numId w:val="22"/>
              </w:numPr>
            </w:pPr>
            <w:r>
              <w:t>site or environmental remediation.</w:t>
            </w:r>
          </w:p>
        </w:tc>
      </w:tr>
      <w:bookmarkEnd w:id="142"/>
    </w:tbl>
    <w:p w14:paraId="5072F16C" w14:textId="77777777" w:rsidR="00AF3B54" w:rsidRDefault="00AF3B54" w:rsidP="00AF3B54">
      <w:pPr>
        <w:spacing w:after="0" w:line="240" w:lineRule="auto"/>
        <w:rPr>
          <w:lang w:eastAsia="en-AU"/>
        </w:rPr>
      </w:pPr>
    </w:p>
    <w:p w14:paraId="64A4A8A7" w14:textId="77777777" w:rsidR="00AF3B54" w:rsidRDefault="00AF3B54" w:rsidP="00AF3B54">
      <w:pPr>
        <w:spacing w:after="0" w:line="240" w:lineRule="auto"/>
      </w:pPr>
      <w:r>
        <w:br w:type="page"/>
      </w:r>
    </w:p>
    <w:p w14:paraId="1BE70881" w14:textId="77777777" w:rsidR="00AF3B54" w:rsidRDefault="00AF3B54" w:rsidP="00AF3B54">
      <w:pPr>
        <w:pStyle w:val="Heading1"/>
      </w:pPr>
      <w:bookmarkStart w:id="143" w:name="_Toc514843912"/>
      <w:bookmarkStart w:id="144" w:name="_Toc80363233"/>
      <w:r>
        <w:lastRenderedPageBreak/>
        <w:t xml:space="preserve">Appendix 3 – </w:t>
      </w:r>
      <w:bookmarkStart w:id="145" w:name="_Toc514843913"/>
      <w:bookmarkEnd w:id="143"/>
      <w:r>
        <w:t>Total Cost of Ownership</w:t>
      </w:r>
      <w:bookmarkEnd w:id="145"/>
      <w:bookmarkEnd w:id="144"/>
    </w:p>
    <w:p w14:paraId="093DFDAE" w14:textId="77777777" w:rsidR="00AF3B54" w:rsidRPr="00C33BDC" w:rsidRDefault="00AF3B54" w:rsidP="00AF3B54">
      <w:pPr>
        <w:rPr>
          <w:sz w:val="22"/>
          <w:lang w:eastAsia="en-AU"/>
        </w:rPr>
      </w:pPr>
      <w:r w:rsidRPr="00C33BDC">
        <w:rPr>
          <w:sz w:val="22"/>
          <w:lang w:eastAsia="en-AU"/>
        </w:rPr>
        <w:t>Total cost of ownership (TCO) is also commonly referred to as the life cycle cost analysis. It considers not just the purchase price, but the ongoing costs of operating or maintaining a product or service for the duration of use.</w:t>
      </w:r>
    </w:p>
    <w:p w14:paraId="2A39B442" w14:textId="77777777" w:rsidR="00AF3B54" w:rsidRPr="00C33BDC" w:rsidRDefault="00AF3B54" w:rsidP="00AF3B54">
      <w:pPr>
        <w:rPr>
          <w:sz w:val="22"/>
          <w:lang w:eastAsia="en-AU"/>
        </w:rPr>
      </w:pPr>
      <w:r w:rsidRPr="00C33BDC">
        <w:rPr>
          <w:sz w:val="22"/>
          <w:lang w:eastAsia="en-AU"/>
        </w:rPr>
        <w:t xml:space="preserve">When considering value for money, it is important to consider the total cost of ownership to appreciate not just present costs but targeted and projected costs in the future. </w:t>
      </w:r>
    </w:p>
    <w:p w14:paraId="02C51CB9" w14:textId="77777777" w:rsidR="00AF3B54" w:rsidRPr="00C33BDC" w:rsidRDefault="00AF3B54" w:rsidP="00AF3B54">
      <w:pPr>
        <w:rPr>
          <w:sz w:val="22"/>
          <w:lang w:eastAsia="en-AU"/>
        </w:rPr>
      </w:pPr>
      <w:r w:rsidRPr="00C33BDC">
        <w:rPr>
          <w:sz w:val="22"/>
          <w:lang w:eastAsia="en-AU"/>
        </w:rPr>
        <w:t>A practical everyday example would be the purchase of a car – you will need to factor in not just the drive-away price, but servicing the vehicle, registration and insurance costs, and allow for ‘once-off’ costs such as repairs.</w:t>
      </w:r>
    </w:p>
    <w:p w14:paraId="5EEBA964" w14:textId="77777777" w:rsidR="00AF3B54" w:rsidRDefault="00AF3B54" w:rsidP="00AF3B54">
      <w:pPr>
        <w:pStyle w:val="Heading2"/>
      </w:pPr>
      <w:bookmarkStart w:id="146" w:name="_Toc514843914"/>
      <w:bookmarkStart w:id="147" w:name="_Toc80363234"/>
      <w:r>
        <w:t>Direct and indirect expenses</w:t>
      </w:r>
      <w:bookmarkEnd w:id="146"/>
      <w:bookmarkEnd w:id="147"/>
    </w:p>
    <w:p w14:paraId="11CE4669" w14:textId="77777777" w:rsidR="00AF3B54" w:rsidRPr="00C33BDC" w:rsidRDefault="00AF3B54" w:rsidP="00AF3B54">
      <w:pPr>
        <w:rPr>
          <w:sz w:val="22"/>
          <w:lang w:eastAsia="en-AU"/>
        </w:rPr>
      </w:pPr>
      <w:r w:rsidRPr="00C33BDC">
        <w:rPr>
          <w:sz w:val="22"/>
          <w:lang w:eastAsia="en-AU"/>
        </w:rPr>
        <w:t xml:space="preserve">A practical way to approach total cost of ownership is to look at both direct, and indirect expenses. Direct expenses are easily tracked and reportable, such as the purchase price of the product and regular servicing; while indirect expenses include potential/unexpected costs and things that can have an unintended flow-on effect. </w:t>
      </w:r>
    </w:p>
    <w:p w14:paraId="316FF5E6" w14:textId="77777777" w:rsidR="00AF3B54" w:rsidRPr="00C33BDC" w:rsidRDefault="00AF3B54" w:rsidP="00AF3B54">
      <w:pPr>
        <w:rPr>
          <w:sz w:val="22"/>
          <w:lang w:eastAsia="en-AU"/>
        </w:rPr>
      </w:pPr>
      <w:r w:rsidRPr="00C33BDC">
        <w:rPr>
          <w:sz w:val="22"/>
          <w:lang w:eastAsia="en-AU"/>
        </w:rPr>
        <w:t xml:space="preserve">An example might be the purchase of a new operating system for a company. The company would expect to pay costs around installing the product, training staff in using it, and ‘troubleshooting’ issues for the first few months. An unintended and unexpected costs might be compatibility issues with the new software or significant increases </w:t>
      </w:r>
      <w:r w:rsidRPr="00C33BDC">
        <w:rPr>
          <w:sz w:val="22"/>
        </w:rPr>
        <w:t>in required service desk assistance</w:t>
      </w:r>
      <w:r w:rsidRPr="00C33BDC">
        <w:rPr>
          <w:sz w:val="22"/>
          <w:lang w:eastAsia="en-AU"/>
        </w:rPr>
        <w:t xml:space="preserve">.  </w:t>
      </w:r>
    </w:p>
    <w:p w14:paraId="2F394489" w14:textId="77777777" w:rsidR="00AF3B54" w:rsidRPr="00C33BDC" w:rsidRDefault="00AF3B54" w:rsidP="00AF3B54">
      <w:pPr>
        <w:rPr>
          <w:sz w:val="22"/>
          <w:lang w:eastAsia="en-AU"/>
        </w:rPr>
      </w:pPr>
      <w:r w:rsidRPr="00C33BDC">
        <w:rPr>
          <w:sz w:val="22"/>
          <w:lang w:eastAsia="en-AU"/>
        </w:rPr>
        <w:t>The table below provides a simple example of how you might look at the lifecycle of the asset and projected costs.</w:t>
      </w:r>
    </w:p>
    <w:p w14:paraId="4306F64A" w14:textId="77777777" w:rsidR="00AF3B54" w:rsidRDefault="00AF3B54" w:rsidP="00AF3B54">
      <w:pPr>
        <w:rPr>
          <w:lang w:eastAsia="en-AU"/>
        </w:rPr>
      </w:pPr>
    </w:p>
    <w:tbl>
      <w:tblPr>
        <w:tblStyle w:val="TableGrid"/>
        <w:tblW w:w="0" w:type="auto"/>
        <w:tblLook w:val="04A0" w:firstRow="1" w:lastRow="0" w:firstColumn="1" w:lastColumn="0" w:noHBand="0" w:noVBand="1"/>
      </w:tblPr>
      <w:tblGrid>
        <w:gridCol w:w="2812"/>
        <w:gridCol w:w="2217"/>
        <w:gridCol w:w="2229"/>
        <w:gridCol w:w="2229"/>
      </w:tblGrid>
      <w:tr w:rsidR="00AF3B54" w14:paraId="221EB194" w14:textId="77777777" w:rsidTr="00AF3B54">
        <w:tc>
          <w:tcPr>
            <w:tcW w:w="2830" w:type="dxa"/>
            <w:shd w:val="clear" w:color="auto" w:fill="808080" w:themeFill="background1" w:themeFillShade="80"/>
          </w:tcPr>
          <w:p w14:paraId="7D234966" w14:textId="77777777" w:rsidR="00AF3B54" w:rsidRPr="00F27953" w:rsidRDefault="00AF3B54" w:rsidP="00AF3B54">
            <w:pPr>
              <w:rPr>
                <w:lang w:eastAsia="en-AU"/>
              </w:rPr>
            </w:pPr>
          </w:p>
        </w:tc>
        <w:tc>
          <w:tcPr>
            <w:tcW w:w="2266" w:type="dxa"/>
            <w:shd w:val="clear" w:color="auto" w:fill="808080" w:themeFill="background1" w:themeFillShade="80"/>
            <w:vAlign w:val="center"/>
          </w:tcPr>
          <w:p w14:paraId="4DC3CA0F" w14:textId="77777777" w:rsidR="00AF3B54" w:rsidRPr="004530F5" w:rsidRDefault="00AF3B54" w:rsidP="00AF3B54">
            <w:pPr>
              <w:jc w:val="center"/>
              <w:rPr>
                <w:b/>
                <w:color w:val="FFFFFF" w:themeColor="background1"/>
                <w:lang w:eastAsia="en-AU"/>
              </w:rPr>
            </w:pPr>
            <w:r w:rsidRPr="004530F5">
              <w:rPr>
                <w:b/>
                <w:color w:val="FFFFFF" w:themeColor="background1"/>
                <w:lang w:eastAsia="en-AU"/>
              </w:rPr>
              <w:t>Initial</w:t>
            </w:r>
          </w:p>
        </w:tc>
        <w:tc>
          <w:tcPr>
            <w:tcW w:w="2266" w:type="dxa"/>
            <w:shd w:val="clear" w:color="auto" w:fill="808080" w:themeFill="background1" w:themeFillShade="80"/>
            <w:vAlign w:val="center"/>
          </w:tcPr>
          <w:p w14:paraId="6B2B92F7" w14:textId="77777777" w:rsidR="00AF3B54" w:rsidRPr="004530F5" w:rsidRDefault="00AF3B54" w:rsidP="00AF3B54">
            <w:pPr>
              <w:jc w:val="center"/>
              <w:rPr>
                <w:b/>
                <w:color w:val="FFFFFF" w:themeColor="background1"/>
                <w:lang w:eastAsia="en-AU"/>
              </w:rPr>
            </w:pPr>
            <w:r w:rsidRPr="004530F5">
              <w:rPr>
                <w:b/>
                <w:color w:val="FFFFFF" w:themeColor="background1"/>
                <w:lang w:eastAsia="en-AU"/>
              </w:rPr>
              <w:t>Projected First Year</w:t>
            </w:r>
          </w:p>
        </w:tc>
        <w:tc>
          <w:tcPr>
            <w:tcW w:w="2266" w:type="dxa"/>
            <w:shd w:val="clear" w:color="auto" w:fill="808080" w:themeFill="background1" w:themeFillShade="80"/>
            <w:vAlign w:val="center"/>
          </w:tcPr>
          <w:p w14:paraId="01B1EEB1" w14:textId="77777777" w:rsidR="00AF3B54" w:rsidRPr="004530F5" w:rsidRDefault="00AF3B54" w:rsidP="00AF3B54">
            <w:pPr>
              <w:jc w:val="center"/>
              <w:rPr>
                <w:b/>
                <w:color w:val="FFFFFF" w:themeColor="background1"/>
                <w:lang w:eastAsia="en-AU"/>
              </w:rPr>
            </w:pPr>
            <w:r w:rsidRPr="004530F5">
              <w:rPr>
                <w:b/>
                <w:color w:val="FFFFFF" w:themeColor="background1"/>
                <w:lang w:eastAsia="en-AU"/>
              </w:rPr>
              <w:t>Projected Second Year</w:t>
            </w:r>
          </w:p>
        </w:tc>
      </w:tr>
      <w:tr w:rsidR="00AF3B54" w14:paraId="3B37483E" w14:textId="77777777" w:rsidTr="00AF3B54">
        <w:tc>
          <w:tcPr>
            <w:tcW w:w="2830" w:type="dxa"/>
            <w:shd w:val="clear" w:color="auto" w:fill="D9D9D9" w:themeFill="background1" w:themeFillShade="D9"/>
          </w:tcPr>
          <w:p w14:paraId="0E8F33DE" w14:textId="77777777" w:rsidR="00AF3B54" w:rsidRPr="00F27953" w:rsidRDefault="00AF3B54" w:rsidP="00C33BDC">
            <w:pPr>
              <w:spacing w:line="480" w:lineRule="auto"/>
              <w:rPr>
                <w:b/>
                <w:lang w:eastAsia="en-AU"/>
              </w:rPr>
            </w:pPr>
            <w:r w:rsidRPr="00F27953">
              <w:rPr>
                <w:b/>
                <w:lang w:eastAsia="en-AU"/>
              </w:rPr>
              <w:t>Product / service cost</w:t>
            </w:r>
          </w:p>
        </w:tc>
        <w:tc>
          <w:tcPr>
            <w:tcW w:w="2266" w:type="dxa"/>
          </w:tcPr>
          <w:p w14:paraId="26C57F80" w14:textId="77777777" w:rsidR="00AF3B54" w:rsidRPr="00F27953" w:rsidRDefault="00AF3B54" w:rsidP="00C33BDC">
            <w:pPr>
              <w:spacing w:line="480" w:lineRule="auto"/>
              <w:rPr>
                <w:lang w:eastAsia="en-AU"/>
              </w:rPr>
            </w:pPr>
          </w:p>
        </w:tc>
        <w:tc>
          <w:tcPr>
            <w:tcW w:w="2266" w:type="dxa"/>
          </w:tcPr>
          <w:p w14:paraId="01B91FA8" w14:textId="77777777" w:rsidR="00AF3B54" w:rsidRPr="00F27953" w:rsidRDefault="00AF3B54" w:rsidP="00AF3B54">
            <w:pPr>
              <w:rPr>
                <w:lang w:eastAsia="en-AU"/>
              </w:rPr>
            </w:pPr>
          </w:p>
        </w:tc>
        <w:tc>
          <w:tcPr>
            <w:tcW w:w="2266" w:type="dxa"/>
          </w:tcPr>
          <w:p w14:paraId="36000E74" w14:textId="77777777" w:rsidR="00AF3B54" w:rsidRPr="00F27953" w:rsidRDefault="00AF3B54" w:rsidP="00AF3B54">
            <w:pPr>
              <w:rPr>
                <w:lang w:eastAsia="en-AU"/>
              </w:rPr>
            </w:pPr>
          </w:p>
        </w:tc>
      </w:tr>
      <w:tr w:rsidR="00AF3B54" w14:paraId="72557AD1" w14:textId="77777777" w:rsidTr="00AF3B54">
        <w:tc>
          <w:tcPr>
            <w:tcW w:w="2830" w:type="dxa"/>
            <w:shd w:val="clear" w:color="auto" w:fill="D9D9D9" w:themeFill="background1" w:themeFillShade="D9"/>
          </w:tcPr>
          <w:p w14:paraId="52DB43AC" w14:textId="77777777" w:rsidR="00AF3B54" w:rsidRPr="00F27953" w:rsidRDefault="00AF3B54" w:rsidP="00C33BDC">
            <w:pPr>
              <w:spacing w:line="480" w:lineRule="auto"/>
              <w:rPr>
                <w:b/>
                <w:lang w:eastAsia="en-AU"/>
              </w:rPr>
            </w:pPr>
            <w:r w:rsidRPr="00F27953">
              <w:rPr>
                <w:b/>
                <w:lang w:eastAsia="en-AU"/>
              </w:rPr>
              <w:t>Implementation cost</w:t>
            </w:r>
          </w:p>
        </w:tc>
        <w:tc>
          <w:tcPr>
            <w:tcW w:w="2266" w:type="dxa"/>
          </w:tcPr>
          <w:p w14:paraId="40BFEC76" w14:textId="77777777" w:rsidR="00AF3B54" w:rsidRPr="00F27953" w:rsidRDefault="00AF3B54" w:rsidP="00C33BDC">
            <w:pPr>
              <w:spacing w:line="480" w:lineRule="auto"/>
              <w:rPr>
                <w:lang w:eastAsia="en-AU"/>
              </w:rPr>
            </w:pPr>
          </w:p>
        </w:tc>
        <w:tc>
          <w:tcPr>
            <w:tcW w:w="2266" w:type="dxa"/>
          </w:tcPr>
          <w:p w14:paraId="1DDF2F94" w14:textId="77777777" w:rsidR="00AF3B54" w:rsidRPr="00F27953" w:rsidRDefault="00AF3B54" w:rsidP="00AF3B54">
            <w:pPr>
              <w:rPr>
                <w:lang w:eastAsia="en-AU"/>
              </w:rPr>
            </w:pPr>
          </w:p>
        </w:tc>
        <w:tc>
          <w:tcPr>
            <w:tcW w:w="2266" w:type="dxa"/>
          </w:tcPr>
          <w:p w14:paraId="163109E6" w14:textId="77777777" w:rsidR="00AF3B54" w:rsidRPr="00F27953" w:rsidRDefault="00AF3B54" w:rsidP="00AF3B54">
            <w:pPr>
              <w:rPr>
                <w:lang w:eastAsia="en-AU"/>
              </w:rPr>
            </w:pPr>
          </w:p>
        </w:tc>
      </w:tr>
      <w:tr w:rsidR="00AF3B54" w14:paraId="624E8F15" w14:textId="77777777" w:rsidTr="00AF3B54">
        <w:tc>
          <w:tcPr>
            <w:tcW w:w="2830" w:type="dxa"/>
            <w:shd w:val="clear" w:color="auto" w:fill="D9D9D9" w:themeFill="background1" w:themeFillShade="D9"/>
          </w:tcPr>
          <w:p w14:paraId="5455A1F4" w14:textId="77777777" w:rsidR="00AF3B54" w:rsidRPr="00F27953" w:rsidRDefault="00AF3B54" w:rsidP="00C33BDC">
            <w:pPr>
              <w:spacing w:line="480" w:lineRule="auto"/>
              <w:rPr>
                <w:b/>
                <w:lang w:eastAsia="en-AU"/>
              </w:rPr>
            </w:pPr>
            <w:r w:rsidRPr="00F27953">
              <w:rPr>
                <w:b/>
                <w:lang w:eastAsia="en-AU"/>
              </w:rPr>
              <w:t>Staff training cost</w:t>
            </w:r>
          </w:p>
        </w:tc>
        <w:tc>
          <w:tcPr>
            <w:tcW w:w="2266" w:type="dxa"/>
          </w:tcPr>
          <w:p w14:paraId="7432FB8F" w14:textId="77777777" w:rsidR="00AF3B54" w:rsidRPr="00F27953" w:rsidRDefault="00AF3B54" w:rsidP="00C33BDC">
            <w:pPr>
              <w:spacing w:line="480" w:lineRule="auto"/>
              <w:rPr>
                <w:lang w:eastAsia="en-AU"/>
              </w:rPr>
            </w:pPr>
          </w:p>
        </w:tc>
        <w:tc>
          <w:tcPr>
            <w:tcW w:w="2266" w:type="dxa"/>
          </w:tcPr>
          <w:p w14:paraId="62E988B2" w14:textId="77777777" w:rsidR="00AF3B54" w:rsidRPr="00F27953" w:rsidRDefault="00AF3B54" w:rsidP="00AF3B54">
            <w:pPr>
              <w:rPr>
                <w:lang w:eastAsia="en-AU"/>
              </w:rPr>
            </w:pPr>
          </w:p>
        </w:tc>
        <w:tc>
          <w:tcPr>
            <w:tcW w:w="2266" w:type="dxa"/>
          </w:tcPr>
          <w:p w14:paraId="342DF64C" w14:textId="77777777" w:rsidR="00AF3B54" w:rsidRPr="00F27953" w:rsidRDefault="00AF3B54" w:rsidP="00AF3B54">
            <w:pPr>
              <w:rPr>
                <w:lang w:eastAsia="en-AU"/>
              </w:rPr>
            </w:pPr>
          </w:p>
        </w:tc>
      </w:tr>
      <w:tr w:rsidR="00AF3B54" w14:paraId="4B8B32E8" w14:textId="77777777" w:rsidTr="00AF3B54">
        <w:tc>
          <w:tcPr>
            <w:tcW w:w="2830" w:type="dxa"/>
            <w:shd w:val="clear" w:color="auto" w:fill="D9D9D9" w:themeFill="background1" w:themeFillShade="D9"/>
          </w:tcPr>
          <w:p w14:paraId="7AD411C9" w14:textId="77777777" w:rsidR="00AF3B54" w:rsidRPr="00F27953" w:rsidRDefault="00AF3B54" w:rsidP="00C33BDC">
            <w:pPr>
              <w:spacing w:line="480" w:lineRule="auto"/>
              <w:rPr>
                <w:b/>
                <w:lang w:eastAsia="en-AU"/>
              </w:rPr>
            </w:pPr>
            <w:r w:rsidRPr="00F27953">
              <w:rPr>
                <w:b/>
                <w:lang w:eastAsia="en-AU"/>
              </w:rPr>
              <w:t>Maintenance/upgrade cost</w:t>
            </w:r>
          </w:p>
        </w:tc>
        <w:tc>
          <w:tcPr>
            <w:tcW w:w="2266" w:type="dxa"/>
          </w:tcPr>
          <w:p w14:paraId="34BB4135" w14:textId="77777777" w:rsidR="00AF3B54" w:rsidRPr="00F27953" w:rsidRDefault="00AF3B54" w:rsidP="00C33BDC">
            <w:pPr>
              <w:spacing w:line="480" w:lineRule="auto"/>
              <w:rPr>
                <w:lang w:eastAsia="en-AU"/>
              </w:rPr>
            </w:pPr>
          </w:p>
        </w:tc>
        <w:tc>
          <w:tcPr>
            <w:tcW w:w="2266" w:type="dxa"/>
          </w:tcPr>
          <w:p w14:paraId="0EC16B65" w14:textId="77777777" w:rsidR="00AF3B54" w:rsidRPr="00F27953" w:rsidRDefault="00AF3B54" w:rsidP="00AF3B54">
            <w:pPr>
              <w:rPr>
                <w:lang w:eastAsia="en-AU"/>
              </w:rPr>
            </w:pPr>
          </w:p>
        </w:tc>
        <w:tc>
          <w:tcPr>
            <w:tcW w:w="2266" w:type="dxa"/>
          </w:tcPr>
          <w:p w14:paraId="2D41ACB4" w14:textId="77777777" w:rsidR="00AF3B54" w:rsidRPr="00F27953" w:rsidRDefault="00AF3B54" w:rsidP="00AF3B54">
            <w:pPr>
              <w:rPr>
                <w:lang w:eastAsia="en-AU"/>
              </w:rPr>
            </w:pPr>
          </w:p>
        </w:tc>
      </w:tr>
      <w:tr w:rsidR="00AF3B54" w14:paraId="09A497BC" w14:textId="77777777" w:rsidTr="00AF3B54">
        <w:tc>
          <w:tcPr>
            <w:tcW w:w="2830" w:type="dxa"/>
            <w:shd w:val="clear" w:color="auto" w:fill="D9D9D9" w:themeFill="background1" w:themeFillShade="D9"/>
          </w:tcPr>
          <w:p w14:paraId="362CCCFE" w14:textId="77777777" w:rsidR="00AF3B54" w:rsidRPr="00F27953" w:rsidRDefault="00AF3B54" w:rsidP="00C33BDC">
            <w:pPr>
              <w:spacing w:line="480" w:lineRule="auto"/>
              <w:rPr>
                <w:b/>
                <w:lang w:eastAsia="en-AU"/>
              </w:rPr>
            </w:pPr>
            <w:r w:rsidRPr="00F27953">
              <w:rPr>
                <w:b/>
                <w:lang w:eastAsia="en-AU"/>
              </w:rPr>
              <w:t>Once-off costs</w:t>
            </w:r>
          </w:p>
        </w:tc>
        <w:tc>
          <w:tcPr>
            <w:tcW w:w="2266" w:type="dxa"/>
          </w:tcPr>
          <w:p w14:paraId="6FC0F686" w14:textId="77777777" w:rsidR="00AF3B54" w:rsidRPr="00BC024D" w:rsidRDefault="00AF3B54" w:rsidP="00C33BDC">
            <w:pPr>
              <w:spacing w:line="480" w:lineRule="auto"/>
              <w:rPr>
                <w:lang w:eastAsia="en-AU"/>
              </w:rPr>
            </w:pPr>
          </w:p>
        </w:tc>
        <w:tc>
          <w:tcPr>
            <w:tcW w:w="2266" w:type="dxa"/>
          </w:tcPr>
          <w:p w14:paraId="58BE731B" w14:textId="77777777" w:rsidR="00AF3B54" w:rsidRPr="00BC024D" w:rsidRDefault="00AF3B54" w:rsidP="00AF3B54">
            <w:pPr>
              <w:rPr>
                <w:lang w:eastAsia="en-AU"/>
              </w:rPr>
            </w:pPr>
          </w:p>
        </w:tc>
        <w:tc>
          <w:tcPr>
            <w:tcW w:w="2266" w:type="dxa"/>
          </w:tcPr>
          <w:p w14:paraId="1D52B98A" w14:textId="77777777" w:rsidR="00AF3B54" w:rsidRPr="00BC024D" w:rsidRDefault="00AF3B54" w:rsidP="00AF3B54">
            <w:pPr>
              <w:rPr>
                <w:lang w:eastAsia="en-AU"/>
              </w:rPr>
            </w:pPr>
          </w:p>
        </w:tc>
      </w:tr>
    </w:tbl>
    <w:p w14:paraId="0A5DCE68" w14:textId="77777777" w:rsidR="00AF3B54" w:rsidRPr="00F27953" w:rsidRDefault="00AF3B54" w:rsidP="00AF3B54">
      <w:pPr>
        <w:rPr>
          <w:lang w:eastAsia="en-AU"/>
        </w:rPr>
      </w:pPr>
    </w:p>
    <w:p w14:paraId="6BB12F7B" w14:textId="77777777" w:rsidR="00AF3B54" w:rsidRPr="002A5361" w:rsidRDefault="00AF3B54" w:rsidP="00AF3B54"/>
    <w:sectPr w:rsidR="00AF3B54" w:rsidRPr="002A5361" w:rsidSect="00E22C0C">
      <w:headerReference w:type="default" r:id="rId32"/>
      <w:footerReference w:type="default" r:id="rId33"/>
      <w:footerReference w:type="first" r:id="rId34"/>
      <w:pgSz w:w="11906" w:h="16838"/>
      <w:pgMar w:top="993" w:right="1133" w:bottom="851"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62E" w14:textId="77777777" w:rsidR="00DE731B" w:rsidRDefault="00DE731B" w:rsidP="00F752DB">
      <w:pPr>
        <w:spacing w:after="0" w:line="240" w:lineRule="auto"/>
      </w:pPr>
      <w:r>
        <w:separator/>
      </w:r>
    </w:p>
  </w:endnote>
  <w:endnote w:type="continuationSeparator" w:id="0">
    <w:p w14:paraId="1F6B1325" w14:textId="77777777" w:rsidR="00DE731B" w:rsidRDefault="00DE731B"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BoldLF-Roman">
    <w:altName w:val="Cambria"/>
    <w:panose1 w:val="00000000000000000000"/>
    <w:charset w:val="00"/>
    <w:family w:val="roman"/>
    <w:notTrueType/>
    <w:pitch w:val="default"/>
    <w:sig w:usb0="00000003" w:usb1="00000000" w:usb2="00000000" w:usb3="00000000" w:csb0="00000001" w:csb1="00000000"/>
  </w:font>
  <w:font w:name="ZWHNB S+ Meta Normal">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taNormalLF-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539B1104" w:rsidR="00DE731B" w:rsidRPr="00381F07" w:rsidRDefault="00DE731B" w:rsidP="008F6F3D">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Queensland Government Procurement</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716E2BA2" w14:textId="77777777" w:rsidR="00DE731B" w:rsidRDefault="00DE73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2A7486F0" w:rsidR="00DE731B" w:rsidRDefault="00DE731B"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4E50" w14:textId="77777777" w:rsidR="00DE731B" w:rsidRDefault="00DE731B" w:rsidP="00F752DB">
      <w:pPr>
        <w:spacing w:after="0" w:line="240" w:lineRule="auto"/>
      </w:pPr>
      <w:r>
        <w:separator/>
      </w:r>
    </w:p>
  </w:footnote>
  <w:footnote w:type="continuationSeparator" w:id="0">
    <w:p w14:paraId="1A1855DE" w14:textId="77777777" w:rsidR="00DE731B" w:rsidRDefault="00DE731B" w:rsidP="00F752DB">
      <w:pPr>
        <w:spacing w:after="0" w:line="240" w:lineRule="auto"/>
      </w:pPr>
      <w:r>
        <w:continuationSeparator/>
      </w:r>
    </w:p>
  </w:footnote>
  <w:footnote w:id="1">
    <w:p w14:paraId="5D38A697" w14:textId="77777777" w:rsidR="00DE731B" w:rsidRDefault="00DE731B" w:rsidP="00AF3B54">
      <w:pPr>
        <w:pStyle w:val="FootnoteText"/>
      </w:pPr>
      <w:r>
        <w:rPr>
          <w:rStyle w:val="FootnoteReference"/>
        </w:rPr>
        <w:footnoteRef/>
      </w:r>
      <w:r>
        <w:t xml:space="preserve"> The QPP defines a significant procurement as including goods and services identified by the agency as being high expenditure and/or for which there is a high degree of business risk. </w:t>
      </w:r>
    </w:p>
  </w:footnote>
  <w:footnote w:id="2">
    <w:p w14:paraId="615BDF05" w14:textId="77777777" w:rsidR="00DE731B" w:rsidRDefault="00DE731B" w:rsidP="00AF3B54">
      <w:pPr>
        <w:pStyle w:val="FootnoteText"/>
      </w:pPr>
      <w:r>
        <w:rPr>
          <w:rStyle w:val="FootnoteReference"/>
        </w:rPr>
        <w:footnoteRef/>
      </w:r>
      <w:r>
        <w:t xml:space="preserve"> Evaluating Offers </w:t>
      </w:r>
      <w:hyperlink r:id="rId1" w:history="1">
        <w:r w:rsidRPr="004632CD">
          <w:rPr>
            <w:rStyle w:val="Hyperlink"/>
          </w:rPr>
          <w:t>www.hpw.qld.gov.au/SiteCollectionDocuments/ProcurementGuideEvaluatingOffers.pdf</w:t>
        </w:r>
      </w:hyperlink>
      <w:r>
        <w:t xml:space="preserve">. </w:t>
      </w:r>
    </w:p>
  </w:footnote>
  <w:footnote w:id="3">
    <w:p w14:paraId="1C87BFCD" w14:textId="77777777" w:rsidR="00DE731B" w:rsidRDefault="00DE731B" w:rsidP="00AF3B54">
      <w:pPr>
        <w:pStyle w:val="FootnoteText"/>
      </w:pPr>
      <w:r>
        <w:rPr>
          <w:rStyle w:val="FootnoteReference"/>
        </w:rPr>
        <w:footnoteRef/>
      </w:r>
      <w:r>
        <w:t xml:space="preserve"> Contract Management Framework </w:t>
      </w:r>
      <w:hyperlink r:id="rId2" w:history="1">
        <w:r w:rsidRPr="004632CD">
          <w:rPr>
            <w:rStyle w:val="Hyperlink"/>
          </w:rPr>
          <w:t>www.hpw.qld.gov.au/SiteCollectionDocuments/OneGovernmentContractManagementFramework.pdf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0B573795" w:rsidR="00DE731B" w:rsidRPr="00AB0F2F" w:rsidRDefault="00E1028F" w:rsidP="00211A7F">
    <w:pPr>
      <w:pStyle w:val="Header"/>
      <w:pBdr>
        <w:bottom w:val="single" w:sz="4" w:space="8" w:color="A70240"/>
      </w:pBdr>
      <w:spacing w:after="360"/>
      <w:contextualSpacing/>
      <w:jc w:val="right"/>
      <w:rPr>
        <w:color w:val="404040" w:themeColor="text1" w:themeTint="BF"/>
        <w:sz w:val="16"/>
        <w:szCs w:val="16"/>
      </w:rPr>
    </w:pPr>
    <w:sdt>
      <w:sdtPr>
        <w:rPr>
          <w:color w:val="404040" w:themeColor="text1" w:themeTint="BF"/>
          <w:sz w:val="16"/>
          <w:szCs w:val="16"/>
        </w:rPr>
        <w:alias w:val="Title"/>
        <w:tag w:val=""/>
        <w:id w:val="1568223084"/>
        <w:placeholder>
          <w:docPart w:val="4D0BA81E14B948E4869F40BDA51A39BE"/>
        </w:placeholder>
        <w:dataBinding w:prefixMappings="xmlns:ns0='http://purl.org/dc/elements/1.1/' xmlns:ns1='http://schemas.openxmlformats.org/package/2006/metadata/core-properties' " w:xpath="/ns1:coreProperties[1]/ns0:title[1]" w:storeItemID="{6C3C8BC8-F283-45AE-878A-BAB7291924A1}"/>
        <w:text/>
      </w:sdtPr>
      <w:sdtEndPr/>
      <w:sdtContent>
        <w:r w:rsidR="00DE731B">
          <w:rPr>
            <w:color w:val="404040" w:themeColor="text1" w:themeTint="BF"/>
            <w:sz w:val="16"/>
            <w:szCs w:val="16"/>
          </w:rPr>
          <w:t>Putting Queenslanders first when securing value for money</w:t>
        </w:r>
      </w:sdtContent>
    </w:sdt>
  </w:p>
  <w:p w14:paraId="7E1A307E" w14:textId="77777777" w:rsidR="00DE731B" w:rsidRDefault="00DE731B">
    <w:pPr>
      <w:pStyle w:val="Header"/>
    </w:pPr>
  </w:p>
  <w:p w14:paraId="2D051A40" w14:textId="77777777" w:rsidR="00DE731B" w:rsidRDefault="00DE73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8D2"/>
    <w:multiLevelType w:val="hybridMultilevel"/>
    <w:tmpl w:val="301C2150"/>
    <w:lvl w:ilvl="0" w:tplc="0C090001">
      <w:start w:val="1"/>
      <w:numFmt w:val="bullet"/>
      <w:lvlText w:val=""/>
      <w:lvlJc w:val="left"/>
      <w:pPr>
        <w:ind w:left="440" w:hanging="360"/>
      </w:pPr>
      <w:rPr>
        <w:rFonts w:ascii="Symbol" w:hAnsi="Symbol" w:hint="default"/>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1" w15:restartNumberingAfterBreak="0">
    <w:nsid w:val="02C85389"/>
    <w:multiLevelType w:val="hybridMultilevel"/>
    <w:tmpl w:val="F528B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A2C71"/>
    <w:multiLevelType w:val="multilevel"/>
    <w:tmpl w:val="C778EB54"/>
    <w:numStyleLink w:val="StyleNumbered"/>
  </w:abstractNum>
  <w:abstractNum w:abstractNumId="3" w15:restartNumberingAfterBreak="0">
    <w:nsid w:val="095D7747"/>
    <w:multiLevelType w:val="hybridMultilevel"/>
    <w:tmpl w:val="43F2E8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E2132"/>
    <w:multiLevelType w:val="hybridMultilevel"/>
    <w:tmpl w:val="5F26C59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D11229"/>
    <w:multiLevelType w:val="hybridMultilevel"/>
    <w:tmpl w:val="BD68EF3A"/>
    <w:lvl w:ilvl="0" w:tplc="FB2A3EE4">
      <w:start w:val="1"/>
      <w:numFmt w:val="bullet"/>
      <w:pStyle w:val="Bullet1"/>
      <w:lvlText w:val=""/>
      <w:lvlJc w:val="left"/>
      <w:pPr>
        <w:tabs>
          <w:tab w:val="num" w:pos="720"/>
        </w:tabs>
        <w:ind w:left="720" w:hanging="360"/>
      </w:pPr>
      <w:rPr>
        <w:rFonts w:ascii="Symbol" w:hAnsi="Symbol" w:hint="default"/>
      </w:rPr>
    </w:lvl>
    <w:lvl w:ilvl="1" w:tplc="533EF876">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208C2"/>
    <w:multiLevelType w:val="hybridMultilevel"/>
    <w:tmpl w:val="00C83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D2E46"/>
    <w:multiLevelType w:val="hybridMultilevel"/>
    <w:tmpl w:val="DC702E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47484"/>
    <w:multiLevelType w:val="hybridMultilevel"/>
    <w:tmpl w:val="F00C7F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1411CA"/>
    <w:multiLevelType w:val="hybridMultilevel"/>
    <w:tmpl w:val="25A8149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4516B"/>
    <w:multiLevelType w:val="hybridMultilevel"/>
    <w:tmpl w:val="9AF4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2" w15:restartNumberingAfterBreak="0">
    <w:nsid w:val="19A571EA"/>
    <w:multiLevelType w:val="hybridMultilevel"/>
    <w:tmpl w:val="F8569326"/>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D590AF8"/>
    <w:multiLevelType w:val="hybridMultilevel"/>
    <w:tmpl w:val="B5A06100"/>
    <w:lvl w:ilvl="0" w:tplc="E522D9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8134C"/>
    <w:multiLevelType w:val="hybridMultilevel"/>
    <w:tmpl w:val="F002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792D72"/>
    <w:multiLevelType w:val="hybridMultilevel"/>
    <w:tmpl w:val="5B96E5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03955BB"/>
    <w:multiLevelType w:val="hybridMultilevel"/>
    <w:tmpl w:val="436848F6"/>
    <w:lvl w:ilvl="0" w:tplc="C8085A4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0DA14CF"/>
    <w:multiLevelType w:val="hybridMultilevel"/>
    <w:tmpl w:val="1B3E6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413A23"/>
    <w:multiLevelType w:val="hybridMultilevel"/>
    <w:tmpl w:val="2B4A1D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5D57BF"/>
    <w:multiLevelType w:val="hybridMultilevel"/>
    <w:tmpl w:val="2B5604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7CC7ED6"/>
    <w:multiLevelType w:val="hybridMultilevel"/>
    <w:tmpl w:val="B3AA0E60"/>
    <w:lvl w:ilvl="0" w:tplc="0C090001">
      <w:start w:val="1"/>
      <w:numFmt w:val="bullet"/>
      <w:lvlText w:val=""/>
      <w:lvlJc w:val="left"/>
      <w:pPr>
        <w:ind w:left="720" w:hanging="360"/>
      </w:pPr>
      <w:rPr>
        <w:rFonts w:ascii="Symbol" w:hAnsi="Symbol" w:hint="default"/>
      </w:rPr>
    </w:lvl>
    <w:lvl w:ilvl="1" w:tplc="DC52D228">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EC26AF"/>
    <w:multiLevelType w:val="hybridMultilevel"/>
    <w:tmpl w:val="868C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F553D3"/>
    <w:multiLevelType w:val="hybridMultilevel"/>
    <w:tmpl w:val="1646C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9C4127"/>
    <w:multiLevelType w:val="hybridMultilevel"/>
    <w:tmpl w:val="8FBA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9D0484"/>
    <w:multiLevelType w:val="hybridMultilevel"/>
    <w:tmpl w:val="699E3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992145"/>
    <w:multiLevelType w:val="hybridMultilevel"/>
    <w:tmpl w:val="7DEA06AA"/>
    <w:lvl w:ilvl="0" w:tplc="0C090001">
      <w:start w:val="1"/>
      <w:numFmt w:val="bullet"/>
      <w:lvlText w:val=""/>
      <w:lvlJc w:val="left"/>
      <w:pPr>
        <w:ind w:left="720" w:hanging="360"/>
      </w:pPr>
      <w:rPr>
        <w:rFonts w:ascii="Symbol" w:hAnsi="Symbol" w:hint="default"/>
      </w:rPr>
    </w:lvl>
    <w:lvl w:ilvl="1" w:tplc="FB12A9AC">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E45A55"/>
    <w:multiLevelType w:val="hybridMultilevel"/>
    <w:tmpl w:val="947E1E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257E22"/>
    <w:multiLevelType w:val="hybridMultilevel"/>
    <w:tmpl w:val="3FCE3CF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15:restartNumberingAfterBreak="0">
    <w:nsid w:val="446D4890"/>
    <w:multiLevelType w:val="hybridMultilevel"/>
    <w:tmpl w:val="DCD8EB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FC3BC3"/>
    <w:multiLevelType w:val="hybridMultilevel"/>
    <w:tmpl w:val="C434B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4F5D00"/>
    <w:multiLevelType w:val="hybridMultilevel"/>
    <w:tmpl w:val="FA90F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762DA4"/>
    <w:multiLevelType w:val="hybridMultilevel"/>
    <w:tmpl w:val="44583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E810C6"/>
    <w:multiLevelType w:val="hybridMultilevel"/>
    <w:tmpl w:val="1958C0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B4F5A70"/>
    <w:multiLevelType w:val="hybridMultilevel"/>
    <w:tmpl w:val="50903D4A"/>
    <w:lvl w:ilvl="0" w:tplc="9F0AEB3A">
      <w:start w:val="1"/>
      <w:numFmt w:val="bullet"/>
      <w:lvlText w:val=""/>
      <w:lvlJc w:val="left"/>
      <w:pPr>
        <w:ind w:left="720" w:hanging="360"/>
      </w:pPr>
      <w:rPr>
        <w:rFonts w:ascii="Symbol" w:hAnsi="Symbol" w:hint="default"/>
        <w:color w:val="auto"/>
      </w:rPr>
    </w:lvl>
    <w:lvl w:ilvl="1" w:tplc="2F0C2C6E">
      <w:start w:val="1"/>
      <w:numFmt w:val="decimal"/>
      <w:lvlText w:val="%2."/>
      <w:lvlJc w:val="left"/>
      <w:pPr>
        <w:ind w:left="928" w:hanging="360"/>
      </w:pPr>
      <w:rPr>
        <w:rFonts w:ascii="Arial" w:eastAsiaTheme="minorHAnsi" w:hAnsi="Arial" w:cs="Arial"/>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4D1A2539"/>
    <w:multiLevelType w:val="hybridMultilevel"/>
    <w:tmpl w:val="5988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3A110D"/>
    <w:multiLevelType w:val="hybridMultilevel"/>
    <w:tmpl w:val="BCD6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26120F1"/>
    <w:multiLevelType w:val="hybridMultilevel"/>
    <w:tmpl w:val="05A2994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7944C9"/>
    <w:multiLevelType w:val="hybridMultilevel"/>
    <w:tmpl w:val="12A47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81C77E1"/>
    <w:multiLevelType w:val="hybridMultilevel"/>
    <w:tmpl w:val="D6A639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8" w15:restartNumberingAfterBreak="0">
    <w:nsid w:val="66F22D1F"/>
    <w:multiLevelType w:val="hybridMultilevel"/>
    <w:tmpl w:val="96502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85517D"/>
    <w:multiLevelType w:val="hybridMultilevel"/>
    <w:tmpl w:val="C3F8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BB0842"/>
    <w:multiLevelType w:val="hybridMultilevel"/>
    <w:tmpl w:val="EAB6C7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B3177E2"/>
    <w:multiLevelType w:val="hybridMultilevel"/>
    <w:tmpl w:val="B276044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6FF7352B"/>
    <w:multiLevelType w:val="hybridMultilevel"/>
    <w:tmpl w:val="03FAF68E"/>
    <w:lvl w:ilvl="0" w:tplc="3E4EC9EE">
      <w:start w:val="1"/>
      <w:numFmt w:val="decimal"/>
      <w:lvlText w:val="%1."/>
      <w:lvlJc w:val="left"/>
      <w:pPr>
        <w:ind w:left="720" w:hanging="360"/>
      </w:pPr>
      <w:rPr>
        <w:rFonts w:ascii="Calibri" w:hAnsi="Calibr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2766F8A"/>
    <w:multiLevelType w:val="hybridMultilevel"/>
    <w:tmpl w:val="94B2D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FD309B"/>
    <w:multiLevelType w:val="hybridMultilevel"/>
    <w:tmpl w:val="B5B69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4A70B1"/>
    <w:multiLevelType w:val="hybridMultilevel"/>
    <w:tmpl w:val="04EE5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3415E5"/>
    <w:multiLevelType w:val="hybridMultilevel"/>
    <w:tmpl w:val="29703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7362392">
    <w:abstractNumId w:val="20"/>
  </w:num>
  <w:num w:numId="2" w16cid:durableId="1117216615">
    <w:abstractNumId w:val="29"/>
  </w:num>
  <w:num w:numId="3" w16cid:durableId="528491750">
    <w:abstractNumId w:val="46"/>
  </w:num>
  <w:num w:numId="4" w16cid:durableId="1968974380">
    <w:abstractNumId w:val="57"/>
  </w:num>
  <w:num w:numId="5" w16cid:durableId="1313868885">
    <w:abstractNumId w:val="23"/>
  </w:num>
  <w:num w:numId="6" w16cid:durableId="810101485">
    <w:abstractNumId w:val="24"/>
  </w:num>
  <w:num w:numId="7" w16cid:durableId="17122892">
    <w:abstractNumId w:val="30"/>
  </w:num>
  <w:num w:numId="8" w16cid:durableId="1097749136">
    <w:abstractNumId w:val="43"/>
  </w:num>
  <w:num w:numId="9" w16cid:durableId="1245530796">
    <w:abstractNumId w:val="11"/>
  </w:num>
  <w:num w:numId="10" w16cid:durableId="755519508">
    <w:abstractNumId w:val="2"/>
  </w:num>
  <w:num w:numId="11" w16cid:durableId="1643542258">
    <w:abstractNumId w:val="40"/>
  </w:num>
  <w:num w:numId="12" w16cid:durableId="296451300">
    <w:abstractNumId w:val="16"/>
  </w:num>
  <w:num w:numId="13" w16cid:durableId="1955283109">
    <w:abstractNumId w:val="5"/>
  </w:num>
  <w:num w:numId="14" w16cid:durableId="958491014">
    <w:abstractNumId w:val="47"/>
  </w:num>
  <w:num w:numId="15" w16cid:durableId="976836272">
    <w:abstractNumId w:val="19"/>
  </w:num>
  <w:num w:numId="16" w16cid:durableId="647899304">
    <w:abstractNumId w:val="38"/>
  </w:num>
  <w:num w:numId="17" w16cid:durableId="147718563">
    <w:abstractNumId w:val="3"/>
  </w:num>
  <w:num w:numId="18" w16cid:durableId="1155217602">
    <w:abstractNumId w:val="7"/>
  </w:num>
  <w:num w:numId="19" w16cid:durableId="1969820452">
    <w:abstractNumId w:val="15"/>
  </w:num>
  <w:num w:numId="20" w16cid:durableId="1025329371">
    <w:abstractNumId w:val="32"/>
  </w:num>
  <w:num w:numId="21" w16cid:durableId="1540123772">
    <w:abstractNumId w:val="9"/>
  </w:num>
  <w:num w:numId="22" w16cid:durableId="1325277395">
    <w:abstractNumId w:val="44"/>
  </w:num>
  <w:num w:numId="23" w16cid:durableId="206190110">
    <w:abstractNumId w:val="33"/>
  </w:num>
  <w:num w:numId="24" w16cid:durableId="14966346">
    <w:abstractNumId w:val="45"/>
  </w:num>
  <w:num w:numId="25" w16cid:durableId="875510021">
    <w:abstractNumId w:val="49"/>
  </w:num>
  <w:num w:numId="26" w16cid:durableId="475029690">
    <w:abstractNumId w:val="39"/>
  </w:num>
  <w:num w:numId="27" w16cid:durableId="518931716">
    <w:abstractNumId w:val="6"/>
  </w:num>
  <w:num w:numId="28" w16cid:durableId="1890145413">
    <w:abstractNumId w:val="37"/>
  </w:num>
  <w:num w:numId="29" w16cid:durableId="307901433">
    <w:abstractNumId w:val="42"/>
  </w:num>
  <w:num w:numId="30" w16cid:durableId="125901812">
    <w:abstractNumId w:val="35"/>
  </w:num>
  <w:num w:numId="31" w16cid:durableId="974680902">
    <w:abstractNumId w:val="13"/>
  </w:num>
  <w:num w:numId="32" w16cid:durableId="1759324680">
    <w:abstractNumId w:val="12"/>
  </w:num>
  <w:num w:numId="33" w16cid:durableId="2001618928">
    <w:abstractNumId w:val="52"/>
  </w:num>
  <w:num w:numId="34" w16cid:durableId="1872525790">
    <w:abstractNumId w:val="48"/>
  </w:num>
  <w:num w:numId="35" w16cid:durableId="2091343580">
    <w:abstractNumId w:val="10"/>
  </w:num>
  <w:num w:numId="36" w16cid:durableId="703751431">
    <w:abstractNumId w:val="54"/>
  </w:num>
  <w:num w:numId="37" w16cid:durableId="1392532757">
    <w:abstractNumId w:val="28"/>
  </w:num>
  <w:num w:numId="38" w16cid:durableId="1822115458">
    <w:abstractNumId w:val="17"/>
  </w:num>
  <w:num w:numId="39" w16cid:durableId="1238784278">
    <w:abstractNumId w:val="55"/>
  </w:num>
  <w:num w:numId="40" w16cid:durableId="160975790">
    <w:abstractNumId w:val="14"/>
  </w:num>
  <w:num w:numId="41" w16cid:durableId="926160405">
    <w:abstractNumId w:val="31"/>
  </w:num>
  <w:num w:numId="42" w16cid:durableId="665745284">
    <w:abstractNumId w:val="53"/>
  </w:num>
  <w:num w:numId="43" w16cid:durableId="982924769">
    <w:abstractNumId w:val="26"/>
  </w:num>
  <w:num w:numId="44" w16cid:durableId="1074010137">
    <w:abstractNumId w:val="18"/>
  </w:num>
  <w:num w:numId="45" w16cid:durableId="455175648">
    <w:abstractNumId w:val="41"/>
  </w:num>
  <w:num w:numId="46" w16cid:durableId="916785724">
    <w:abstractNumId w:val="36"/>
  </w:num>
  <w:num w:numId="47" w16cid:durableId="552667215">
    <w:abstractNumId w:val="56"/>
  </w:num>
  <w:num w:numId="48" w16cid:durableId="303435870">
    <w:abstractNumId w:val="21"/>
  </w:num>
  <w:num w:numId="49" w16cid:durableId="760879638">
    <w:abstractNumId w:val="50"/>
  </w:num>
  <w:num w:numId="50" w16cid:durableId="2133354671">
    <w:abstractNumId w:val="22"/>
  </w:num>
  <w:num w:numId="51" w16cid:durableId="1648391138">
    <w:abstractNumId w:val="1"/>
  </w:num>
  <w:num w:numId="52" w16cid:durableId="1071923681">
    <w:abstractNumId w:val="8"/>
  </w:num>
  <w:num w:numId="53" w16cid:durableId="1897936878">
    <w:abstractNumId w:val="27"/>
  </w:num>
  <w:num w:numId="54" w16cid:durableId="309213415">
    <w:abstractNumId w:val="4"/>
  </w:num>
  <w:num w:numId="55" w16cid:durableId="897015333">
    <w:abstractNumId w:val="51"/>
  </w:num>
  <w:num w:numId="56" w16cid:durableId="1356424217">
    <w:abstractNumId w:val="25"/>
  </w:num>
  <w:num w:numId="57" w16cid:durableId="913010048">
    <w:abstractNumId w:val="0"/>
  </w:num>
  <w:num w:numId="58" w16cid:durableId="1898273151">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52385"/>
    <w:rsid w:val="00071234"/>
    <w:rsid w:val="000A184C"/>
    <w:rsid w:val="000C2896"/>
    <w:rsid w:val="000F4BE1"/>
    <w:rsid w:val="00105D9D"/>
    <w:rsid w:val="00135E89"/>
    <w:rsid w:val="00140F1E"/>
    <w:rsid w:val="00142FC9"/>
    <w:rsid w:val="00155B59"/>
    <w:rsid w:val="00172C66"/>
    <w:rsid w:val="001B5456"/>
    <w:rsid w:val="001E7E00"/>
    <w:rsid w:val="0021152C"/>
    <w:rsid w:val="00211A7F"/>
    <w:rsid w:val="002235D1"/>
    <w:rsid w:val="0023125F"/>
    <w:rsid w:val="00253B76"/>
    <w:rsid w:val="002A5361"/>
    <w:rsid w:val="0037294E"/>
    <w:rsid w:val="00381F07"/>
    <w:rsid w:val="003A1CD0"/>
    <w:rsid w:val="00401DD3"/>
    <w:rsid w:val="00486583"/>
    <w:rsid w:val="00493064"/>
    <w:rsid w:val="004A0CF6"/>
    <w:rsid w:val="00514250"/>
    <w:rsid w:val="00595C5C"/>
    <w:rsid w:val="005A7EB2"/>
    <w:rsid w:val="00607EAC"/>
    <w:rsid w:val="006330D6"/>
    <w:rsid w:val="00654682"/>
    <w:rsid w:val="0066160F"/>
    <w:rsid w:val="00673C5E"/>
    <w:rsid w:val="00701011"/>
    <w:rsid w:val="007927EC"/>
    <w:rsid w:val="007A7AD0"/>
    <w:rsid w:val="007B7968"/>
    <w:rsid w:val="007E06B5"/>
    <w:rsid w:val="0082393E"/>
    <w:rsid w:val="00833BDC"/>
    <w:rsid w:val="00847102"/>
    <w:rsid w:val="00856C5E"/>
    <w:rsid w:val="008F6F3D"/>
    <w:rsid w:val="009908A1"/>
    <w:rsid w:val="00A96301"/>
    <w:rsid w:val="00AB0F2F"/>
    <w:rsid w:val="00AF3B54"/>
    <w:rsid w:val="00B018BF"/>
    <w:rsid w:val="00B33273"/>
    <w:rsid w:val="00B373CA"/>
    <w:rsid w:val="00B650CD"/>
    <w:rsid w:val="00C33BDC"/>
    <w:rsid w:val="00C43DF5"/>
    <w:rsid w:val="00C54CF3"/>
    <w:rsid w:val="00C6489C"/>
    <w:rsid w:val="00CA138C"/>
    <w:rsid w:val="00CD34C6"/>
    <w:rsid w:val="00D42183"/>
    <w:rsid w:val="00DC642B"/>
    <w:rsid w:val="00DD0465"/>
    <w:rsid w:val="00DD5ABB"/>
    <w:rsid w:val="00DE1611"/>
    <w:rsid w:val="00DE731B"/>
    <w:rsid w:val="00E1028F"/>
    <w:rsid w:val="00E22C0C"/>
    <w:rsid w:val="00ED0350"/>
    <w:rsid w:val="00F752DB"/>
    <w:rsid w:val="00F81DE9"/>
    <w:rsid w:val="00F905BC"/>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qFormat/>
    <w:rsid w:val="000C2896"/>
    <w:pPr>
      <w:keepNext/>
      <w:keepLines/>
      <w:spacing w:before="360" w:after="120" w:line="240" w:lineRule="auto"/>
      <w:outlineLvl w:val="0"/>
    </w:pPr>
    <w:rPr>
      <w:rFonts w:eastAsiaTheme="majorEastAsia" w:cstheme="majorBidi"/>
      <w:b/>
      <w:color w:val="A91D37"/>
      <w:sz w:val="32"/>
      <w:szCs w:val="32"/>
    </w:rPr>
  </w:style>
  <w:style w:type="paragraph" w:styleId="Heading2">
    <w:name w:val="heading 2"/>
    <w:basedOn w:val="Normal"/>
    <w:next w:val="Normal"/>
    <w:link w:val="Heading2Char"/>
    <w:unhideWhenUsed/>
    <w:qFormat/>
    <w:rsid w:val="00B373CA"/>
    <w:pPr>
      <w:keepNext/>
      <w:keepLines/>
      <w:spacing w:before="120" w:after="120" w:line="240" w:lineRule="auto"/>
      <w:outlineLvl w:val="1"/>
    </w:pPr>
    <w:rPr>
      <w:rFonts w:eastAsiaTheme="majorEastAsia" w:cstheme="majorBidi"/>
      <w:color w:val="60605D"/>
      <w:sz w:val="32"/>
      <w:szCs w:val="26"/>
    </w:rPr>
  </w:style>
  <w:style w:type="paragraph" w:styleId="Heading3">
    <w:name w:val="heading 3"/>
    <w:basedOn w:val="Normal"/>
    <w:next w:val="Normal"/>
    <w:link w:val="Heading3Char"/>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nhideWhenUsed/>
    <w:qFormat/>
    <w:rsid w:val="000C2896"/>
    <w:pPr>
      <w:keepNext/>
      <w:keepLines/>
      <w:spacing w:before="120" w:after="120" w:line="240" w:lineRule="auto"/>
      <w:outlineLvl w:val="3"/>
    </w:pPr>
    <w:rPr>
      <w:rFonts w:eastAsiaTheme="majorEastAsia" w:cstheme="majorBidi"/>
      <w:iCs/>
      <w:color w:val="A91D37"/>
      <w:sz w:val="24"/>
    </w:rPr>
  </w:style>
  <w:style w:type="paragraph" w:styleId="Heading5">
    <w:name w:val="heading 5"/>
    <w:basedOn w:val="Normal"/>
    <w:next w:val="Normal"/>
    <w:link w:val="Heading5Char"/>
    <w:unhideWhenUsed/>
    <w:qFormat/>
    <w:rsid w:val="00B373CA"/>
    <w:pPr>
      <w:keepNext/>
      <w:keepLines/>
      <w:spacing w:before="120" w:after="120" w:line="240" w:lineRule="auto"/>
      <w:outlineLvl w:val="4"/>
    </w:pPr>
    <w:rPr>
      <w:rFonts w:eastAsiaTheme="majorEastAsia" w:cstheme="majorBidi"/>
      <w:b/>
      <w:color w:val="373636"/>
    </w:rPr>
  </w:style>
  <w:style w:type="paragraph" w:styleId="Heading9">
    <w:name w:val="heading 9"/>
    <w:basedOn w:val="Normal"/>
    <w:next w:val="Normal"/>
    <w:link w:val="Heading9Char"/>
    <w:unhideWhenUsed/>
    <w:qFormat/>
    <w:rsid w:val="00AF3B54"/>
    <w:pPr>
      <w:keepNext/>
      <w:keepLines/>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rsid w:val="00F752DB"/>
  </w:style>
  <w:style w:type="paragraph" w:styleId="Footer">
    <w:name w:val="footer"/>
    <w:basedOn w:val="Normal"/>
    <w:link w:val="FooterChar"/>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C2896"/>
    <w:rPr>
      <w:rFonts w:ascii="Arial" w:eastAsiaTheme="majorEastAsia" w:hAnsi="Arial" w:cstheme="majorBidi"/>
      <w:b/>
      <w:color w:val="A91D37"/>
      <w:sz w:val="32"/>
      <w:szCs w:val="32"/>
    </w:rPr>
  </w:style>
  <w:style w:type="character" w:customStyle="1" w:styleId="Heading2Char">
    <w:name w:val="Heading 2 Char"/>
    <w:basedOn w:val="DefaultParagraphFont"/>
    <w:link w:val="Heading2"/>
    <w:uiPriority w:val="9"/>
    <w:rsid w:val="00B373CA"/>
    <w:rPr>
      <w:rFonts w:ascii="Arial" w:eastAsiaTheme="majorEastAsia" w:hAnsi="Arial" w:cstheme="majorBidi"/>
      <w:color w:val="60605D"/>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0C2896"/>
    <w:rPr>
      <w:rFonts w:ascii="Arial" w:eastAsiaTheme="majorEastAsia" w:hAnsi="Arial" w:cstheme="majorBidi"/>
      <w:iCs/>
      <w:color w:val="A91D37"/>
      <w:sz w:val="24"/>
    </w:rPr>
  </w:style>
  <w:style w:type="character" w:customStyle="1" w:styleId="Heading5Char">
    <w:name w:val="Heading 5 Char"/>
    <w:basedOn w:val="DefaultParagraphFont"/>
    <w:link w:val="Heading5"/>
    <w:uiPriority w:val="9"/>
    <w:rsid w:val="00B373CA"/>
    <w:rPr>
      <w:rFonts w:ascii="Arial" w:eastAsiaTheme="majorEastAsia" w:hAnsi="Arial" w:cstheme="majorBidi"/>
      <w:b/>
      <w:color w:val="373636"/>
      <w:sz w:val="20"/>
    </w:rPr>
  </w:style>
  <w:style w:type="paragraph" w:styleId="BalloonText">
    <w:name w:val="Balloon Text"/>
    <w:basedOn w:val="Normal"/>
    <w:link w:val="BalloonTextChar"/>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styleId="UnresolvedMention">
    <w:name w:val="Unresolved Mention"/>
    <w:basedOn w:val="DefaultParagraphFont"/>
    <w:uiPriority w:val="99"/>
    <w:semiHidden/>
    <w:unhideWhenUsed/>
    <w:rsid w:val="002A5361"/>
    <w:rPr>
      <w:color w:val="605E5C"/>
      <w:shd w:val="clear" w:color="auto" w:fill="E1DFDD"/>
    </w:rPr>
  </w:style>
  <w:style w:type="paragraph" w:styleId="TOC2">
    <w:name w:val="toc 2"/>
    <w:basedOn w:val="Heading2"/>
    <w:next w:val="Normal"/>
    <w:uiPriority w:val="39"/>
    <w:rsid w:val="00AF3B54"/>
    <w:pPr>
      <w:keepNext w:val="0"/>
      <w:keepLines w:val="0"/>
      <w:tabs>
        <w:tab w:val="right" w:pos="9639"/>
      </w:tabs>
      <w:autoSpaceDE w:val="0"/>
      <w:autoSpaceDN w:val="0"/>
      <w:adjustRightInd w:val="0"/>
      <w:spacing w:after="0" w:line="264" w:lineRule="auto"/>
      <w:ind w:left="340"/>
    </w:pPr>
    <w:rPr>
      <w:rFonts w:eastAsia="Times New Roman" w:cs="Arial"/>
      <w:b/>
      <w:bCs/>
      <w:color w:val="708090"/>
      <w:sz w:val="22"/>
      <w:szCs w:val="20"/>
      <w:lang w:eastAsia="en-AU"/>
    </w:rPr>
  </w:style>
  <w:style w:type="paragraph" w:styleId="TOC1">
    <w:name w:val="toc 1"/>
    <w:basedOn w:val="Heading1"/>
    <w:next w:val="Normal"/>
    <w:uiPriority w:val="39"/>
    <w:rsid w:val="00AF3B54"/>
    <w:pPr>
      <w:keepNext w:val="0"/>
      <w:keepLines w:val="0"/>
      <w:tabs>
        <w:tab w:val="right" w:leader="dot" w:pos="9639"/>
      </w:tabs>
      <w:autoSpaceDE w:val="0"/>
      <w:autoSpaceDN w:val="0"/>
      <w:adjustRightInd w:val="0"/>
      <w:spacing w:before="240" w:after="0" w:line="264" w:lineRule="auto"/>
    </w:pPr>
    <w:rPr>
      <w:rFonts w:eastAsia="Times New Roman" w:cs="Arial"/>
      <w:bCs/>
      <w:color w:val="A70240"/>
      <w:sz w:val="22"/>
      <w:szCs w:val="20"/>
      <w:lang w:eastAsia="en-AU"/>
    </w:rPr>
  </w:style>
  <w:style w:type="character" w:customStyle="1" w:styleId="Heading9Char">
    <w:name w:val="Heading 9 Char"/>
    <w:basedOn w:val="DefaultParagraphFont"/>
    <w:link w:val="Heading9"/>
    <w:rsid w:val="00AF3B54"/>
    <w:rPr>
      <w:rFonts w:asciiTheme="majorHAnsi" w:eastAsiaTheme="majorEastAsia" w:hAnsiTheme="majorHAnsi" w:cstheme="majorBidi"/>
      <w:i/>
      <w:iCs/>
      <w:color w:val="272727" w:themeColor="text1" w:themeTint="D8"/>
      <w:sz w:val="21"/>
      <w:szCs w:val="21"/>
    </w:rPr>
  </w:style>
  <w:style w:type="paragraph" w:customStyle="1" w:styleId="Titlepageheading">
    <w:name w:val="Title page heading"/>
    <w:basedOn w:val="TitlePageSubtitle"/>
    <w:next w:val="TitlePageSubtitle"/>
    <w:rsid w:val="00AF3B54"/>
    <w:pPr>
      <w:spacing w:before="2200" w:after="240"/>
    </w:pPr>
    <w:rPr>
      <w:color w:val="003E69"/>
      <w:sz w:val="56"/>
    </w:rPr>
  </w:style>
  <w:style w:type="paragraph" w:customStyle="1" w:styleId="TitlePageSubtitle">
    <w:name w:val="Title Page Subtitle"/>
    <w:basedOn w:val="Normal"/>
    <w:next w:val="TitlePageOptionalTextLine"/>
    <w:rsid w:val="00AF3B54"/>
    <w:pPr>
      <w:spacing w:before="240" w:after="60" w:line="264" w:lineRule="auto"/>
    </w:pPr>
    <w:rPr>
      <w:rFonts w:eastAsia="Times New Roman" w:cs="Arial"/>
      <w:b/>
      <w:color w:val="85C446"/>
      <w:sz w:val="40"/>
      <w:szCs w:val="24"/>
    </w:rPr>
  </w:style>
  <w:style w:type="paragraph" w:customStyle="1" w:styleId="TitlePageOptionalTextLine">
    <w:name w:val="Title Page Optional Text Line"/>
    <w:basedOn w:val="Normal"/>
    <w:next w:val="Heading1"/>
    <w:link w:val="TitlePageOptionalTextLineChar"/>
    <w:rsid w:val="00AF3B54"/>
    <w:pPr>
      <w:spacing w:before="360" w:after="240" w:line="264" w:lineRule="auto"/>
    </w:pPr>
    <w:rPr>
      <w:rFonts w:eastAsia="Times New Roman" w:cs="Arial"/>
      <w:color w:val="003E69"/>
      <w:sz w:val="26"/>
      <w:szCs w:val="24"/>
    </w:rPr>
  </w:style>
  <w:style w:type="paragraph" w:customStyle="1" w:styleId="Header-landscape">
    <w:name w:val="Header-landscape"/>
    <w:basedOn w:val="Header"/>
    <w:rsid w:val="00AF3B54"/>
    <w:pPr>
      <w:tabs>
        <w:tab w:val="clear" w:pos="4513"/>
        <w:tab w:val="clear" w:pos="9026"/>
        <w:tab w:val="right" w:pos="14572"/>
      </w:tabs>
      <w:spacing w:after="60" w:line="264" w:lineRule="auto"/>
    </w:pPr>
    <w:rPr>
      <w:rFonts w:eastAsia="Times New Roman" w:cs="Times New Roman"/>
      <w:sz w:val="18"/>
      <w:szCs w:val="24"/>
    </w:rPr>
  </w:style>
  <w:style w:type="paragraph" w:styleId="ListNumber">
    <w:name w:val="List Number"/>
    <w:basedOn w:val="Normal"/>
    <w:rsid w:val="00AF3B54"/>
    <w:pPr>
      <w:numPr>
        <w:numId w:val="10"/>
      </w:numPr>
      <w:spacing w:before="60" w:after="60" w:line="264" w:lineRule="auto"/>
    </w:pPr>
    <w:rPr>
      <w:rFonts w:eastAsia="Times New Roman" w:cs="Times New Roman"/>
      <w:sz w:val="22"/>
      <w:szCs w:val="24"/>
    </w:rPr>
  </w:style>
  <w:style w:type="paragraph" w:customStyle="1" w:styleId="References">
    <w:name w:val="References"/>
    <w:basedOn w:val="Normal"/>
    <w:link w:val="ReferencesChar"/>
    <w:rsid w:val="00AF3B54"/>
    <w:pPr>
      <w:autoSpaceDE w:val="0"/>
      <w:autoSpaceDN w:val="0"/>
      <w:adjustRightInd w:val="0"/>
      <w:spacing w:before="40" w:after="40" w:line="264" w:lineRule="auto"/>
    </w:pPr>
    <w:rPr>
      <w:rFonts w:eastAsia="Times New Roman" w:cs="Times New Roman"/>
      <w:sz w:val="18"/>
      <w:szCs w:val="20"/>
      <w:lang w:eastAsia="en-AU"/>
    </w:rPr>
  </w:style>
  <w:style w:type="numbering" w:customStyle="1" w:styleId="StyleNumbered">
    <w:name w:val="Style Numbered"/>
    <w:basedOn w:val="NoList"/>
    <w:rsid w:val="00AF3B54"/>
    <w:pPr>
      <w:numPr>
        <w:numId w:val="9"/>
      </w:numPr>
    </w:pPr>
  </w:style>
  <w:style w:type="paragraph" w:styleId="ListNumber2">
    <w:name w:val="List Number 2"/>
    <w:basedOn w:val="Normal"/>
    <w:rsid w:val="00AF3B54"/>
    <w:pPr>
      <w:numPr>
        <w:ilvl w:val="1"/>
        <w:numId w:val="10"/>
      </w:numPr>
      <w:spacing w:before="60" w:after="60" w:line="264" w:lineRule="auto"/>
    </w:pPr>
    <w:rPr>
      <w:rFonts w:eastAsia="Times New Roman" w:cs="Times New Roman"/>
      <w:sz w:val="22"/>
      <w:szCs w:val="24"/>
    </w:rPr>
  </w:style>
  <w:style w:type="paragraph" w:styleId="ListBullet">
    <w:name w:val="List Bullet"/>
    <w:basedOn w:val="Normal"/>
    <w:rsid w:val="00AF3B54"/>
    <w:pPr>
      <w:numPr>
        <w:numId w:val="11"/>
      </w:numPr>
      <w:spacing w:before="60" w:after="60" w:line="264" w:lineRule="auto"/>
    </w:pPr>
    <w:rPr>
      <w:rFonts w:eastAsia="Times New Roman" w:cs="Times New Roman"/>
      <w:sz w:val="22"/>
      <w:szCs w:val="24"/>
    </w:rPr>
  </w:style>
  <w:style w:type="paragraph" w:styleId="ListNumber3">
    <w:name w:val="List Number 3"/>
    <w:basedOn w:val="Normal"/>
    <w:rsid w:val="00AF3B54"/>
    <w:pPr>
      <w:numPr>
        <w:ilvl w:val="2"/>
        <w:numId w:val="10"/>
      </w:numPr>
      <w:spacing w:before="60" w:after="60" w:line="264" w:lineRule="auto"/>
    </w:pPr>
    <w:rPr>
      <w:rFonts w:eastAsia="Times New Roman" w:cs="Times New Roman"/>
      <w:sz w:val="22"/>
      <w:szCs w:val="24"/>
    </w:rPr>
  </w:style>
  <w:style w:type="paragraph" w:styleId="Index1">
    <w:name w:val="index 1"/>
    <w:basedOn w:val="Normal"/>
    <w:next w:val="Normal"/>
    <w:autoRedefine/>
    <w:semiHidden/>
    <w:rsid w:val="00AF3B54"/>
    <w:pPr>
      <w:spacing w:before="180" w:after="60" w:line="264" w:lineRule="auto"/>
      <w:ind w:left="220" w:hanging="220"/>
    </w:pPr>
    <w:rPr>
      <w:rFonts w:eastAsia="Times New Roman" w:cs="Times New Roman"/>
      <w:sz w:val="22"/>
      <w:szCs w:val="24"/>
    </w:rPr>
  </w:style>
  <w:style w:type="character" w:customStyle="1" w:styleId="TitlePageOptionalTextLineChar">
    <w:name w:val="Title Page Optional Text Line Char"/>
    <w:link w:val="TitlePageOptionalTextLine"/>
    <w:rsid w:val="00AF3B54"/>
    <w:rPr>
      <w:rFonts w:ascii="Arial" w:eastAsia="Times New Roman" w:hAnsi="Arial" w:cs="Arial"/>
      <w:color w:val="003E69"/>
      <w:sz w:val="26"/>
      <w:szCs w:val="24"/>
    </w:rPr>
  </w:style>
  <w:style w:type="paragraph" w:styleId="ListBullet2">
    <w:name w:val="List Bullet 2"/>
    <w:basedOn w:val="Normal"/>
    <w:rsid w:val="00AF3B54"/>
    <w:pPr>
      <w:numPr>
        <w:ilvl w:val="1"/>
        <w:numId w:val="11"/>
      </w:numPr>
      <w:spacing w:before="60" w:after="60" w:line="264" w:lineRule="auto"/>
    </w:pPr>
    <w:rPr>
      <w:rFonts w:eastAsia="Times New Roman" w:cs="Times New Roman"/>
      <w:sz w:val="22"/>
      <w:szCs w:val="24"/>
    </w:rPr>
  </w:style>
  <w:style w:type="paragraph" w:styleId="ListBullet3">
    <w:name w:val="List Bullet 3"/>
    <w:basedOn w:val="Normal"/>
    <w:rsid w:val="00AF3B54"/>
    <w:pPr>
      <w:numPr>
        <w:ilvl w:val="2"/>
        <w:numId w:val="11"/>
      </w:numPr>
      <w:spacing w:before="60" w:after="60" w:line="264" w:lineRule="auto"/>
      <w:ind w:left="1020" w:hanging="340"/>
    </w:pPr>
    <w:rPr>
      <w:rFonts w:eastAsia="Times New Roman" w:cs="Times New Roman"/>
      <w:sz w:val="22"/>
      <w:szCs w:val="24"/>
    </w:rPr>
  </w:style>
  <w:style w:type="paragraph" w:styleId="ListBullet4">
    <w:name w:val="List Bullet 4"/>
    <w:basedOn w:val="Normal"/>
    <w:rsid w:val="00AF3B54"/>
    <w:pPr>
      <w:numPr>
        <w:ilvl w:val="3"/>
        <w:numId w:val="11"/>
      </w:numPr>
      <w:spacing w:before="120" w:after="60" w:line="264" w:lineRule="auto"/>
    </w:pPr>
    <w:rPr>
      <w:rFonts w:eastAsia="Times New Roman" w:cs="Times New Roman"/>
      <w:sz w:val="22"/>
      <w:szCs w:val="24"/>
    </w:rPr>
  </w:style>
  <w:style w:type="paragraph" w:styleId="ListBullet5">
    <w:name w:val="List Bullet 5"/>
    <w:basedOn w:val="Normal"/>
    <w:rsid w:val="00AF3B54"/>
    <w:pPr>
      <w:numPr>
        <w:ilvl w:val="4"/>
        <w:numId w:val="11"/>
      </w:numPr>
      <w:spacing w:before="180" w:after="60" w:line="264" w:lineRule="auto"/>
    </w:pPr>
    <w:rPr>
      <w:rFonts w:eastAsia="Times New Roman" w:cs="Times New Roman"/>
      <w:sz w:val="22"/>
      <w:szCs w:val="24"/>
    </w:rPr>
  </w:style>
  <w:style w:type="paragraph" w:styleId="ListNumber4">
    <w:name w:val="List Number 4"/>
    <w:basedOn w:val="Normal"/>
    <w:rsid w:val="00AF3B54"/>
    <w:pPr>
      <w:numPr>
        <w:ilvl w:val="3"/>
        <w:numId w:val="10"/>
      </w:numPr>
      <w:spacing w:before="120" w:after="60" w:line="264" w:lineRule="auto"/>
    </w:pPr>
    <w:rPr>
      <w:rFonts w:eastAsia="Times New Roman" w:cs="Times New Roman"/>
      <w:sz w:val="22"/>
      <w:szCs w:val="24"/>
    </w:rPr>
  </w:style>
  <w:style w:type="paragraph" w:styleId="ListNumber5">
    <w:name w:val="List Number 5"/>
    <w:basedOn w:val="Normal"/>
    <w:rsid w:val="00AF3B54"/>
    <w:pPr>
      <w:numPr>
        <w:ilvl w:val="4"/>
        <w:numId w:val="10"/>
      </w:numPr>
      <w:spacing w:before="120" w:after="60" w:line="264" w:lineRule="auto"/>
    </w:pPr>
    <w:rPr>
      <w:rFonts w:eastAsia="Times New Roman" w:cs="Times New Roman"/>
      <w:sz w:val="22"/>
      <w:szCs w:val="24"/>
    </w:rPr>
  </w:style>
  <w:style w:type="paragraph" w:styleId="TOC3">
    <w:name w:val="toc 3"/>
    <w:basedOn w:val="Normal"/>
    <w:next w:val="Normal"/>
    <w:uiPriority w:val="39"/>
    <w:rsid w:val="00AF3B54"/>
    <w:pPr>
      <w:tabs>
        <w:tab w:val="right" w:pos="9639"/>
      </w:tabs>
      <w:spacing w:before="60" w:after="60" w:line="264" w:lineRule="auto"/>
      <w:ind w:left="340"/>
    </w:pPr>
    <w:rPr>
      <w:rFonts w:eastAsia="Times New Roman" w:cs="Times New Roman"/>
      <w:sz w:val="22"/>
      <w:szCs w:val="24"/>
    </w:rPr>
  </w:style>
  <w:style w:type="table" w:customStyle="1" w:styleId="Table-Blue">
    <w:name w:val="Table - Blue"/>
    <w:basedOn w:val="TableNormal"/>
    <w:rsid w:val="00AF3B54"/>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AF3B54"/>
    <w:pPr>
      <w:tabs>
        <w:tab w:val="clear" w:pos="4513"/>
        <w:tab w:val="clear" w:pos="9026"/>
        <w:tab w:val="right" w:pos="14572"/>
      </w:tabs>
      <w:spacing w:after="60" w:line="264" w:lineRule="auto"/>
    </w:pPr>
    <w:rPr>
      <w:rFonts w:eastAsia="Times New Roman" w:cs="Times New Roman"/>
      <w:sz w:val="18"/>
      <w:szCs w:val="24"/>
    </w:rPr>
  </w:style>
  <w:style w:type="character" w:styleId="FollowedHyperlink">
    <w:name w:val="FollowedHyperlink"/>
    <w:rsid w:val="00AF3B54"/>
    <w:rPr>
      <w:color w:val="800080"/>
      <w:u w:val="single"/>
    </w:rPr>
  </w:style>
  <w:style w:type="table" w:customStyle="1" w:styleId="Table-LowInk">
    <w:name w:val="Table - Low Ink"/>
    <w:basedOn w:val="TableNormal"/>
    <w:rsid w:val="00AF3B54"/>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AF3B54"/>
    <w:pPr>
      <w:spacing w:before="20" w:after="20" w:line="264" w:lineRule="auto"/>
    </w:pPr>
    <w:rPr>
      <w:rFonts w:eastAsia="Times New Roman" w:cs="Times New Roman"/>
      <w:szCs w:val="20"/>
    </w:rPr>
  </w:style>
  <w:style w:type="paragraph" w:customStyle="1" w:styleId="Tableheadings">
    <w:name w:val="Table headings"/>
    <w:basedOn w:val="Normal"/>
    <w:rsid w:val="00AF3B54"/>
    <w:pPr>
      <w:spacing w:after="0" w:line="264" w:lineRule="auto"/>
    </w:pPr>
    <w:rPr>
      <w:rFonts w:eastAsia="Times New Roman" w:cs="Times New Roman"/>
      <w:b/>
      <w:bCs/>
      <w:color w:val="FFFFFF"/>
      <w:sz w:val="24"/>
      <w:szCs w:val="20"/>
    </w:rPr>
  </w:style>
  <w:style w:type="numbering" w:styleId="111111">
    <w:name w:val="Outline List 2"/>
    <w:basedOn w:val="NoList"/>
    <w:rsid w:val="00AF3B54"/>
    <w:pPr>
      <w:numPr>
        <w:numId w:val="12"/>
      </w:numPr>
    </w:pPr>
  </w:style>
  <w:style w:type="paragraph" w:styleId="FootnoteText">
    <w:name w:val="footnote text"/>
    <w:basedOn w:val="Normal"/>
    <w:link w:val="FootnoteTextChar"/>
    <w:rsid w:val="00AF3B54"/>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AF3B54"/>
    <w:rPr>
      <w:rFonts w:ascii="Arial" w:eastAsia="Times New Roman" w:hAnsi="Arial" w:cs="Times New Roman"/>
      <w:sz w:val="18"/>
      <w:szCs w:val="20"/>
    </w:rPr>
  </w:style>
  <w:style w:type="character" w:styleId="FootnoteReference">
    <w:name w:val="footnote reference"/>
    <w:rsid w:val="00AF3B54"/>
    <w:rPr>
      <w:vertAlign w:val="superscript"/>
    </w:rPr>
  </w:style>
  <w:style w:type="character" w:customStyle="1" w:styleId="ReferencesChar">
    <w:name w:val="References Char"/>
    <w:link w:val="References"/>
    <w:rsid w:val="00AF3B54"/>
    <w:rPr>
      <w:rFonts w:ascii="Arial" w:eastAsia="Times New Roman" w:hAnsi="Arial" w:cs="Times New Roman"/>
      <w:sz w:val="18"/>
      <w:szCs w:val="20"/>
      <w:lang w:eastAsia="en-AU"/>
    </w:rPr>
  </w:style>
  <w:style w:type="paragraph" w:customStyle="1" w:styleId="Serviceareaname16pt">
    <w:name w:val="Service area name 16pt"/>
    <w:basedOn w:val="Normal"/>
    <w:rsid w:val="00AF3B54"/>
    <w:pPr>
      <w:spacing w:after="60" w:line="264" w:lineRule="auto"/>
      <w:jc w:val="right"/>
    </w:pPr>
    <w:rPr>
      <w:rFonts w:eastAsia="Times New Roman" w:cs="Times New Roman"/>
      <w:color w:val="003E69"/>
      <w:sz w:val="22"/>
      <w:szCs w:val="32"/>
    </w:rPr>
  </w:style>
  <w:style w:type="paragraph" w:styleId="TOCHeading">
    <w:name w:val="TOC Heading"/>
    <w:basedOn w:val="Heading1"/>
    <w:next w:val="Normal"/>
    <w:autoRedefine/>
    <w:uiPriority w:val="39"/>
    <w:unhideWhenUsed/>
    <w:qFormat/>
    <w:rsid w:val="00AF3B54"/>
    <w:pPr>
      <w:spacing w:before="240" w:after="0" w:line="259" w:lineRule="auto"/>
      <w:outlineLvl w:val="9"/>
    </w:pPr>
    <w:rPr>
      <w:rFonts w:eastAsia="Times New Roman" w:cs="Times New Roman"/>
      <w:color w:val="A70240"/>
      <w:sz w:val="36"/>
      <w:lang w:val="en-US"/>
    </w:rPr>
  </w:style>
  <w:style w:type="paragraph" w:customStyle="1" w:styleId="Introparagraph">
    <w:name w:val="Intro paragraph"/>
    <w:basedOn w:val="Normal"/>
    <w:link w:val="IntroparagraphChar"/>
    <w:qFormat/>
    <w:rsid w:val="00AF3B54"/>
    <w:pPr>
      <w:suppressAutoHyphens/>
      <w:autoSpaceDE w:val="0"/>
      <w:autoSpaceDN w:val="0"/>
      <w:adjustRightInd w:val="0"/>
      <w:spacing w:before="200" w:after="0" w:line="288" w:lineRule="auto"/>
      <w:textAlignment w:val="center"/>
    </w:pPr>
    <w:rPr>
      <w:rFonts w:eastAsia="Times New Roman" w:cs="Arial"/>
      <w:color w:val="0083C8"/>
      <w:sz w:val="32"/>
      <w:szCs w:val="32"/>
      <w:lang w:val="en-US" w:eastAsia="en-AU"/>
    </w:rPr>
  </w:style>
  <w:style w:type="character" w:customStyle="1" w:styleId="IntroparagraphChar">
    <w:name w:val="Intro paragraph Char"/>
    <w:link w:val="Introparagraph"/>
    <w:rsid w:val="00AF3B54"/>
    <w:rPr>
      <w:rFonts w:ascii="Arial" w:eastAsia="Times New Roman" w:hAnsi="Arial" w:cs="Arial"/>
      <w:color w:val="0083C8"/>
      <w:sz w:val="32"/>
      <w:szCs w:val="32"/>
      <w:lang w:val="en-US" w:eastAsia="en-AU"/>
    </w:rPr>
  </w:style>
  <w:style w:type="paragraph" w:customStyle="1" w:styleId="Default">
    <w:name w:val="Default"/>
    <w:link w:val="DefaultChar"/>
    <w:rsid w:val="00AF3B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rsid w:val="00AF3B54"/>
    <w:rPr>
      <w:rFonts w:ascii="Times New Roman" w:eastAsia="Times New Roman" w:hAnsi="Times New Roman" w:cs="Times New Roman"/>
      <w:color w:val="000000"/>
      <w:sz w:val="24"/>
      <w:szCs w:val="24"/>
      <w:lang w:val="en-US"/>
    </w:rPr>
  </w:style>
  <w:style w:type="character" w:styleId="CommentReference">
    <w:name w:val="annotation reference"/>
    <w:rsid w:val="00AF3B54"/>
    <w:rPr>
      <w:sz w:val="16"/>
      <w:szCs w:val="16"/>
    </w:rPr>
  </w:style>
  <w:style w:type="paragraph" w:styleId="CommentText">
    <w:name w:val="annotation text"/>
    <w:basedOn w:val="Normal"/>
    <w:link w:val="CommentTextChar"/>
    <w:rsid w:val="00AF3B54"/>
    <w:pPr>
      <w:spacing w:before="180" w:after="60" w:line="264" w:lineRule="auto"/>
    </w:pPr>
    <w:rPr>
      <w:rFonts w:eastAsia="Times New Roman" w:cs="Times New Roman"/>
      <w:szCs w:val="20"/>
    </w:rPr>
  </w:style>
  <w:style w:type="character" w:customStyle="1" w:styleId="CommentTextChar">
    <w:name w:val="Comment Text Char"/>
    <w:basedOn w:val="DefaultParagraphFont"/>
    <w:link w:val="CommentText"/>
    <w:rsid w:val="00AF3B54"/>
    <w:rPr>
      <w:rFonts w:ascii="Arial" w:eastAsia="Times New Roman" w:hAnsi="Arial" w:cs="Times New Roman"/>
      <w:sz w:val="20"/>
      <w:szCs w:val="20"/>
    </w:rPr>
  </w:style>
  <w:style w:type="paragraph" w:customStyle="1" w:styleId="Bullet1">
    <w:name w:val="Bullet 1"/>
    <w:basedOn w:val="Normal"/>
    <w:rsid w:val="00AF3B54"/>
    <w:pPr>
      <w:numPr>
        <w:numId w:val="13"/>
      </w:numPr>
      <w:spacing w:before="120" w:after="0" w:line="240" w:lineRule="auto"/>
    </w:pPr>
    <w:rPr>
      <w:rFonts w:eastAsia="Times New Roman" w:cs="Times New Roman"/>
      <w:sz w:val="19"/>
      <w:szCs w:val="24"/>
    </w:rPr>
  </w:style>
  <w:style w:type="paragraph" w:customStyle="1" w:styleId="Dotpoints">
    <w:name w:val="Dot points"/>
    <w:basedOn w:val="Bullet1"/>
    <w:link w:val="DotpointsChar"/>
    <w:qFormat/>
    <w:rsid w:val="00AF3B54"/>
  </w:style>
  <w:style w:type="character" w:customStyle="1" w:styleId="DotpointsChar">
    <w:name w:val="Dot points Char"/>
    <w:link w:val="Dotpoints"/>
    <w:rsid w:val="00AF3B54"/>
    <w:rPr>
      <w:rFonts w:ascii="Arial" w:eastAsia="Times New Roman" w:hAnsi="Arial" w:cs="Times New Roman"/>
      <w:sz w:val="19"/>
      <w:szCs w:val="24"/>
    </w:rPr>
  </w:style>
  <w:style w:type="paragraph" w:styleId="BodyText">
    <w:name w:val="Body Text"/>
    <w:basedOn w:val="Normal"/>
    <w:link w:val="BodyTextChar"/>
    <w:rsid w:val="00AF3B54"/>
    <w:pPr>
      <w:spacing w:after="0" w:line="300" w:lineRule="atLeast"/>
    </w:pPr>
    <w:rPr>
      <w:rFonts w:eastAsia="Times New Roman" w:cs="Times New Roman"/>
      <w:sz w:val="24"/>
      <w:szCs w:val="24"/>
    </w:rPr>
  </w:style>
  <w:style w:type="character" w:customStyle="1" w:styleId="BodyTextChar">
    <w:name w:val="Body Text Char"/>
    <w:basedOn w:val="DefaultParagraphFont"/>
    <w:link w:val="BodyText"/>
    <w:rsid w:val="00AF3B54"/>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AF3B54"/>
    <w:pPr>
      <w:spacing w:line="240" w:lineRule="auto"/>
    </w:pPr>
    <w:rPr>
      <w:b/>
      <w:bCs/>
    </w:rPr>
  </w:style>
  <w:style w:type="character" w:customStyle="1" w:styleId="CommentSubjectChar">
    <w:name w:val="Comment Subject Char"/>
    <w:basedOn w:val="CommentTextChar"/>
    <w:link w:val="CommentSubject"/>
    <w:rsid w:val="00AF3B54"/>
    <w:rPr>
      <w:rFonts w:ascii="Arial" w:eastAsia="Times New Roman" w:hAnsi="Arial" w:cs="Times New Roman"/>
      <w:b/>
      <w:bCs/>
      <w:sz w:val="20"/>
      <w:szCs w:val="20"/>
    </w:rPr>
  </w:style>
  <w:style w:type="paragraph" w:customStyle="1" w:styleId="Pa7">
    <w:name w:val="Pa7"/>
    <w:basedOn w:val="Default"/>
    <w:next w:val="Default"/>
    <w:uiPriority w:val="99"/>
    <w:rsid w:val="00AF3B54"/>
    <w:pPr>
      <w:spacing w:line="191" w:lineRule="atLeast"/>
    </w:pPr>
    <w:rPr>
      <w:rFonts w:ascii="MetaBoldLF-Roman" w:hAnsi="MetaBoldLF-Roman"/>
      <w:color w:val="auto"/>
      <w:lang w:val="en-AU" w:eastAsia="en-AU"/>
    </w:rPr>
  </w:style>
  <w:style w:type="paragraph" w:customStyle="1" w:styleId="Pa2">
    <w:name w:val="Pa2"/>
    <w:basedOn w:val="Default"/>
    <w:next w:val="Default"/>
    <w:uiPriority w:val="99"/>
    <w:rsid w:val="00AF3B54"/>
    <w:pPr>
      <w:spacing w:line="191" w:lineRule="atLeast"/>
    </w:pPr>
    <w:rPr>
      <w:rFonts w:ascii="ZWHNB S+ Meta Normal" w:hAnsi="ZWHNB S+ Meta Normal"/>
      <w:color w:val="auto"/>
      <w:lang w:val="en-AU" w:eastAsia="en-AU"/>
    </w:rPr>
  </w:style>
  <w:style w:type="paragraph" w:styleId="NoSpacing">
    <w:name w:val="No Spacing"/>
    <w:link w:val="NoSpacingChar"/>
    <w:uiPriority w:val="1"/>
    <w:qFormat/>
    <w:rsid w:val="00AF3B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F3B54"/>
    <w:rPr>
      <w:rFonts w:eastAsiaTheme="minorEastAsia"/>
      <w:lang w:val="en-US"/>
    </w:rPr>
  </w:style>
  <w:style w:type="paragraph" w:styleId="Revision">
    <w:name w:val="Revision"/>
    <w:hidden/>
    <w:uiPriority w:val="99"/>
    <w:semiHidden/>
    <w:rsid w:val="00AF3B54"/>
    <w:pPr>
      <w:spacing w:after="0" w:line="240" w:lineRule="auto"/>
    </w:pPr>
    <w:rPr>
      <w:rFonts w:ascii="Arial" w:eastAsia="Times New Roman" w:hAnsi="Arial" w:cs="Times New Roman"/>
      <w:szCs w:val="24"/>
    </w:rPr>
  </w:style>
  <w:style w:type="character" w:customStyle="1" w:styleId="A4">
    <w:name w:val="A4"/>
    <w:uiPriority w:val="99"/>
    <w:rsid w:val="00AF3B54"/>
    <w:rPr>
      <w:rFonts w:cs="HelveticaNeueLT Std Cn"/>
      <w:color w:val="000000"/>
      <w:sz w:val="16"/>
      <w:szCs w:val="16"/>
    </w:rPr>
  </w:style>
  <w:style w:type="paragraph" w:styleId="NormalWeb">
    <w:name w:val="Normal (Web)"/>
    <w:basedOn w:val="Normal"/>
    <w:uiPriority w:val="99"/>
    <w:unhideWhenUsed/>
    <w:rsid w:val="00AF3B54"/>
    <w:pPr>
      <w:spacing w:before="240" w:after="240" w:line="240" w:lineRule="auto"/>
    </w:pPr>
    <w:rPr>
      <w:rFonts w:ascii="Times New Roman" w:eastAsia="Times New Roman" w:hAnsi="Times New Roman" w:cs="Times New Roman"/>
      <w:sz w:val="24"/>
      <w:szCs w:val="24"/>
      <w:lang w:eastAsia="en-AU"/>
    </w:rPr>
  </w:style>
  <w:style w:type="paragraph" w:customStyle="1" w:styleId="purchasingtitle">
    <w:name w:val="purchasing title"/>
    <w:basedOn w:val="Normal"/>
    <w:uiPriority w:val="99"/>
    <w:rsid w:val="00AF3B54"/>
    <w:pPr>
      <w:widowControl w:val="0"/>
      <w:suppressAutoHyphens/>
      <w:autoSpaceDE w:val="0"/>
      <w:autoSpaceDN w:val="0"/>
      <w:adjustRightInd w:val="0"/>
      <w:spacing w:before="170" w:after="28" w:line="280" w:lineRule="atLeast"/>
    </w:pPr>
    <w:rPr>
      <w:rFonts w:ascii="HelveticaNeue-Bold" w:eastAsia="Cambria" w:hAnsi="HelveticaNeue-Bold" w:cs="HelveticaNeue-Bold"/>
      <w:b/>
      <w:bCs/>
      <w:color w:val="725D8C"/>
      <w:sz w:val="24"/>
      <w:szCs w:val="24"/>
      <w:lang w:val="en-GB"/>
    </w:rPr>
  </w:style>
  <w:style w:type="paragraph" w:customStyle="1" w:styleId="NormalHeader1">
    <w:name w:val="Normal (Header 1)"/>
    <w:basedOn w:val="Normal"/>
    <w:link w:val="NormalHeader1Char"/>
    <w:rsid w:val="00AF3B54"/>
    <w:pPr>
      <w:overflowPunct w:val="0"/>
      <w:autoSpaceDE w:val="0"/>
      <w:autoSpaceDN w:val="0"/>
      <w:adjustRightInd w:val="0"/>
      <w:spacing w:before="80" w:after="0" w:line="240" w:lineRule="auto"/>
      <w:ind w:left="567"/>
      <w:jc w:val="both"/>
      <w:textAlignment w:val="baseline"/>
    </w:pPr>
    <w:rPr>
      <w:rFonts w:eastAsia="Times New Roman" w:cs="Times New Roman"/>
      <w:sz w:val="22"/>
    </w:rPr>
  </w:style>
  <w:style w:type="character" w:customStyle="1" w:styleId="NormalHeader1Char">
    <w:name w:val="Normal (Header 1) Char"/>
    <w:link w:val="NormalHeader1"/>
    <w:rsid w:val="00AF3B54"/>
    <w:rPr>
      <w:rFonts w:ascii="Arial" w:eastAsia="Times New Roman" w:hAnsi="Arial" w:cs="Times New Roman"/>
    </w:rPr>
  </w:style>
  <w:style w:type="paragraph" w:customStyle="1" w:styleId="TableText0">
    <w:name w:val="Table Text"/>
    <w:basedOn w:val="Normal"/>
    <w:rsid w:val="00AF3B54"/>
    <w:pPr>
      <w:spacing w:before="60" w:after="0" w:line="240" w:lineRule="auto"/>
    </w:pPr>
    <w:rPr>
      <w:rFonts w:eastAsia="Times New Roman" w:cs="Arial"/>
      <w:sz w:val="22"/>
      <w:szCs w:val="20"/>
    </w:rPr>
  </w:style>
  <w:style w:type="character" w:customStyle="1" w:styleId="UnresolvedMention1">
    <w:name w:val="Unresolved Mention1"/>
    <w:basedOn w:val="DefaultParagraphFont"/>
    <w:uiPriority w:val="99"/>
    <w:semiHidden/>
    <w:unhideWhenUsed/>
    <w:rsid w:val="00AF3B54"/>
    <w:rPr>
      <w:color w:val="808080"/>
      <w:shd w:val="clear" w:color="auto" w:fill="E6E6E6"/>
    </w:rPr>
  </w:style>
  <w:style w:type="paragraph" w:customStyle="1" w:styleId="Pa1">
    <w:name w:val="Pa1"/>
    <w:basedOn w:val="Default"/>
    <w:next w:val="Default"/>
    <w:uiPriority w:val="99"/>
    <w:rsid w:val="00AF3B54"/>
    <w:pPr>
      <w:spacing w:line="197" w:lineRule="atLeast"/>
    </w:pPr>
    <w:rPr>
      <w:rFonts w:ascii="MetaNormalLF-Roman" w:hAnsi="MetaNormalLF-Roman"/>
      <w:color w:val="auto"/>
      <w:lang w:val="en-AU" w:eastAsia="en-AU"/>
    </w:rPr>
  </w:style>
  <w:style w:type="paragraph" w:customStyle="1" w:styleId="Pa18">
    <w:name w:val="Pa18"/>
    <w:basedOn w:val="Default"/>
    <w:next w:val="Default"/>
    <w:uiPriority w:val="99"/>
    <w:rsid w:val="00AF3B54"/>
    <w:pPr>
      <w:spacing w:line="197" w:lineRule="atLeast"/>
    </w:pPr>
    <w:rPr>
      <w:rFonts w:ascii="MetaNormalLF-Roman" w:hAnsi="MetaNormalLF-Roman"/>
      <w:color w:val="auto"/>
      <w:lang w:val="en-AU" w:eastAsia="en-AU"/>
    </w:rPr>
  </w:style>
  <w:style w:type="paragraph" w:customStyle="1" w:styleId="Pa12">
    <w:name w:val="Pa12"/>
    <w:basedOn w:val="Default"/>
    <w:next w:val="Default"/>
    <w:uiPriority w:val="99"/>
    <w:rsid w:val="00AF3B54"/>
    <w:pPr>
      <w:spacing w:line="197" w:lineRule="atLeast"/>
    </w:pPr>
    <w:rPr>
      <w:rFonts w:ascii="MetaNormalLF-Roman" w:hAnsi="MetaNormalLF-Roman"/>
      <w:color w:val="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deed.en" TargetMode="External"/><Relationship Id="rId18" Type="http://schemas.openxmlformats.org/officeDocument/2006/relationships/hyperlink" Target="http://www.hpw.qld.gov.au/SiteCollectionDocuments/ProcurementGuideIntegratingSustainability.pdf" TargetMode="External"/><Relationship Id="rId26" Type="http://schemas.openxmlformats.org/officeDocument/2006/relationships/hyperlink" Target="http://qcd.govnet.qld.gov.au/Pages/Home.aspx" TargetMode="External"/><Relationship Id="rId21" Type="http://schemas.openxmlformats.org/officeDocument/2006/relationships/hyperlink" Target="http://qcd.govnet.qld.gov.au/Pages/Home.aspx"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hpw.qld.gov.au/SiteCollectionDocuments/LocalBenefitsTest.pdf" TargetMode="External"/><Relationship Id="rId25" Type="http://schemas.openxmlformats.org/officeDocument/2006/relationships/hyperlink" Target="http://www.hpw.qld.gov.au/SiteCollectionDocuments/ProbityIntegrityProcurement.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sdsatsip.qld.gov.au" TargetMode="External"/><Relationship Id="rId20" Type="http://schemas.openxmlformats.org/officeDocument/2006/relationships/hyperlink" Target="http://www.hpw.qld.gov.au/SiteCollectionDocuments/ValueRiskMatrixFactSheet.pdf" TargetMode="External"/><Relationship Id="rId29" Type="http://schemas.openxmlformats.org/officeDocument/2006/relationships/hyperlink" Target="http://www.hpw.qld.gov.au/SiteCollectionDocuments/OneGovernmentContractManagementFramework.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hpw.qld.gov.au/SiteCollectionDocuments/LocalBenefitsTest.pdf" TargetMode="External"/><Relationship Id="rId23" Type="http://schemas.openxmlformats.org/officeDocument/2006/relationships/hyperlink" Target="https://www.forgov.qld.gov.au/consider-social-procurement" TargetMode="External"/><Relationship Id="rId28" Type="http://schemas.openxmlformats.org/officeDocument/2006/relationships/hyperlink" Target="http://www.hpw.qld.gov.au/SiteCollectionDocuments/ProcurementGuideEvaluatingOffers.pdf" TargetMode="External"/><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www.businessdictionary.com/definition/social-justice.html" TargetMode="External"/><Relationship Id="rId31" Type="http://schemas.openxmlformats.org/officeDocument/2006/relationships/hyperlink" Target="https://www.forgov.qld.gov.au/procur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terprocurement@epw.qld.gov.au" TargetMode="External"/><Relationship Id="rId22" Type="http://schemas.openxmlformats.org/officeDocument/2006/relationships/hyperlink" Target="http://www.hpw.qld.gov.au/SiteCollectionDocuments/OpportunitiesLocalSuppliers.pdf" TargetMode="External"/><Relationship Id="rId27" Type="http://schemas.openxmlformats.org/officeDocument/2006/relationships/hyperlink" Target="http://www.hpw.qld.gov.au/SiteCollectionDocuments/LocalBenefitsTest.pdf" TargetMode="External"/><Relationship Id="rId30" Type="http://schemas.openxmlformats.org/officeDocument/2006/relationships/hyperlink" Target="https://www.forgov.qld.gov.au/procurement"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hpw.qld.gov.au/SiteCollectionDocuments/OneGovernmentContractManagementFramework.pdf" TargetMode="External"/><Relationship Id="rId1" Type="http://schemas.openxmlformats.org/officeDocument/2006/relationships/hyperlink" Target="http://www.hpw.qld.gov.au/SiteCollectionDocuments/ProcurementGuideEvaluatingOffer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BA81E14B948E4869F40BDA51A39BE"/>
        <w:category>
          <w:name w:val="General"/>
          <w:gallery w:val="placeholder"/>
        </w:category>
        <w:types>
          <w:type w:val="bbPlcHdr"/>
        </w:types>
        <w:behaviors>
          <w:behavior w:val="content"/>
        </w:behaviors>
        <w:guid w:val="{4EB60580-1C12-42AD-A5C0-63A5B13F83F2}"/>
      </w:docPartPr>
      <w:docPartBody>
        <w:p w:rsidR="000E0BDC" w:rsidRDefault="00D0469A" w:rsidP="00D0469A">
          <w:pPr>
            <w:pStyle w:val="4D0BA81E14B948E4869F40BDA51A39BE"/>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BoldLF-Roman">
    <w:altName w:val="Cambria"/>
    <w:panose1 w:val="00000000000000000000"/>
    <w:charset w:val="00"/>
    <w:family w:val="roman"/>
    <w:notTrueType/>
    <w:pitch w:val="default"/>
    <w:sig w:usb0="00000003" w:usb1="00000000" w:usb2="00000000" w:usb3="00000000" w:csb0="00000001" w:csb1="00000000"/>
  </w:font>
  <w:font w:name="ZWHNB S+ Meta Normal">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taNormalLF-Roman">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BDC"/>
    <w:rsid w:val="00122C62"/>
    <w:rsid w:val="00763EB4"/>
    <w:rsid w:val="00A9401E"/>
    <w:rsid w:val="00C90D56"/>
    <w:rsid w:val="00D0469A"/>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A81E14B948E4869F40BDA51A39BE">
    <w:name w:val="4D0BA81E14B948E4869F40BDA51A39BE"/>
    <w:rsid w:val="00D0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TaxCatchAll xmlns="5e736d6a-2fd5-4515-adff-8bd02882a63e" xsi:nil="true"/>
    <MCreviewed xmlns="5192d726-1e32-44e8-9081-c03320601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97F6E-75BC-4213-A608-731A19E68CED}">
  <ds:schemaRefs>
    <ds:schemaRef ds:uri="http://purl.org/dc/elements/1.1/"/>
    <ds:schemaRef ds:uri="http://schemas.microsoft.com/office/2006/metadata/properties"/>
    <ds:schemaRef ds:uri="http://schemas.microsoft.com/office/infopath/2007/PartnerControls"/>
    <ds:schemaRef ds:uri="5e736d6a-2fd5-4515-adff-8bd02882a63e"/>
    <ds:schemaRef ds:uri="http://purl.org/dc/terms/"/>
    <ds:schemaRef ds:uri="http://schemas.microsoft.com/office/2006/documentManagement/types"/>
    <ds:schemaRef ds:uri="http://purl.org/dc/dcmitype/"/>
    <ds:schemaRef ds:uri="http://schemas.openxmlformats.org/package/2006/metadata/core-properties"/>
    <ds:schemaRef ds:uri="5192d726-1e32-44e8-9081-c03320601323"/>
    <ds:schemaRef ds:uri="http://www.w3.org/XML/1998/namespace"/>
  </ds:schemaRefs>
</ds:datastoreItem>
</file>

<file path=customXml/itemProps2.xml><?xml version="1.0" encoding="utf-8"?>
<ds:datastoreItem xmlns:ds="http://schemas.openxmlformats.org/officeDocument/2006/customXml" ds:itemID="{1B03E1F8-6476-4287-8459-8E7979D0AE7A}">
  <ds:schemaRefs>
    <ds:schemaRef ds:uri="http://schemas.microsoft.com/sharepoint/v3/contenttype/forms"/>
  </ds:schemaRefs>
</ds:datastoreItem>
</file>

<file path=customXml/itemProps3.xml><?xml version="1.0" encoding="utf-8"?>
<ds:datastoreItem xmlns:ds="http://schemas.openxmlformats.org/officeDocument/2006/customXml" ds:itemID="{D07C3B7E-E3F5-457B-AD2A-53F7CF3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6396</Words>
  <Characters>36460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Putting Queenslanders first when securing value for money</vt:lpstr>
    </vt:vector>
  </TitlesOfParts>
  <Company>Department of Housing and Public Works</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Putting Queenslanders first when securing value for money</dc:title>
  <dc:subject/>
  <dc:creator>Department of Housing and Public Works</dc:creator>
  <cp:keywords>template, document, cover, A4</cp:keywords>
  <dc:description>A4 portrait template for HPW documents</dc:description>
  <cp:lastModifiedBy>Phil Vu</cp:lastModifiedBy>
  <cp:revision>2</cp:revision>
  <cp:lastPrinted>2023-05-22T21:40:00Z</cp:lastPrinted>
  <dcterms:created xsi:type="dcterms:W3CDTF">2023-05-30T04:10:00Z</dcterms:created>
  <dcterms:modified xsi:type="dcterms:W3CDTF">2023-05-30T04:10:00Z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0x01010080962A190474894FA2824AB778B15E85</vt:lpwstr>
  </property>
</Properties>
</file>