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81284" w14:textId="3E01817D" w:rsidR="00F752DB" w:rsidRDefault="007927EC">
      <w:r w:rsidRPr="007927EC">
        <w:rPr>
          <w:noProof/>
        </w:rPr>
        <w:drawing>
          <wp:anchor distT="0" distB="0" distL="114300" distR="114300" simplePos="0" relativeHeight="251660288" behindDoc="1" locked="1" layoutInCell="1" allowOverlap="1" wp14:anchorId="48456FC3" wp14:editId="208E1879">
            <wp:simplePos x="0" y="0"/>
            <wp:positionH relativeFrom="leftMargin">
              <wp:posOffset>344170</wp:posOffset>
            </wp:positionH>
            <wp:positionV relativeFrom="margin">
              <wp:align>bottom</wp:align>
            </wp:positionV>
            <wp:extent cx="527050" cy="9702800"/>
            <wp:effectExtent l="0" t="0" r="635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27050" cy="970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56FB6" w14:textId="6AA8A7AA" w:rsidR="00701011" w:rsidRDefault="00701011" w:rsidP="000140F8">
      <w:pPr>
        <w:pStyle w:val="Title"/>
      </w:pPr>
    </w:p>
    <w:p w14:paraId="19E8F2D1" w14:textId="4CCC0B52" w:rsidR="00701011" w:rsidRDefault="00701011" w:rsidP="000140F8">
      <w:pPr>
        <w:pStyle w:val="Title"/>
      </w:pPr>
    </w:p>
    <w:p w14:paraId="67F71F95" w14:textId="50DC60E2" w:rsidR="00701011" w:rsidRDefault="00701011" w:rsidP="000140F8">
      <w:pPr>
        <w:pStyle w:val="Title"/>
      </w:pPr>
    </w:p>
    <w:p w14:paraId="65B992EF" w14:textId="77777777" w:rsidR="00701011" w:rsidRDefault="00701011" w:rsidP="000140F8">
      <w:pPr>
        <w:pStyle w:val="Title"/>
      </w:pPr>
    </w:p>
    <w:p w14:paraId="130E85FF" w14:textId="4578DE76" w:rsidR="00701011" w:rsidRPr="000C2896" w:rsidRDefault="00136F3A" w:rsidP="00F905BC">
      <w:pPr>
        <w:pStyle w:val="Title"/>
        <w:ind w:left="851"/>
        <w:rPr>
          <w:color w:val="A91D37"/>
          <w:sz w:val="64"/>
          <w:szCs w:val="64"/>
        </w:rPr>
      </w:pPr>
      <w:r>
        <w:rPr>
          <w:color w:val="A91D37"/>
          <w:sz w:val="64"/>
          <w:szCs w:val="64"/>
        </w:rPr>
        <w:t>Optimising opportunities for local suppliers</w:t>
      </w:r>
    </w:p>
    <w:p w14:paraId="67E5D62E" w14:textId="6EB8485D" w:rsidR="00607EAC" w:rsidRDefault="00136F3A" w:rsidP="001E7E00">
      <w:pPr>
        <w:pStyle w:val="Subtitle"/>
        <w:ind w:left="851"/>
        <w:rPr>
          <w:color w:val="373636"/>
        </w:rPr>
      </w:pPr>
      <w:r>
        <w:rPr>
          <w:color w:val="373636"/>
        </w:rPr>
        <w:t>Queensland Government Procurement</w:t>
      </w:r>
    </w:p>
    <w:p w14:paraId="62B1A47A" w14:textId="22D3A038" w:rsidR="00F752DB" w:rsidRPr="00607EAC" w:rsidRDefault="008C7CAB" w:rsidP="001E7E00">
      <w:pPr>
        <w:pStyle w:val="Subtitle"/>
        <w:ind w:left="851"/>
        <w:rPr>
          <w:color w:val="B21936"/>
          <w:sz w:val="24"/>
          <w:szCs w:val="24"/>
        </w:rPr>
      </w:pPr>
      <w:r>
        <w:rPr>
          <w:rFonts w:ascii="Times New Roman" w:hAnsi="Times New Roman"/>
          <w:noProof/>
          <w:sz w:val="24"/>
          <w:lang w:eastAsia="en-AU"/>
        </w:rPr>
        <mc:AlternateContent>
          <mc:Choice Requires="wps">
            <w:drawing>
              <wp:anchor distT="0" distB="0" distL="114300" distR="114300" simplePos="0" relativeHeight="251664384" behindDoc="0" locked="0" layoutInCell="1" allowOverlap="1" wp14:anchorId="093FD1A4" wp14:editId="1EF86923">
                <wp:simplePos x="0" y="0"/>
                <wp:positionH relativeFrom="margin">
                  <wp:posOffset>580391</wp:posOffset>
                </wp:positionH>
                <wp:positionV relativeFrom="paragraph">
                  <wp:posOffset>43180</wp:posOffset>
                </wp:positionV>
                <wp:extent cx="3524250" cy="6191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524250" cy="619125"/>
                        </a:xfrm>
                        <a:prstGeom prst="rect">
                          <a:avLst/>
                        </a:prstGeom>
                        <a:solidFill>
                          <a:srgbClr val="FFFF69"/>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705A2DC2" w14:textId="77777777" w:rsidR="008C7CAB" w:rsidRDefault="008C7CAB" w:rsidP="008C7CAB">
                            <w:r>
                              <w:t>This document will be progressively reviewed as part of Buy Queensland 2023 implementation.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FD1A4" id="Rectangle 2" o:spid="_x0000_s1026" style="position:absolute;left:0;text-align:left;margin-left:45.7pt;margin-top:3.4pt;width:277.5pt;height:48.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" fillcolor="#ffff69" strokecolor="#0d0d0d [3069]" strokeweight="1pt">
                <v:textbox>
                  <w:txbxContent>
                    <w:p w14:paraId="705A2DC2" w14:textId="77777777" w:rsidR="008C7CAB" w:rsidRDefault="008C7CAB" w:rsidP="008C7CAB">
                      <w:r>
                        <w:t>This document will be progressively reviewed as part of Buy Queensland 2023 implementation.</w:t>
                      </w:r>
                    </w:p>
                  </w:txbxContent>
                </v:textbox>
                <w10:wrap anchorx="margin"/>
              </v:rect>
            </w:pict>
          </mc:Fallback>
        </mc:AlternateContent>
      </w:r>
      <w:r w:rsidR="007927EC" w:rsidRPr="007927EC">
        <w:rPr>
          <w:noProof/>
        </w:rPr>
        <w:drawing>
          <wp:anchor distT="0" distB="0" distL="114300" distR="114300" simplePos="0" relativeHeight="251659264" behindDoc="1" locked="1" layoutInCell="1" allowOverlap="1" wp14:anchorId="2284449B" wp14:editId="48C237F1">
            <wp:simplePos x="0" y="0"/>
            <wp:positionH relativeFrom="column">
              <wp:posOffset>3862475</wp:posOffset>
            </wp:positionH>
            <wp:positionV relativeFrom="page">
              <wp:posOffset>9287510</wp:posOffset>
            </wp:positionV>
            <wp:extent cx="2295525" cy="749300"/>
            <wp:effectExtent l="0" t="0" r="9525" b="0"/>
            <wp:wrapNone/>
            <wp:docPr id="20" name="Picture 20" descr="Queensland Govern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Logo "/>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29552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6F3A" w:rsidRPr="00607EAC">
        <w:rPr>
          <w:rStyle w:val="SubtleEmphasis"/>
          <w:color w:val="B21936"/>
          <w:sz w:val="24"/>
          <w:szCs w:val="24"/>
        </w:rPr>
        <w:t xml:space="preserve"> </w:t>
      </w:r>
      <w:r w:rsidR="00F752DB" w:rsidRPr="00607EAC">
        <w:rPr>
          <w:rStyle w:val="SubtleEmphasis"/>
          <w:color w:val="B21936"/>
          <w:sz w:val="24"/>
          <w:szCs w:val="24"/>
        </w:rPr>
        <w:br w:type="page"/>
      </w:r>
    </w:p>
    <w:p w14:paraId="5BF78534"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3171829F"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04AB62BA"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4EB03538"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0642DFAD"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600521CD"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42F90850"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0D17A232"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08316C88"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5DEB88D3"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305871D2"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1E8B82C8"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4C044554"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0A9119C1"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37386DCF"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500215CB"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6BE69E0B"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74398685" w14:textId="7CFC46DD"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75378F7B" w14:textId="6F8863FB" w:rsidR="004B4AE7" w:rsidRDefault="004B4AE7" w:rsidP="00136F3A">
      <w:pPr>
        <w:autoSpaceDE w:val="0"/>
        <w:autoSpaceDN w:val="0"/>
        <w:adjustRightInd w:val="0"/>
        <w:spacing w:after="0" w:line="240" w:lineRule="auto"/>
        <w:rPr>
          <w:rFonts w:cs="Arial"/>
          <w:b/>
          <w:bCs/>
          <w:i/>
          <w:color w:val="000000" w:themeColor="text1"/>
          <w:sz w:val="18"/>
          <w:szCs w:val="18"/>
          <w:lang w:eastAsia="en-AU"/>
        </w:rPr>
      </w:pPr>
    </w:p>
    <w:p w14:paraId="66E7C11B" w14:textId="77777777" w:rsidR="004B4AE7" w:rsidRDefault="004B4AE7" w:rsidP="00136F3A">
      <w:pPr>
        <w:autoSpaceDE w:val="0"/>
        <w:autoSpaceDN w:val="0"/>
        <w:adjustRightInd w:val="0"/>
        <w:spacing w:after="0" w:line="240" w:lineRule="auto"/>
        <w:rPr>
          <w:rFonts w:cs="Arial"/>
          <w:b/>
          <w:bCs/>
          <w:i/>
          <w:color w:val="000000" w:themeColor="text1"/>
          <w:sz w:val="18"/>
          <w:szCs w:val="18"/>
          <w:lang w:eastAsia="en-AU"/>
        </w:rPr>
      </w:pPr>
    </w:p>
    <w:p w14:paraId="0A0828B9"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3754C92B"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4EE3546B"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30E997D3"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15735A0F" w14:textId="77777777" w:rsidR="00136F3A" w:rsidRDefault="00136F3A" w:rsidP="00136F3A">
      <w:pPr>
        <w:autoSpaceDE w:val="0"/>
        <w:autoSpaceDN w:val="0"/>
        <w:adjustRightInd w:val="0"/>
        <w:spacing w:after="0" w:line="240" w:lineRule="auto"/>
        <w:rPr>
          <w:rFonts w:cs="Arial"/>
          <w:b/>
          <w:bCs/>
          <w:i/>
          <w:color w:val="000000" w:themeColor="text1"/>
          <w:sz w:val="18"/>
          <w:szCs w:val="18"/>
          <w:lang w:eastAsia="en-AU"/>
        </w:rPr>
      </w:pPr>
    </w:p>
    <w:p w14:paraId="51638300" w14:textId="224908DF" w:rsidR="00136F3A" w:rsidRDefault="00136F3A" w:rsidP="00136F3A">
      <w:pPr>
        <w:autoSpaceDE w:val="0"/>
        <w:autoSpaceDN w:val="0"/>
        <w:adjustRightInd w:val="0"/>
        <w:spacing w:after="0" w:line="240" w:lineRule="auto"/>
        <w:rPr>
          <w:rFonts w:cs="Arial"/>
          <w:bCs/>
          <w:i/>
          <w:color w:val="000000" w:themeColor="text1"/>
          <w:sz w:val="18"/>
          <w:szCs w:val="18"/>
          <w:lang w:eastAsia="en-AU"/>
        </w:rPr>
      </w:pPr>
      <w:r>
        <w:rPr>
          <w:rFonts w:cs="Arial"/>
          <w:b/>
          <w:bCs/>
          <w:i/>
          <w:color w:val="000000" w:themeColor="text1"/>
          <w:sz w:val="18"/>
          <w:szCs w:val="18"/>
          <w:lang w:eastAsia="en-AU"/>
        </w:rPr>
        <w:t>Optimising opportunities for local suppliers</w:t>
      </w:r>
      <w:r>
        <w:rPr>
          <w:rFonts w:cs="Arial"/>
          <w:b/>
          <w:bCs/>
          <w:i/>
          <w:color w:val="000000" w:themeColor="text1"/>
          <w:sz w:val="18"/>
          <w:szCs w:val="18"/>
          <w:lang w:eastAsia="en-AU"/>
        </w:rPr>
        <w:br/>
      </w:r>
      <w:r w:rsidRPr="00160422">
        <w:rPr>
          <w:rFonts w:cs="Arial"/>
          <w:bCs/>
          <w:i/>
          <w:color w:val="000000" w:themeColor="text1"/>
          <w:sz w:val="18"/>
          <w:szCs w:val="18"/>
          <w:lang w:eastAsia="en-AU"/>
        </w:rPr>
        <w:t>v3.</w:t>
      </w:r>
      <w:r>
        <w:rPr>
          <w:rFonts w:cs="Arial"/>
          <w:bCs/>
          <w:i/>
          <w:color w:val="000000" w:themeColor="text1"/>
          <w:sz w:val="18"/>
          <w:szCs w:val="18"/>
          <w:lang w:eastAsia="en-AU"/>
        </w:rPr>
        <w:t xml:space="preserve">1 </w:t>
      </w:r>
      <w:r w:rsidR="000923CD">
        <w:rPr>
          <w:rFonts w:cs="Arial"/>
          <w:bCs/>
          <w:i/>
          <w:color w:val="000000" w:themeColor="text1"/>
          <w:sz w:val="18"/>
          <w:szCs w:val="18"/>
          <w:lang w:eastAsia="en-AU"/>
        </w:rPr>
        <w:t xml:space="preserve">June </w:t>
      </w:r>
      <w:r>
        <w:rPr>
          <w:rFonts w:cs="Arial"/>
          <w:bCs/>
          <w:i/>
          <w:color w:val="000000" w:themeColor="text1"/>
          <w:sz w:val="18"/>
          <w:szCs w:val="18"/>
          <w:lang w:eastAsia="en-AU"/>
        </w:rPr>
        <w:t>2021</w:t>
      </w:r>
    </w:p>
    <w:p w14:paraId="0D446A02" w14:textId="77777777" w:rsidR="00136F3A" w:rsidRPr="00BD25D7" w:rsidRDefault="00136F3A" w:rsidP="00136F3A">
      <w:pPr>
        <w:autoSpaceDE w:val="0"/>
        <w:autoSpaceDN w:val="0"/>
        <w:adjustRightInd w:val="0"/>
        <w:spacing w:after="0" w:line="240" w:lineRule="auto"/>
        <w:rPr>
          <w:rFonts w:cs="Arial"/>
          <w:color w:val="000000"/>
          <w:sz w:val="18"/>
          <w:szCs w:val="18"/>
        </w:rPr>
      </w:pPr>
    </w:p>
    <w:p w14:paraId="71A57050" w14:textId="6DBA5CDD" w:rsidR="00136F3A" w:rsidRPr="00850C98" w:rsidRDefault="00136F3A" w:rsidP="00136F3A">
      <w:pPr>
        <w:spacing w:after="0" w:line="240" w:lineRule="auto"/>
        <w:rPr>
          <w:b/>
          <w:sz w:val="18"/>
        </w:rPr>
      </w:pPr>
      <w:r>
        <w:rPr>
          <w:b/>
          <w:sz w:val="18"/>
        </w:rPr>
        <w:t>The State of Queensland (Department of Energy and Public Works) 2021</w:t>
      </w:r>
    </w:p>
    <w:p w14:paraId="72D29AAE" w14:textId="77777777" w:rsidR="00136F3A" w:rsidRPr="00850C98" w:rsidRDefault="00136F3A" w:rsidP="00136F3A">
      <w:pPr>
        <w:spacing w:after="0" w:line="240" w:lineRule="auto"/>
        <w:rPr>
          <w:sz w:val="18"/>
        </w:rPr>
      </w:pPr>
    </w:p>
    <w:p w14:paraId="1484FB87" w14:textId="77777777" w:rsidR="00136F3A" w:rsidRPr="00850C98" w:rsidRDefault="00136F3A" w:rsidP="00136F3A">
      <w:pPr>
        <w:spacing w:after="0" w:line="240" w:lineRule="auto"/>
        <w:rPr>
          <w:sz w:val="18"/>
        </w:rPr>
      </w:pPr>
      <w:r w:rsidRPr="00850C98">
        <w:rPr>
          <w:noProof/>
          <w:sz w:val="18"/>
          <w:lang w:eastAsia="en-AU"/>
        </w:rPr>
        <w:drawing>
          <wp:inline distT="0" distB="0" distL="0" distR="0" wp14:anchorId="645E100C" wp14:editId="079A838A">
            <wp:extent cx="828675" cy="276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4CB21653" w14:textId="77777777" w:rsidR="00136F3A" w:rsidRPr="00850C98" w:rsidRDefault="00136F3A" w:rsidP="00136F3A">
      <w:pPr>
        <w:spacing w:after="0" w:line="240" w:lineRule="auto"/>
        <w:rPr>
          <w:sz w:val="18"/>
        </w:rPr>
      </w:pPr>
    </w:p>
    <w:p w14:paraId="670F5567" w14:textId="77777777" w:rsidR="00136F3A" w:rsidRPr="00850C98" w:rsidRDefault="00AF680C" w:rsidP="00136F3A">
      <w:pPr>
        <w:spacing w:after="0" w:line="240" w:lineRule="auto"/>
        <w:rPr>
          <w:sz w:val="18"/>
        </w:rPr>
      </w:pPr>
      <w:hyperlink r:id="rId13" w:history="1">
        <w:r w:rsidR="00136F3A" w:rsidRPr="00850C98">
          <w:rPr>
            <w:rStyle w:val="Hyperlink"/>
            <w:sz w:val="18"/>
          </w:rPr>
          <w:t>http://creativecommons.org/licenses/by/4.0/deed.en</w:t>
        </w:r>
      </w:hyperlink>
      <w:r w:rsidR="00136F3A" w:rsidRPr="00850C98">
        <w:rPr>
          <w:sz w:val="18"/>
        </w:rPr>
        <w:t xml:space="preserve"> </w:t>
      </w:r>
    </w:p>
    <w:p w14:paraId="524C35CC" w14:textId="77777777" w:rsidR="00136F3A" w:rsidRPr="00850C98" w:rsidRDefault="00136F3A" w:rsidP="00136F3A">
      <w:pPr>
        <w:spacing w:after="0" w:line="240" w:lineRule="auto"/>
        <w:rPr>
          <w:sz w:val="18"/>
        </w:rPr>
      </w:pPr>
    </w:p>
    <w:p w14:paraId="037B2B1C" w14:textId="77777777" w:rsidR="00136F3A" w:rsidRDefault="00136F3A" w:rsidP="00136F3A">
      <w:pPr>
        <w:spacing w:after="0" w:line="240" w:lineRule="auto"/>
        <w:rPr>
          <w:sz w:val="18"/>
        </w:rPr>
      </w:pPr>
      <w:r w:rsidRPr="00850C98">
        <w:rPr>
          <w:sz w:val="18"/>
        </w:rPr>
        <w:t>This work is licensed under a Creative Commons Attribution 4.0 Australia Licence. You are free to copy, communicate and adapt this work, as long as you attribute by citing ‘</w:t>
      </w:r>
      <w:r>
        <w:rPr>
          <w:sz w:val="18"/>
        </w:rPr>
        <w:t>Optimising opportunities for local suppliers</w:t>
      </w:r>
      <w:r w:rsidRPr="00850C98">
        <w:rPr>
          <w:sz w:val="18"/>
        </w:rPr>
        <w:t xml:space="preserve">, State of Queensland (Department of </w:t>
      </w:r>
      <w:r>
        <w:rPr>
          <w:sz w:val="18"/>
        </w:rPr>
        <w:t>Energy</w:t>
      </w:r>
      <w:r w:rsidRPr="00850C98">
        <w:rPr>
          <w:sz w:val="18"/>
        </w:rPr>
        <w:t xml:space="preserve"> and Public Works) 20</w:t>
      </w:r>
      <w:r>
        <w:rPr>
          <w:sz w:val="18"/>
        </w:rPr>
        <w:t>21</w:t>
      </w:r>
      <w:r w:rsidRPr="00850C98">
        <w:rPr>
          <w:sz w:val="18"/>
        </w:rPr>
        <w:t>’</w:t>
      </w:r>
    </w:p>
    <w:p w14:paraId="50B8A3BB" w14:textId="43B14A46" w:rsidR="00136F3A" w:rsidRDefault="00136F3A" w:rsidP="00136F3A">
      <w:pPr>
        <w:spacing w:after="0" w:line="240" w:lineRule="auto"/>
        <w:rPr>
          <w:sz w:val="18"/>
        </w:rPr>
      </w:pPr>
      <w:r w:rsidRPr="00850C98">
        <w:rPr>
          <w:sz w:val="18"/>
        </w:rPr>
        <w:t>.</w:t>
      </w:r>
    </w:p>
    <w:p w14:paraId="566E27DB" w14:textId="77777777" w:rsidR="00136F3A" w:rsidRDefault="00136F3A" w:rsidP="00136F3A">
      <w:pPr>
        <w:spacing w:after="0" w:line="240" w:lineRule="auto"/>
        <w:rPr>
          <w:sz w:val="18"/>
        </w:rPr>
      </w:pPr>
    </w:p>
    <w:p w14:paraId="5AFBDE1D" w14:textId="77777777" w:rsidR="00136F3A" w:rsidRPr="007D075B" w:rsidRDefault="00136F3A" w:rsidP="00136F3A">
      <w:pPr>
        <w:spacing w:after="0" w:line="240" w:lineRule="auto"/>
        <w:rPr>
          <w:b/>
          <w:sz w:val="18"/>
        </w:rPr>
      </w:pPr>
      <w:r w:rsidRPr="007D075B">
        <w:rPr>
          <w:b/>
          <w:sz w:val="18"/>
        </w:rPr>
        <w:t>Contact us</w:t>
      </w:r>
      <w:r>
        <w:rPr>
          <w:b/>
          <w:sz w:val="18"/>
        </w:rPr>
        <w:br/>
      </w:r>
    </w:p>
    <w:p w14:paraId="0B84EB69" w14:textId="66E61492" w:rsidR="00136F3A" w:rsidRPr="00AC032B" w:rsidRDefault="00136F3A" w:rsidP="00136F3A">
      <w:pPr>
        <w:spacing w:after="0" w:line="240" w:lineRule="auto"/>
        <w:rPr>
          <w:sz w:val="18"/>
        </w:rPr>
      </w:pPr>
      <w:r>
        <w:rPr>
          <w:sz w:val="18"/>
        </w:rPr>
        <w:t>Queensland Government Procurement i</w:t>
      </w:r>
      <w:r w:rsidRPr="007D075B">
        <w:rPr>
          <w:sz w:val="18"/>
        </w:rPr>
        <w:t xml:space="preserve">s committed to continuous improvement. If you have any suggestions about how we can improve this guide, or if you have any questions, contact us at </w:t>
      </w:r>
      <w:hyperlink r:id="rId14" w:history="1">
        <w:r w:rsidR="000923CD" w:rsidRPr="000923CD">
          <w:rPr>
            <w:rStyle w:val="Hyperlink"/>
            <w:sz w:val="18"/>
          </w:rPr>
          <w:t>betterprocurement@e</w:t>
        </w:r>
        <w:r w:rsidR="000923CD" w:rsidRPr="00F32630">
          <w:rPr>
            <w:rStyle w:val="Hyperlink"/>
            <w:sz w:val="18"/>
          </w:rPr>
          <w:t>pw.qld.gov.au</w:t>
        </w:r>
      </w:hyperlink>
      <w:r w:rsidRPr="00AC032B">
        <w:rPr>
          <w:sz w:val="18"/>
        </w:rPr>
        <w:t xml:space="preserve">. </w:t>
      </w:r>
    </w:p>
    <w:p w14:paraId="0547CBB4" w14:textId="77777777" w:rsidR="00136F3A" w:rsidRPr="00AC032B" w:rsidRDefault="00136F3A" w:rsidP="00136F3A">
      <w:pPr>
        <w:spacing w:after="0" w:line="240" w:lineRule="auto"/>
        <w:rPr>
          <w:sz w:val="18"/>
        </w:rPr>
      </w:pPr>
    </w:p>
    <w:p w14:paraId="2E5E607B" w14:textId="77777777" w:rsidR="00136F3A" w:rsidRPr="00AC032B" w:rsidRDefault="00136F3A" w:rsidP="00136F3A">
      <w:pPr>
        <w:spacing w:after="0" w:line="240" w:lineRule="auto"/>
        <w:rPr>
          <w:b/>
          <w:sz w:val="18"/>
        </w:rPr>
      </w:pPr>
      <w:r w:rsidRPr="00AC032B">
        <w:rPr>
          <w:b/>
          <w:sz w:val="18"/>
        </w:rPr>
        <w:t>Disclaimer</w:t>
      </w:r>
      <w:r>
        <w:rPr>
          <w:b/>
          <w:sz w:val="18"/>
        </w:rPr>
        <w:br/>
      </w:r>
    </w:p>
    <w:p w14:paraId="75A808FA" w14:textId="77777777" w:rsidR="00136F3A" w:rsidRPr="00FF7C12" w:rsidRDefault="00136F3A" w:rsidP="00136F3A">
      <w:pPr>
        <w:spacing w:after="0" w:line="240" w:lineRule="auto"/>
        <w:rPr>
          <w:sz w:val="18"/>
        </w:rPr>
      </w:pPr>
      <w:r w:rsidRPr="00A07DED">
        <w:rPr>
          <w:sz w:val="18"/>
        </w:rPr>
        <w:t xml:space="preserve">This document is intended as a guide only for the internal use and benefit of government agencies. It may not be relied on by any other party. It should be read </w:t>
      </w:r>
      <w:r w:rsidRPr="00276D51">
        <w:rPr>
          <w:sz w:val="18"/>
        </w:rPr>
        <w:t xml:space="preserve">in conjunction with the Queensland Procurement Policy, your agency’s procurement policies and procedures, and any other relevant documents. </w:t>
      </w:r>
    </w:p>
    <w:p w14:paraId="4A6D44CC" w14:textId="77777777" w:rsidR="00136F3A" w:rsidRDefault="00136F3A" w:rsidP="00136F3A">
      <w:pPr>
        <w:spacing w:after="0" w:line="240" w:lineRule="auto"/>
        <w:rPr>
          <w:sz w:val="18"/>
        </w:rPr>
      </w:pPr>
      <w:r w:rsidRPr="00FF7B6A" w:rsidDel="00A07DED">
        <w:rPr>
          <w:sz w:val="18"/>
        </w:rPr>
        <w:t xml:space="preserve"> </w:t>
      </w:r>
    </w:p>
    <w:p w14:paraId="5CF52830" w14:textId="46E4DDC5" w:rsidR="00136F3A" w:rsidRDefault="00136F3A" w:rsidP="00136F3A">
      <w:pPr>
        <w:rPr>
          <w:sz w:val="18"/>
        </w:rPr>
      </w:pPr>
      <w:r w:rsidRPr="00AC032B">
        <w:rPr>
          <w:sz w:val="18"/>
        </w:rPr>
        <w:t xml:space="preserve">The Department of </w:t>
      </w:r>
      <w:r>
        <w:rPr>
          <w:sz w:val="18"/>
        </w:rPr>
        <w:t>Energy</w:t>
      </w:r>
      <w:r w:rsidRPr="00AC032B">
        <w:rPr>
          <w:sz w:val="18"/>
        </w:rPr>
        <w:t xml:space="preserve"> and Public Works disclaims all liability that may arise from the use of this document. </w:t>
      </w:r>
      <w:r>
        <w:rPr>
          <w:sz w:val="18"/>
        </w:rPr>
        <w:t xml:space="preserve">This guide should not be used as a substitute for obtaining appropriate probity and legal advice as may be required. </w:t>
      </w:r>
      <w:r w:rsidRPr="00AC032B">
        <w:rPr>
          <w:sz w:val="18"/>
        </w:rPr>
        <w:t xml:space="preserve">In preparing this document, reasonable efforts have been made to use accurate and current information. </w:t>
      </w:r>
      <w:r>
        <w:rPr>
          <w:sz w:val="18"/>
        </w:rPr>
        <w:t>It should be noted</w:t>
      </w:r>
      <w:r w:rsidRPr="00AC032B">
        <w:rPr>
          <w:sz w:val="18"/>
        </w:rPr>
        <w:t xml:space="preserve"> that information may have changed since</w:t>
      </w:r>
      <w:r>
        <w:rPr>
          <w:sz w:val="18"/>
        </w:rPr>
        <w:t xml:space="preserve"> the publication of this document</w:t>
      </w:r>
      <w:r w:rsidRPr="00AC032B">
        <w:rPr>
          <w:sz w:val="18"/>
        </w:rPr>
        <w:t xml:space="preserve">. Where errors or inaccuracies are brought to the attention of the Department of </w:t>
      </w:r>
      <w:r>
        <w:rPr>
          <w:sz w:val="18"/>
        </w:rPr>
        <w:t>Energy</w:t>
      </w:r>
      <w:r w:rsidRPr="00AC032B">
        <w:rPr>
          <w:sz w:val="18"/>
        </w:rPr>
        <w:t xml:space="preserve"> and Public Works, a reasonable effort will be made to correct them.</w:t>
      </w:r>
    </w:p>
    <w:p w14:paraId="4413B0B9" w14:textId="77777777" w:rsidR="00136F3A" w:rsidRDefault="00136F3A" w:rsidP="00136F3A"/>
    <w:p w14:paraId="426F89A4" w14:textId="77777777" w:rsidR="00136F3A" w:rsidRDefault="00136F3A" w:rsidP="00136F3A">
      <w:r>
        <w:br w:type="page"/>
      </w:r>
    </w:p>
    <w:tbl>
      <w:tblPr>
        <w:tblW w:w="9639" w:type="dxa"/>
        <w:tblLook w:val="04A0" w:firstRow="1" w:lastRow="0" w:firstColumn="1" w:lastColumn="0" w:noHBand="0" w:noVBand="1"/>
      </w:tblPr>
      <w:tblGrid>
        <w:gridCol w:w="9639"/>
      </w:tblGrid>
      <w:tr w:rsidR="00136F3A" w:rsidRPr="00BD25D7" w14:paraId="020E95F5" w14:textId="77777777" w:rsidTr="007B583E">
        <w:trPr>
          <w:trHeight w:val="12894"/>
        </w:trPr>
        <w:tc>
          <w:tcPr>
            <w:tcW w:w="9639" w:type="dxa"/>
            <w:shd w:val="clear" w:color="auto" w:fill="auto"/>
          </w:tcPr>
          <w:sdt>
            <w:sdtPr>
              <w:rPr>
                <w:rFonts w:eastAsiaTheme="minorHAnsi" w:cstheme="minorBidi"/>
                <w:b w:val="0"/>
                <w:color w:val="auto"/>
                <w:sz w:val="22"/>
                <w:szCs w:val="24"/>
                <w:lang w:val="en-AU"/>
              </w:rPr>
              <w:id w:val="-203478645"/>
              <w:docPartObj>
                <w:docPartGallery w:val="Table of Contents"/>
                <w:docPartUnique/>
              </w:docPartObj>
            </w:sdtPr>
            <w:sdtEndPr>
              <w:rPr>
                <w:bCs/>
                <w:noProof/>
                <w:sz w:val="20"/>
                <w:szCs w:val="22"/>
              </w:rPr>
            </w:sdtEndPr>
            <w:sdtContent>
              <w:p w14:paraId="4C0029A6" w14:textId="77777777" w:rsidR="00136F3A" w:rsidRDefault="00136F3A" w:rsidP="007B583E">
                <w:pPr>
                  <w:pStyle w:val="TOCHeading"/>
                </w:pPr>
                <w:r>
                  <w:t>Contents</w:t>
                </w:r>
              </w:p>
              <w:p w14:paraId="64959E36" w14:textId="7DA560BB" w:rsidR="004B4AE7" w:rsidRDefault="00136F3A">
                <w:pPr>
                  <w:pStyle w:val="TOC1"/>
                  <w:rPr>
                    <w:rFonts w:asciiTheme="minorHAnsi" w:eastAsiaTheme="minorEastAsia" w:hAnsiTheme="minorHAnsi" w:cstheme="minorBidi"/>
                    <w:b w:val="0"/>
                    <w:bCs w:val="0"/>
                    <w:noProof/>
                    <w:color w:val="auto"/>
                    <w:szCs w:val="22"/>
                  </w:rPr>
                </w:pPr>
                <w:r>
                  <w:fldChar w:fldCharType="begin"/>
                </w:r>
                <w:r>
                  <w:instrText xml:space="preserve"> TOC \o "1-3" \h \z \u </w:instrText>
                </w:r>
                <w:r>
                  <w:fldChar w:fldCharType="separate"/>
                </w:r>
                <w:hyperlink w:anchor="_Toc77338082" w:history="1">
                  <w:r w:rsidR="004B4AE7" w:rsidRPr="002C0493">
                    <w:rPr>
                      <w:rStyle w:val="Hyperlink"/>
                      <w:rFonts w:eastAsiaTheme="majorEastAsia"/>
                      <w:noProof/>
                    </w:rPr>
                    <w:t>Introduction</w:t>
                  </w:r>
                  <w:r w:rsidR="004B4AE7">
                    <w:rPr>
                      <w:noProof/>
                      <w:webHidden/>
                    </w:rPr>
                    <w:tab/>
                  </w:r>
                  <w:r w:rsidR="004B4AE7">
                    <w:rPr>
                      <w:noProof/>
                      <w:webHidden/>
                    </w:rPr>
                    <w:fldChar w:fldCharType="begin"/>
                  </w:r>
                  <w:r w:rsidR="004B4AE7">
                    <w:rPr>
                      <w:noProof/>
                      <w:webHidden/>
                    </w:rPr>
                    <w:instrText xml:space="preserve"> PAGEREF _Toc77338082 \h </w:instrText>
                  </w:r>
                  <w:r w:rsidR="004B4AE7">
                    <w:rPr>
                      <w:noProof/>
                      <w:webHidden/>
                    </w:rPr>
                  </w:r>
                  <w:r w:rsidR="004B4AE7">
                    <w:rPr>
                      <w:noProof/>
                      <w:webHidden/>
                    </w:rPr>
                    <w:fldChar w:fldCharType="separate"/>
                  </w:r>
                  <w:r w:rsidR="001A454C">
                    <w:rPr>
                      <w:noProof/>
                      <w:webHidden/>
                    </w:rPr>
                    <w:t>4</w:t>
                  </w:r>
                  <w:r w:rsidR="004B4AE7">
                    <w:rPr>
                      <w:noProof/>
                      <w:webHidden/>
                    </w:rPr>
                    <w:fldChar w:fldCharType="end"/>
                  </w:r>
                </w:hyperlink>
              </w:p>
              <w:p w14:paraId="5AE36518" w14:textId="7DDFC370" w:rsidR="004B4AE7" w:rsidRDefault="00AF680C">
                <w:pPr>
                  <w:pStyle w:val="TOC2"/>
                  <w:rPr>
                    <w:rFonts w:asciiTheme="minorHAnsi" w:eastAsiaTheme="minorEastAsia" w:hAnsiTheme="minorHAnsi" w:cstheme="minorBidi"/>
                    <w:b w:val="0"/>
                    <w:bCs w:val="0"/>
                    <w:noProof/>
                    <w:color w:val="auto"/>
                    <w:szCs w:val="22"/>
                  </w:rPr>
                </w:pPr>
                <w:hyperlink w:anchor="_Toc77338083" w:history="1">
                  <w:r w:rsidR="004B4AE7" w:rsidRPr="002C0493">
                    <w:rPr>
                      <w:rStyle w:val="Hyperlink"/>
                      <w:rFonts w:eastAsiaTheme="majorEastAsia"/>
                      <w:noProof/>
                    </w:rPr>
                    <w:t>Purpose of this guide</w:t>
                  </w:r>
                  <w:r w:rsidR="004B4AE7">
                    <w:rPr>
                      <w:noProof/>
                      <w:webHidden/>
                    </w:rPr>
                    <w:tab/>
                  </w:r>
                  <w:r w:rsidR="004B4AE7">
                    <w:rPr>
                      <w:noProof/>
                      <w:webHidden/>
                    </w:rPr>
                    <w:fldChar w:fldCharType="begin"/>
                  </w:r>
                  <w:r w:rsidR="004B4AE7">
                    <w:rPr>
                      <w:noProof/>
                      <w:webHidden/>
                    </w:rPr>
                    <w:instrText xml:space="preserve"> PAGEREF _Toc77338083 \h </w:instrText>
                  </w:r>
                  <w:r w:rsidR="004B4AE7">
                    <w:rPr>
                      <w:noProof/>
                      <w:webHidden/>
                    </w:rPr>
                  </w:r>
                  <w:r w:rsidR="004B4AE7">
                    <w:rPr>
                      <w:noProof/>
                      <w:webHidden/>
                    </w:rPr>
                    <w:fldChar w:fldCharType="separate"/>
                  </w:r>
                  <w:r w:rsidR="001A454C">
                    <w:rPr>
                      <w:noProof/>
                      <w:webHidden/>
                    </w:rPr>
                    <w:t>4</w:t>
                  </w:r>
                  <w:r w:rsidR="004B4AE7">
                    <w:rPr>
                      <w:noProof/>
                      <w:webHidden/>
                    </w:rPr>
                    <w:fldChar w:fldCharType="end"/>
                  </w:r>
                </w:hyperlink>
              </w:p>
              <w:p w14:paraId="60AA1DA3" w14:textId="65CDA5BC" w:rsidR="004B4AE7" w:rsidRDefault="00AF680C">
                <w:pPr>
                  <w:pStyle w:val="TOC1"/>
                  <w:rPr>
                    <w:rFonts w:asciiTheme="minorHAnsi" w:eastAsiaTheme="minorEastAsia" w:hAnsiTheme="minorHAnsi" w:cstheme="minorBidi"/>
                    <w:b w:val="0"/>
                    <w:bCs w:val="0"/>
                    <w:noProof/>
                    <w:color w:val="auto"/>
                    <w:szCs w:val="22"/>
                  </w:rPr>
                </w:pPr>
                <w:hyperlink w:anchor="_Toc77338084" w:history="1">
                  <w:r w:rsidR="004B4AE7" w:rsidRPr="002C0493">
                    <w:rPr>
                      <w:rStyle w:val="Hyperlink"/>
                      <w:rFonts w:eastAsiaTheme="majorEastAsia"/>
                      <w:noProof/>
                    </w:rPr>
                    <w:t>Part A: Definition of a local supplier</w:t>
                  </w:r>
                  <w:r w:rsidR="004B4AE7">
                    <w:rPr>
                      <w:noProof/>
                      <w:webHidden/>
                    </w:rPr>
                    <w:tab/>
                  </w:r>
                  <w:r w:rsidR="004B4AE7">
                    <w:rPr>
                      <w:noProof/>
                      <w:webHidden/>
                    </w:rPr>
                    <w:fldChar w:fldCharType="begin"/>
                  </w:r>
                  <w:r w:rsidR="004B4AE7">
                    <w:rPr>
                      <w:noProof/>
                      <w:webHidden/>
                    </w:rPr>
                    <w:instrText xml:space="preserve"> PAGEREF _Toc77338084 \h </w:instrText>
                  </w:r>
                  <w:r w:rsidR="004B4AE7">
                    <w:rPr>
                      <w:noProof/>
                      <w:webHidden/>
                    </w:rPr>
                  </w:r>
                  <w:r w:rsidR="004B4AE7">
                    <w:rPr>
                      <w:noProof/>
                      <w:webHidden/>
                    </w:rPr>
                    <w:fldChar w:fldCharType="separate"/>
                  </w:r>
                  <w:r w:rsidR="001A454C">
                    <w:rPr>
                      <w:noProof/>
                      <w:webHidden/>
                    </w:rPr>
                    <w:t>4</w:t>
                  </w:r>
                  <w:r w:rsidR="004B4AE7">
                    <w:rPr>
                      <w:noProof/>
                      <w:webHidden/>
                    </w:rPr>
                    <w:fldChar w:fldCharType="end"/>
                  </w:r>
                </w:hyperlink>
              </w:p>
              <w:p w14:paraId="793FE0D6" w14:textId="6F580687" w:rsidR="004B4AE7" w:rsidRDefault="00AF680C">
                <w:pPr>
                  <w:pStyle w:val="TOC1"/>
                  <w:rPr>
                    <w:rFonts w:asciiTheme="minorHAnsi" w:eastAsiaTheme="minorEastAsia" w:hAnsiTheme="minorHAnsi" w:cstheme="minorBidi"/>
                    <w:b w:val="0"/>
                    <w:bCs w:val="0"/>
                    <w:noProof/>
                    <w:color w:val="auto"/>
                    <w:szCs w:val="22"/>
                  </w:rPr>
                </w:pPr>
                <w:hyperlink w:anchor="_Toc77338085" w:history="1">
                  <w:r w:rsidR="004B4AE7" w:rsidRPr="002C0493">
                    <w:rPr>
                      <w:rStyle w:val="Hyperlink"/>
                      <w:rFonts w:eastAsiaTheme="majorEastAsia"/>
                      <w:noProof/>
                    </w:rPr>
                    <w:t>Part B: How to optimise opportunities for local suppliers</w:t>
                  </w:r>
                  <w:r w:rsidR="004B4AE7">
                    <w:rPr>
                      <w:noProof/>
                      <w:webHidden/>
                    </w:rPr>
                    <w:tab/>
                  </w:r>
                  <w:r w:rsidR="004B4AE7">
                    <w:rPr>
                      <w:noProof/>
                      <w:webHidden/>
                    </w:rPr>
                    <w:fldChar w:fldCharType="begin"/>
                  </w:r>
                  <w:r w:rsidR="004B4AE7">
                    <w:rPr>
                      <w:noProof/>
                      <w:webHidden/>
                    </w:rPr>
                    <w:instrText xml:space="preserve"> PAGEREF _Toc77338085 \h </w:instrText>
                  </w:r>
                  <w:r w:rsidR="004B4AE7">
                    <w:rPr>
                      <w:noProof/>
                      <w:webHidden/>
                    </w:rPr>
                  </w:r>
                  <w:r w:rsidR="004B4AE7">
                    <w:rPr>
                      <w:noProof/>
                      <w:webHidden/>
                    </w:rPr>
                    <w:fldChar w:fldCharType="separate"/>
                  </w:r>
                  <w:r w:rsidR="001A454C">
                    <w:rPr>
                      <w:noProof/>
                      <w:webHidden/>
                    </w:rPr>
                    <w:t>5</w:t>
                  </w:r>
                  <w:r w:rsidR="004B4AE7">
                    <w:rPr>
                      <w:noProof/>
                      <w:webHidden/>
                    </w:rPr>
                    <w:fldChar w:fldCharType="end"/>
                  </w:r>
                </w:hyperlink>
              </w:p>
              <w:p w14:paraId="22A15DCA" w14:textId="43DAB139" w:rsidR="004B4AE7" w:rsidRDefault="00AF680C">
                <w:pPr>
                  <w:pStyle w:val="TOC2"/>
                  <w:rPr>
                    <w:rFonts w:asciiTheme="minorHAnsi" w:eastAsiaTheme="minorEastAsia" w:hAnsiTheme="minorHAnsi" w:cstheme="minorBidi"/>
                    <w:b w:val="0"/>
                    <w:bCs w:val="0"/>
                    <w:noProof/>
                    <w:color w:val="auto"/>
                    <w:szCs w:val="22"/>
                  </w:rPr>
                </w:pPr>
                <w:hyperlink w:anchor="_Toc77338086" w:history="1">
                  <w:r w:rsidR="004B4AE7" w:rsidRPr="002C0493">
                    <w:rPr>
                      <w:rStyle w:val="Hyperlink"/>
                      <w:rFonts w:eastAsiaTheme="majorEastAsia"/>
                      <w:noProof/>
                      <w:lang w:val="en-US"/>
                    </w:rPr>
                    <w:t>How the approach varies based on value and risk</w:t>
                  </w:r>
                  <w:r w:rsidR="004B4AE7">
                    <w:rPr>
                      <w:noProof/>
                      <w:webHidden/>
                    </w:rPr>
                    <w:tab/>
                  </w:r>
                  <w:r w:rsidR="004B4AE7">
                    <w:rPr>
                      <w:noProof/>
                      <w:webHidden/>
                    </w:rPr>
                    <w:fldChar w:fldCharType="begin"/>
                  </w:r>
                  <w:r w:rsidR="004B4AE7">
                    <w:rPr>
                      <w:noProof/>
                      <w:webHidden/>
                    </w:rPr>
                    <w:instrText xml:space="preserve"> PAGEREF _Toc77338086 \h </w:instrText>
                  </w:r>
                  <w:r w:rsidR="004B4AE7">
                    <w:rPr>
                      <w:noProof/>
                      <w:webHidden/>
                    </w:rPr>
                  </w:r>
                  <w:r w:rsidR="004B4AE7">
                    <w:rPr>
                      <w:noProof/>
                      <w:webHidden/>
                    </w:rPr>
                    <w:fldChar w:fldCharType="separate"/>
                  </w:r>
                  <w:r w:rsidR="001A454C">
                    <w:rPr>
                      <w:noProof/>
                      <w:webHidden/>
                    </w:rPr>
                    <w:t>5</w:t>
                  </w:r>
                  <w:r w:rsidR="004B4AE7">
                    <w:rPr>
                      <w:noProof/>
                      <w:webHidden/>
                    </w:rPr>
                    <w:fldChar w:fldCharType="end"/>
                  </w:r>
                </w:hyperlink>
              </w:p>
              <w:p w14:paraId="2397E587" w14:textId="682CC486" w:rsidR="004B4AE7" w:rsidRDefault="00AF680C">
                <w:pPr>
                  <w:pStyle w:val="TOC3"/>
                  <w:rPr>
                    <w:rFonts w:asciiTheme="minorHAnsi" w:eastAsiaTheme="minorEastAsia" w:hAnsiTheme="minorHAnsi" w:cstheme="minorBidi"/>
                    <w:noProof/>
                    <w:szCs w:val="22"/>
                    <w:lang w:eastAsia="en-AU"/>
                  </w:rPr>
                </w:pPr>
                <w:hyperlink w:anchor="_Toc77338087" w:history="1">
                  <w:r w:rsidR="004B4AE7" w:rsidRPr="002C0493">
                    <w:rPr>
                      <w:rStyle w:val="Hyperlink"/>
                      <w:rFonts w:eastAsiaTheme="majorEastAsia"/>
                      <w:noProof/>
                      <w:lang w:val="en-US"/>
                    </w:rPr>
                    <w:t>Low value and low business risk purchases</w:t>
                  </w:r>
                  <w:r w:rsidR="004B4AE7">
                    <w:rPr>
                      <w:noProof/>
                      <w:webHidden/>
                    </w:rPr>
                    <w:tab/>
                  </w:r>
                  <w:r w:rsidR="004B4AE7">
                    <w:rPr>
                      <w:noProof/>
                      <w:webHidden/>
                    </w:rPr>
                    <w:fldChar w:fldCharType="begin"/>
                  </w:r>
                  <w:r w:rsidR="004B4AE7">
                    <w:rPr>
                      <w:noProof/>
                      <w:webHidden/>
                    </w:rPr>
                    <w:instrText xml:space="preserve"> PAGEREF _Toc77338087 \h </w:instrText>
                  </w:r>
                  <w:r w:rsidR="004B4AE7">
                    <w:rPr>
                      <w:noProof/>
                      <w:webHidden/>
                    </w:rPr>
                  </w:r>
                  <w:r w:rsidR="004B4AE7">
                    <w:rPr>
                      <w:noProof/>
                      <w:webHidden/>
                    </w:rPr>
                    <w:fldChar w:fldCharType="separate"/>
                  </w:r>
                  <w:r w:rsidR="001A454C">
                    <w:rPr>
                      <w:noProof/>
                      <w:webHidden/>
                    </w:rPr>
                    <w:t>5</w:t>
                  </w:r>
                  <w:r w:rsidR="004B4AE7">
                    <w:rPr>
                      <w:noProof/>
                      <w:webHidden/>
                    </w:rPr>
                    <w:fldChar w:fldCharType="end"/>
                  </w:r>
                </w:hyperlink>
              </w:p>
              <w:p w14:paraId="154D290A" w14:textId="6DF47219" w:rsidR="004B4AE7" w:rsidRDefault="00AF680C">
                <w:pPr>
                  <w:pStyle w:val="TOC3"/>
                  <w:rPr>
                    <w:rFonts w:asciiTheme="minorHAnsi" w:eastAsiaTheme="minorEastAsia" w:hAnsiTheme="minorHAnsi" w:cstheme="minorBidi"/>
                    <w:noProof/>
                    <w:szCs w:val="22"/>
                    <w:lang w:eastAsia="en-AU"/>
                  </w:rPr>
                </w:pPr>
                <w:hyperlink w:anchor="_Toc77338088" w:history="1">
                  <w:r w:rsidR="004B4AE7" w:rsidRPr="002C0493">
                    <w:rPr>
                      <w:rStyle w:val="Hyperlink"/>
                      <w:rFonts w:eastAsiaTheme="majorEastAsia"/>
                      <w:noProof/>
                      <w:lang w:val="en-US"/>
                    </w:rPr>
                    <w:t>High value and/or high business risk procurement (‘significant procurement’)</w:t>
                  </w:r>
                  <w:r w:rsidR="004B4AE7">
                    <w:rPr>
                      <w:noProof/>
                      <w:webHidden/>
                    </w:rPr>
                    <w:tab/>
                  </w:r>
                  <w:r w:rsidR="004B4AE7">
                    <w:rPr>
                      <w:noProof/>
                      <w:webHidden/>
                    </w:rPr>
                    <w:fldChar w:fldCharType="begin"/>
                  </w:r>
                  <w:r w:rsidR="004B4AE7">
                    <w:rPr>
                      <w:noProof/>
                      <w:webHidden/>
                    </w:rPr>
                    <w:instrText xml:space="preserve"> PAGEREF _Toc77338088 \h </w:instrText>
                  </w:r>
                  <w:r w:rsidR="004B4AE7">
                    <w:rPr>
                      <w:noProof/>
                      <w:webHidden/>
                    </w:rPr>
                  </w:r>
                  <w:r w:rsidR="004B4AE7">
                    <w:rPr>
                      <w:noProof/>
                      <w:webHidden/>
                    </w:rPr>
                    <w:fldChar w:fldCharType="separate"/>
                  </w:r>
                  <w:r w:rsidR="001A454C">
                    <w:rPr>
                      <w:noProof/>
                      <w:webHidden/>
                    </w:rPr>
                    <w:t>5</w:t>
                  </w:r>
                  <w:r w:rsidR="004B4AE7">
                    <w:rPr>
                      <w:noProof/>
                      <w:webHidden/>
                    </w:rPr>
                    <w:fldChar w:fldCharType="end"/>
                  </w:r>
                </w:hyperlink>
              </w:p>
              <w:p w14:paraId="4C2C1290" w14:textId="445FECB7" w:rsidR="004B4AE7" w:rsidRDefault="00AF680C">
                <w:pPr>
                  <w:pStyle w:val="TOC2"/>
                  <w:rPr>
                    <w:rFonts w:asciiTheme="minorHAnsi" w:eastAsiaTheme="minorEastAsia" w:hAnsiTheme="minorHAnsi" w:cstheme="minorBidi"/>
                    <w:b w:val="0"/>
                    <w:bCs w:val="0"/>
                    <w:noProof/>
                    <w:color w:val="auto"/>
                    <w:szCs w:val="22"/>
                  </w:rPr>
                </w:pPr>
                <w:hyperlink w:anchor="_Toc77338089" w:history="1">
                  <w:r w:rsidR="004B4AE7" w:rsidRPr="002C0493">
                    <w:rPr>
                      <w:rStyle w:val="Hyperlink"/>
                      <w:rFonts w:eastAsiaTheme="majorEastAsia"/>
                      <w:noProof/>
                      <w:lang w:val="en-US"/>
                    </w:rPr>
                    <w:t>Planning</w:t>
                  </w:r>
                  <w:r w:rsidR="004B4AE7">
                    <w:rPr>
                      <w:noProof/>
                      <w:webHidden/>
                    </w:rPr>
                    <w:tab/>
                  </w:r>
                  <w:r w:rsidR="004B4AE7">
                    <w:rPr>
                      <w:noProof/>
                      <w:webHidden/>
                    </w:rPr>
                    <w:fldChar w:fldCharType="begin"/>
                  </w:r>
                  <w:r w:rsidR="004B4AE7">
                    <w:rPr>
                      <w:noProof/>
                      <w:webHidden/>
                    </w:rPr>
                    <w:instrText xml:space="preserve"> PAGEREF _Toc77338089 \h </w:instrText>
                  </w:r>
                  <w:r w:rsidR="004B4AE7">
                    <w:rPr>
                      <w:noProof/>
                      <w:webHidden/>
                    </w:rPr>
                  </w:r>
                  <w:r w:rsidR="004B4AE7">
                    <w:rPr>
                      <w:noProof/>
                      <w:webHidden/>
                    </w:rPr>
                    <w:fldChar w:fldCharType="separate"/>
                  </w:r>
                  <w:r w:rsidR="001A454C">
                    <w:rPr>
                      <w:noProof/>
                      <w:webHidden/>
                    </w:rPr>
                    <w:t>6</w:t>
                  </w:r>
                  <w:r w:rsidR="004B4AE7">
                    <w:rPr>
                      <w:noProof/>
                      <w:webHidden/>
                    </w:rPr>
                    <w:fldChar w:fldCharType="end"/>
                  </w:r>
                </w:hyperlink>
              </w:p>
              <w:p w14:paraId="51D1056A" w14:textId="09F25B36" w:rsidR="004B4AE7" w:rsidRDefault="00AF680C">
                <w:pPr>
                  <w:pStyle w:val="TOC3"/>
                  <w:rPr>
                    <w:rFonts w:asciiTheme="minorHAnsi" w:eastAsiaTheme="minorEastAsia" w:hAnsiTheme="minorHAnsi" w:cstheme="minorBidi"/>
                    <w:noProof/>
                    <w:szCs w:val="22"/>
                    <w:lang w:eastAsia="en-AU"/>
                  </w:rPr>
                </w:pPr>
                <w:hyperlink w:anchor="_Toc77338090" w:history="1">
                  <w:r w:rsidR="004B4AE7" w:rsidRPr="002C0493">
                    <w:rPr>
                      <w:rStyle w:val="Hyperlink"/>
                      <w:rFonts w:eastAsiaTheme="majorEastAsia"/>
                      <w:bCs/>
                      <w:noProof/>
                      <w:lang w:val="en-US"/>
                    </w:rPr>
                    <w:t>Category planning</w:t>
                  </w:r>
                  <w:r w:rsidR="004B4AE7">
                    <w:rPr>
                      <w:noProof/>
                      <w:webHidden/>
                    </w:rPr>
                    <w:tab/>
                  </w:r>
                  <w:r w:rsidR="004B4AE7">
                    <w:rPr>
                      <w:noProof/>
                      <w:webHidden/>
                    </w:rPr>
                    <w:fldChar w:fldCharType="begin"/>
                  </w:r>
                  <w:r w:rsidR="004B4AE7">
                    <w:rPr>
                      <w:noProof/>
                      <w:webHidden/>
                    </w:rPr>
                    <w:instrText xml:space="preserve"> PAGEREF _Toc77338090 \h </w:instrText>
                  </w:r>
                  <w:r w:rsidR="004B4AE7">
                    <w:rPr>
                      <w:noProof/>
                      <w:webHidden/>
                    </w:rPr>
                  </w:r>
                  <w:r w:rsidR="004B4AE7">
                    <w:rPr>
                      <w:noProof/>
                      <w:webHidden/>
                    </w:rPr>
                    <w:fldChar w:fldCharType="separate"/>
                  </w:r>
                  <w:r w:rsidR="001A454C">
                    <w:rPr>
                      <w:noProof/>
                      <w:webHidden/>
                    </w:rPr>
                    <w:t>6</w:t>
                  </w:r>
                  <w:r w:rsidR="004B4AE7">
                    <w:rPr>
                      <w:noProof/>
                      <w:webHidden/>
                    </w:rPr>
                    <w:fldChar w:fldCharType="end"/>
                  </w:r>
                </w:hyperlink>
              </w:p>
              <w:p w14:paraId="5AC98AF3" w14:textId="2A43F05D" w:rsidR="004B4AE7" w:rsidRDefault="00AF680C">
                <w:pPr>
                  <w:pStyle w:val="TOC3"/>
                  <w:rPr>
                    <w:rFonts w:asciiTheme="minorHAnsi" w:eastAsiaTheme="minorEastAsia" w:hAnsiTheme="minorHAnsi" w:cstheme="minorBidi"/>
                    <w:noProof/>
                    <w:szCs w:val="22"/>
                    <w:lang w:eastAsia="en-AU"/>
                  </w:rPr>
                </w:pPr>
                <w:hyperlink w:anchor="_Toc77338091" w:history="1">
                  <w:r w:rsidR="004B4AE7" w:rsidRPr="002C0493">
                    <w:rPr>
                      <w:rStyle w:val="Hyperlink"/>
                      <w:rFonts w:eastAsiaTheme="majorEastAsia"/>
                      <w:noProof/>
                    </w:rPr>
                    <w:t>Forward procurement pipelines</w:t>
                  </w:r>
                  <w:r w:rsidR="004B4AE7">
                    <w:rPr>
                      <w:noProof/>
                      <w:webHidden/>
                    </w:rPr>
                    <w:tab/>
                  </w:r>
                  <w:r w:rsidR="004B4AE7">
                    <w:rPr>
                      <w:noProof/>
                      <w:webHidden/>
                    </w:rPr>
                    <w:fldChar w:fldCharType="begin"/>
                  </w:r>
                  <w:r w:rsidR="004B4AE7">
                    <w:rPr>
                      <w:noProof/>
                      <w:webHidden/>
                    </w:rPr>
                    <w:instrText xml:space="preserve"> PAGEREF _Toc77338091 \h </w:instrText>
                  </w:r>
                  <w:r w:rsidR="004B4AE7">
                    <w:rPr>
                      <w:noProof/>
                      <w:webHidden/>
                    </w:rPr>
                  </w:r>
                  <w:r w:rsidR="004B4AE7">
                    <w:rPr>
                      <w:noProof/>
                      <w:webHidden/>
                    </w:rPr>
                    <w:fldChar w:fldCharType="separate"/>
                  </w:r>
                  <w:r w:rsidR="001A454C">
                    <w:rPr>
                      <w:noProof/>
                      <w:webHidden/>
                    </w:rPr>
                    <w:t>6</w:t>
                  </w:r>
                  <w:r w:rsidR="004B4AE7">
                    <w:rPr>
                      <w:noProof/>
                      <w:webHidden/>
                    </w:rPr>
                    <w:fldChar w:fldCharType="end"/>
                  </w:r>
                </w:hyperlink>
              </w:p>
              <w:p w14:paraId="00E46525" w14:textId="553A60ED" w:rsidR="004B4AE7" w:rsidRDefault="00AF680C">
                <w:pPr>
                  <w:pStyle w:val="TOC3"/>
                  <w:rPr>
                    <w:rFonts w:asciiTheme="minorHAnsi" w:eastAsiaTheme="minorEastAsia" w:hAnsiTheme="minorHAnsi" w:cstheme="minorBidi"/>
                    <w:noProof/>
                    <w:szCs w:val="22"/>
                    <w:lang w:eastAsia="en-AU"/>
                  </w:rPr>
                </w:pPr>
                <w:hyperlink w:anchor="_Toc77338092" w:history="1">
                  <w:r w:rsidR="004B4AE7" w:rsidRPr="002C0493">
                    <w:rPr>
                      <w:rStyle w:val="Hyperlink"/>
                      <w:rFonts w:eastAsiaTheme="majorEastAsia"/>
                      <w:noProof/>
                      <w:lang w:val="en-US"/>
                    </w:rPr>
                    <w:t>Engage with industry and undertake supply market analysis</w:t>
                  </w:r>
                  <w:r w:rsidR="004B4AE7">
                    <w:rPr>
                      <w:noProof/>
                      <w:webHidden/>
                    </w:rPr>
                    <w:tab/>
                  </w:r>
                  <w:r w:rsidR="004B4AE7">
                    <w:rPr>
                      <w:noProof/>
                      <w:webHidden/>
                    </w:rPr>
                    <w:fldChar w:fldCharType="begin"/>
                  </w:r>
                  <w:r w:rsidR="004B4AE7">
                    <w:rPr>
                      <w:noProof/>
                      <w:webHidden/>
                    </w:rPr>
                    <w:instrText xml:space="preserve"> PAGEREF _Toc77338092 \h </w:instrText>
                  </w:r>
                  <w:r w:rsidR="004B4AE7">
                    <w:rPr>
                      <w:noProof/>
                      <w:webHidden/>
                    </w:rPr>
                  </w:r>
                  <w:r w:rsidR="004B4AE7">
                    <w:rPr>
                      <w:noProof/>
                      <w:webHidden/>
                    </w:rPr>
                    <w:fldChar w:fldCharType="separate"/>
                  </w:r>
                  <w:r w:rsidR="001A454C">
                    <w:rPr>
                      <w:noProof/>
                      <w:webHidden/>
                    </w:rPr>
                    <w:t>6</w:t>
                  </w:r>
                  <w:r w:rsidR="004B4AE7">
                    <w:rPr>
                      <w:noProof/>
                      <w:webHidden/>
                    </w:rPr>
                    <w:fldChar w:fldCharType="end"/>
                  </w:r>
                </w:hyperlink>
              </w:p>
              <w:p w14:paraId="55090040" w14:textId="4DD2CB86" w:rsidR="004B4AE7" w:rsidRDefault="00AF680C">
                <w:pPr>
                  <w:pStyle w:val="TOC3"/>
                  <w:rPr>
                    <w:rFonts w:asciiTheme="minorHAnsi" w:eastAsiaTheme="minorEastAsia" w:hAnsiTheme="minorHAnsi" w:cstheme="minorBidi"/>
                    <w:noProof/>
                    <w:szCs w:val="22"/>
                    <w:lang w:eastAsia="en-AU"/>
                  </w:rPr>
                </w:pPr>
                <w:hyperlink w:anchor="_Toc77338093" w:history="1">
                  <w:r w:rsidR="004B4AE7" w:rsidRPr="002C0493">
                    <w:rPr>
                      <w:rStyle w:val="Hyperlink"/>
                      <w:rFonts w:eastAsiaTheme="majorEastAsia"/>
                      <w:noProof/>
                      <w:lang w:val="en-US"/>
                    </w:rPr>
                    <w:t>Develop a significant procurement plan</w:t>
                  </w:r>
                  <w:r w:rsidR="004B4AE7">
                    <w:rPr>
                      <w:noProof/>
                      <w:webHidden/>
                    </w:rPr>
                    <w:tab/>
                  </w:r>
                  <w:r w:rsidR="004B4AE7">
                    <w:rPr>
                      <w:noProof/>
                      <w:webHidden/>
                    </w:rPr>
                    <w:fldChar w:fldCharType="begin"/>
                  </w:r>
                  <w:r w:rsidR="004B4AE7">
                    <w:rPr>
                      <w:noProof/>
                      <w:webHidden/>
                    </w:rPr>
                    <w:instrText xml:space="preserve"> PAGEREF _Toc77338093 \h </w:instrText>
                  </w:r>
                  <w:r w:rsidR="004B4AE7">
                    <w:rPr>
                      <w:noProof/>
                      <w:webHidden/>
                    </w:rPr>
                  </w:r>
                  <w:r w:rsidR="004B4AE7">
                    <w:rPr>
                      <w:noProof/>
                      <w:webHidden/>
                    </w:rPr>
                    <w:fldChar w:fldCharType="separate"/>
                  </w:r>
                  <w:r w:rsidR="001A454C">
                    <w:rPr>
                      <w:noProof/>
                      <w:webHidden/>
                    </w:rPr>
                    <w:t>9</w:t>
                  </w:r>
                  <w:r w:rsidR="004B4AE7">
                    <w:rPr>
                      <w:noProof/>
                      <w:webHidden/>
                    </w:rPr>
                    <w:fldChar w:fldCharType="end"/>
                  </w:r>
                </w:hyperlink>
              </w:p>
              <w:p w14:paraId="555B7FDA" w14:textId="07364B3A" w:rsidR="004B4AE7" w:rsidRDefault="00AF680C">
                <w:pPr>
                  <w:pStyle w:val="TOC2"/>
                  <w:rPr>
                    <w:rFonts w:asciiTheme="minorHAnsi" w:eastAsiaTheme="minorEastAsia" w:hAnsiTheme="minorHAnsi" w:cstheme="minorBidi"/>
                    <w:b w:val="0"/>
                    <w:bCs w:val="0"/>
                    <w:noProof/>
                    <w:color w:val="auto"/>
                    <w:szCs w:val="22"/>
                  </w:rPr>
                </w:pPr>
                <w:hyperlink w:anchor="_Toc77338094" w:history="1">
                  <w:r w:rsidR="004B4AE7" w:rsidRPr="002C0493">
                    <w:rPr>
                      <w:rStyle w:val="Hyperlink"/>
                      <w:rFonts w:eastAsiaTheme="majorEastAsia"/>
                      <w:noProof/>
                      <w:lang w:val="en-US"/>
                    </w:rPr>
                    <w:t>Tender and contracting</w:t>
                  </w:r>
                  <w:r w:rsidR="004B4AE7">
                    <w:rPr>
                      <w:noProof/>
                      <w:webHidden/>
                    </w:rPr>
                    <w:tab/>
                  </w:r>
                  <w:r w:rsidR="004B4AE7">
                    <w:rPr>
                      <w:noProof/>
                      <w:webHidden/>
                    </w:rPr>
                    <w:fldChar w:fldCharType="begin"/>
                  </w:r>
                  <w:r w:rsidR="004B4AE7">
                    <w:rPr>
                      <w:noProof/>
                      <w:webHidden/>
                    </w:rPr>
                    <w:instrText xml:space="preserve"> PAGEREF _Toc77338094 \h </w:instrText>
                  </w:r>
                  <w:r w:rsidR="004B4AE7">
                    <w:rPr>
                      <w:noProof/>
                      <w:webHidden/>
                    </w:rPr>
                  </w:r>
                  <w:r w:rsidR="004B4AE7">
                    <w:rPr>
                      <w:noProof/>
                      <w:webHidden/>
                    </w:rPr>
                    <w:fldChar w:fldCharType="separate"/>
                  </w:r>
                  <w:r w:rsidR="001A454C">
                    <w:rPr>
                      <w:noProof/>
                      <w:webHidden/>
                    </w:rPr>
                    <w:t>10</w:t>
                  </w:r>
                  <w:r w:rsidR="004B4AE7">
                    <w:rPr>
                      <w:noProof/>
                      <w:webHidden/>
                    </w:rPr>
                    <w:fldChar w:fldCharType="end"/>
                  </w:r>
                </w:hyperlink>
              </w:p>
              <w:p w14:paraId="3244A304" w14:textId="53855A9B" w:rsidR="004B4AE7" w:rsidRDefault="00AF680C">
                <w:pPr>
                  <w:pStyle w:val="TOC3"/>
                  <w:rPr>
                    <w:rFonts w:asciiTheme="minorHAnsi" w:eastAsiaTheme="minorEastAsia" w:hAnsiTheme="minorHAnsi" w:cstheme="minorBidi"/>
                    <w:noProof/>
                    <w:szCs w:val="22"/>
                    <w:lang w:eastAsia="en-AU"/>
                  </w:rPr>
                </w:pPr>
                <w:hyperlink w:anchor="_Toc77338095" w:history="1">
                  <w:r w:rsidR="004B4AE7" w:rsidRPr="002C0493">
                    <w:rPr>
                      <w:rStyle w:val="Hyperlink"/>
                      <w:rFonts w:eastAsiaTheme="majorEastAsia"/>
                      <w:noProof/>
                      <w:lang w:val="en-US"/>
                    </w:rPr>
                    <w:t>Making the tendering process easier</w:t>
                  </w:r>
                  <w:r w:rsidR="004B4AE7">
                    <w:rPr>
                      <w:noProof/>
                      <w:webHidden/>
                    </w:rPr>
                    <w:tab/>
                  </w:r>
                  <w:r w:rsidR="004B4AE7">
                    <w:rPr>
                      <w:noProof/>
                      <w:webHidden/>
                    </w:rPr>
                    <w:fldChar w:fldCharType="begin"/>
                  </w:r>
                  <w:r w:rsidR="004B4AE7">
                    <w:rPr>
                      <w:noProof/>
                      <w:webHidden/>
                    </w:rPr>
                    <w:instrText xml:space="preserve"> PAGEREF _Toc77338095 \h </w:instrText>
                  </w:r>
                  <w:r w:rsidR="004B4AE7">
                    <w:rPr>
                      <w:noProof/>
                      <w:webHidden/>
                    </w:rPr>
                  </w:r>
                  <w:r w:rsidR="004B4AE7">
                    <w:rPr>
                      <w:noProof/>
                      <w:webHidden/>
                    </w:rPr>
                    <w:fldChar w:fldCharType="separate"/>
                  </w:r>
                  <w:r w:rsidR="001A454C">
                    <w:rPr>
                      <w:noProof/>
                      <w:webHidden/>
                    </w:rPr>
                    <w:t>10</w:t>
                  </w:r>
                  <w:r w:rsidR="004B4AE7">
                    <w:rPr>
                      <w:noProof/>
                      <w:webHidden/>
                    </w:rPr>
                    <w:fldChar w:fldCharType="end"/>
                  </w:r>
                </w:hyperlink>
              </w:p>
              <w:p w14:paraId="0E2E9B9C" w14:textId="029B6B54" w:rsidR="004B4AE7" w:rsidRDefault="00AF680C">
                <w:pPr>
                  <w:pStyle w:val="TOC3"/>
                  <w:rPr>
                    <w:rFonts w:asciiTheme="minorHAnsi" w:eastAsiaTheme="minorEastAsia" w:hAnsiTheme="minorHAnsi" w:cstheme="minorBidi"/>
                    <w:noProof/>
                    <w:szCs w:val="22"/>
                    <w:lang w:eastAsia="en-AU"/>
                  </w:rPr>
                </w:pPr>
                <w:hyperlink w:anchor="_Toc77338096" w:history="1">
                  <w:r w:rsidR="004B4AE7" w:rsidRPr="002C0493">
                    <w:rPr>
                      <w:rStyle w:val="Hyperlink"/>
                      <w:rFonts w:eastAsiaTheme="majorEastAsia"/>
                      <w:noProof/>
                    </w:rPr>
                    <w:t>Evaluation of supplier offers</w:t>
                  </w:r>
                  <w:r w:rsidR="004B4AE7">
                    <w:rPr>
                      <w:noProof/>
                      <w:webHidden/>
                    </w:rPr>
                    <w:tab/>
                  </w:r>
                  <w:r w:rsidR="004B4AE7">
                    <w:rPr>
                      <w:noProof/>
                      <w:webHidden/>
                    </w:rPr>
                    <w:fldChar w:fldCharType="begin"/>
                  </w:r>
                  <w:r w:rsidR="004B4AE7">
                    <w:rPr>
                      <w:noProof/>
                      <w:webHidden/>
                    </w:rPr>
                    <w:instrText xml:space="preserve"> PAGEREF _Toc77338096 \h </w:instrText>
                  </w:r>
                  <w:r w:rsidR="004B4AE7">
                    <w:rPr>
                      <w:noProof/>
                      <w:webHidden/>
                    </w:rPr>
                  </w:r>
                  <w:r w:rsidR="004B4AE7">
                    <w:rPr>
                      <w:noProof/>
                      <w:webHidden/>
                    </w:rPr>
                    <w:fldChar w:fldCharType="separate"/>
                  </w:r>
                  <w:r w:rsidR="001A454C">
                    <w:rPr>
                      <w:noProof/>
                      <w:webHidden/>
                    </w:rPr>
                    <w:t>12</w:t>
                  </w:r>
                  <w:r w:rsidR="004B4AE7">
                    <w:rPr>
                      <w:noProof/>
                      <w:webHidden/>
                    </w:rPr>
                    <w:fldChar w:fldCharType="end"/>
                  </w:r>
                </w:hyperlink>
              </w:p>
              <w:p w14:paraId="2D146A44" w14:textId="54F63629" w:rsidR="004B4AE7" w:rsidRDefault="00AF680C">
                <w:pPr>
                  <w:pStyle w:val="TOC2"/>
                  <w:rPr>
                    <w:rFonts w:asciiTheme="minorHAnsi" w:eastAsiaTheme="minorEastAsia" w:hAnsiTheme="minorHAnsi" w:cstheme="minorBidi"/>
                    <w:b w:val="0"/>
                    <w:bCs w:val="0"/>
                    <w:noProof/>
                    <w:color w:val="auto"/>
                    <w:szCs w:val="22"/>
                  </w:rPr>
                </w:pPr>
                <w:hyperlink w:anchor="_Toc77338097" w:history="1">
                  <w:r w:rsidR="004B4AE7" w:rsidRPr="002C0493">
                    <w:rPr>
                      <w:rStyle w:val="Hyperlink"/>
                      <w:rFonts w:eastAsiaTheme="majorEastAsia"/>
                      <w:noProof/>
                    </w:rPr>
                    <w:t>Contract management</w:t>
                  </w:r>
                  <w:r w:rsidR="004B4AE7">
                    <w:rPr>
                      <w:noProof/>
                      <w:webHidden/>
                    </w:rPr>
                    <w:tab/>
                  </w:r>
                  <w:r w:rsidR="004B4AE7">
                    <w:rPr>
                      <w:noProof/>
                      <w:webHidden/>
                    </w:rPr>
                    <w:fldChar w:fldCharType="begin"/>
                  </w:r>
                  <w:r w:rsidR="004B4AE7">
                    <w:rPr>
                      <w:noProof/>
                      <w:webHidden/>
                    </w:rPr>
                    <w:instrText xml:space="preserve"> PAGEREF _Toc77338097 \h </w:instrText>
                  </w:r>
                  <w:r w:rsidR="004B4AE7">
                    <w:rPr>
                      <w:noProof/>
                      <w:webHidden/>
                    </w:rPr>
                  </w:r>
                  <w:r w:rsidR="004B4AE7">
                    <w:rPr>
                      <w:noProof/>
                      <w:webHidden/>
                    </w:rPr>
                    <w:fldChar w:fldCharType="separate"/>
                  </w:r>
                  <w:r w:rsidR="001A454C">
                    <w:rPr>
                      <w:noProof/>
                      <w:webHidden/>
                    </w:rPr>
                    <w:t>13</w:t>
                  </w:r>
                  <w:r w:rsidR="004B4AE7">
                    <w:rPr>
                      <w:noProof/>
                      <w:webHidden/>
                    </w:rPr>
                    <w:fldChar w:fldCharType="end"/>
                  </w:r>
                </w:hyperlink>
              </w:p>
              <w:p w14:paraId="5FAA1FC0" w14:textId="77777777" w:rsidR="00136F3A" w:rsidRDefault="00136F3A" w:rsidP="007B583E">
                <w:r>
                  <w:rPr>
                    <w:b/>
                    <w:bCs/>
                    <w:noProof/>
                  </w:rPr>
                  <w:fldChar w:fldCharType="end"/>
                </w:r>
              </w:p>
            </w:sdtContent>
          </w:sdt>
          <w:p w14:paraId="1C910236" w14:textId="77777777" w:rsidR="00136F3A" w:rsidRPr="0075237D" w:rsidRDefault="00136F3A" w:rsidP="007B583E">
            <w:pPr>
              <w:spacing w:after="0" w:line="240" w:lineRule="auto"/>
              <w:rPr>
                <w:sz w:val="18"/>
              </w:rPr>
            </w:pPr>
          </w:p>
        </w:tc>
      </w:tr>
    </w:tbl>
    <w:p w14:paraId="1ECCDA30" w14:textId="77777777" w:rsidR="004B4AE7" w:rsidRPr="003B3C17" w:rsidRDefault="004B4AE7" w:rsidP="003B3C17">
      <w:pPr>
        <w:rPr>
          <w:lang w:eastAsia="en-AU"/>
        </w:rPr>
      </w:pPr>
      <w:bookmarkStart w:id="0" w:name="_Toc514921985"/>
      <w:bookmarkStart w:id="1" w:name="_Toc458685323"/>
    </w:p>
    <w:p w14:paraId="5C48D61E" w14:textId="77777777" w:rsidR="00136F3A" w:rsidRDefault="00136F3A" w:rsidP="00136F3A">
      <w:pPr>
        <w:pStyle w:val="Heading1"/>
      </w:pPr>
      <w:bookmarkStart w:id="2" w:name="_Toc4152002"/>
      <w:bookmarkStart w:id="3" w:name="_Toc77338082"/>
      <w:r>
        <w:lastRenderedPageBreak/>
        <w:t>Introduction</w:t>
      </w:r>
      <w:bookmarkEnd w:id="0"/>
      <w:bookmarkEnd w:id="2"/>
      <w:bookmarkEnd w:id="3"/>
    </w:p>
    <w:p w14:paraId="714B29AF" w14:textId="77777777" w:rsidR="00136F3A" w:rsidRPr="003B3C17" w:rsidRDefault="00136F3A" w:rsidP="00136F3A">
      <w:pPr>
        <w:rPr>
          <w:sz w:val="22"/>
        </w:rPr>
      </w:pPr>
      <w:r w:rsidRPr="003B3C17">
        <w:rPr>
          <w:sz w:val="22"/>
        </w:rPr>
        <w:t xml:space="preserve">Every year the Queensland Government spends billions of dollars procuring a wide range of goods and services needed for the delivery of front-line services. </w:t>
      </w:r>
      <w:r w:rsidRPr="003B3C17">
        <w:rPr>
          <w:bCs/>
          <w:sz w:val="22"/>
        </w:rPr>
        <w:t>In addition to delivering these goods and services, this expenditure can support local jobs and businesses.</w:t>
      </w:r>
    </w:p>
    <w:p w14:paraId="6B8B0599" w14:textId="77777777" w:rsidR="00136F3A" w:rsidRPr="003B3C17" w:rsidRDefault="00136F3A" w:rsidP="00136F3A">
      <w:pPr>
        <w:rPr>
          <w:sz w:val="22"/>
        </w:rPr>
      </w:pPr>
      <w:r w:rsidRPr="003B3C17">
        <w:rPr>
          <w:sz w:val="22"/>
        </w:rPr>
        <w:t xml:space="preserve">The Queensland </w:t>
      </w:r>
      <w:r w:rsidRPr="003B3C17">
        <w:rPr>
          <w:bCs/>
          <w:sz w:val="22"/>
        </w:rPr>
        <w:t xml:space="preserve">Government </w:t>
      </w:r>
      <w:r w:rsidRPr="003B3C17">
        <w:rPr>
          <w:sz w:val="22"/>
        </w:rPr>
        <w:t xml:space="preserve">Procurement </w:t>
      </w:r>
      <w:r w:rsidRPr="003B3C17">
        <w:rPr>
          <w:bCs/>
          <w:sz w:val="22"/>
        </w:rPr>
        <w:t xml:space="preserve">Strategy has outlined its vision for procurement – </w:t>
      </w:r>
      <w:r w:rsidRPr="003B3C17">
        <w:rPr>
          <w:bCs/>
          <w:i/>
          <w:sz w:val="22"/>
        </w:rPr>
        <w:t>Backing Queensland Jobs</w:t>
      </w:r>
      <w:r w:rsidRPr="003B3C17">
        <w:rPr>
          <w:bCs/>
          <w:sz w:val="22"/>
        </w:rPr>
        <w:t xml:space="preserve"> – and the objectives which underpin this vision</w:t>
      </w:r>
      <w:r w:rsidRPr="003B3C17">
        <w:rPr>
          <w:sz w:val="22"/>
        </w:rPr>
        <w:t>.</w:t>
      </w:r>
      <w:r w:rsidRPr="003B3C17">
        <w:rPr>
          <w:bCs/>
          <w:sz w:val="22"/>
        </w:rPr>
        <w:t xml:space="preserve"> This is complemented by a range of provisions within the Queensland Procurement Policy (QPP) which are designed to maximise Queensland supplier access to supply opportunities. </w:t>
      </w:r>
    </w:p>
    <w:p w14:paraId="4F62B57E" w14:textId="77777777" w:rsidR="00136F3A" w:rsidRPr="003B3C17" w:rsidRDefault="00136F3A" w:rsidP="00136F3A">
      <w:pPr>
        <w:pStyle w:val="Heading2"/>
        <w:rPr>
          <w:b/>
          <w:bCs/>
          <w:sz w:val="22"/>
          <w:szCs w:val="22"/>
        </w:rPr>
      </w:pPr>
      <w:bookmarkStart w:id="4" w:name="_Toc514921986"/>
      <w:bookmarkStart w:id="5" w:name="_Toc4152003"/>
      <w:bookmarkStart w:id="6" w:name="_Toc77338083"/>
      <w:r w:rsidRPr="003B3C17">
        <w:rPr>
          <w:b/>
          <w:bCs/>
          <w:sz w:val="22"/>
          <w:szCs w:val="22"/>
        </w:rPr>
        <w:t>Purpose of this guide</w:t>
      </w:r>
      <w:bookmarkEnd w:id="4"/>
      <w:bookmarkEnd w:id="5"/>
      <w:bookmarkEnd w:id="6"/>
      <w:r w:rsidRPr="003B3C17">
        <w:rPr>
          <w:b/>
          <w:bCs/>
          <w:sz w:val="22"/>
          <w:szCs w:val="22"/>
        </w:rPr>
        <w:t xml:space="preserve"> </w:t>
      </w:r>
    </w:p>
    <w:p w14:paraId="18D986CE" w14:textId="1F690CC2" w:rsidR="00136F3A" w:rsidRPr="003B3C17" w:rsidRDefault="00136F3A" w:rsidP="00136F3A">
      <w:pPr>
        <w:rPr>
          <w:sz w:val="22"/>
        </w:rPr>
      </w:pPr>
      <w:r w:rsidRPr="003B3C17">
        <w:rPr>
          <w:sz w:val="22"/>
        </w:rPr>
        <w:t xml:space="preserve">This guide provides practical hints and tips for government buyers to optimise opportunities for Queensland businesses, so that capable and competitive suppliers have full, fair and reasonable opportunity to supply government. This is consistent with </w:t>
      </w:r>
      <w:r w:rsidR="006100F9" w:rsidRPr="003B3C17">
        <w:rPr>
          <w:sz w:val="22"/>
        </w:rPr>
        <w:t>C</w:t>
      </w:r>
      <w:r w:rsidRPr="003B3C17">
        <w:rPr>
          <w:sz w:val="22"/>
        </w:rPr>
        <w:t>lause 2.1 of the QPP.</w:t>
      </w:r>
    </w:p>
    <w:p w14:paraId="6C15531E" w14:textId="77777777" w:rsidR="00136F3A" w:rsidRPr="003B3C17" w:rsidRDefault="00136F3A" w:rsidP="00136F3A">
      <w:pPr>
        <w:spacing w:line="240" w:lineRule="auto"/>
        <w:rPr>
          <w:rFonts w:cs="Arial"/>
          <w:sz w:val="22"/>
        </w:rPr>
      </w:pPr>
      <w:r w:rsidRPr="003B3C17">
        <w:rPr>
          <w:sz w:val="22"/>
        </w:rPr>
        <w:t xml:space="preserve">It is </w:t>
      </w:r>
      <w:r w:rsidRPr="003B3C17">
        <w:rPr>
          <w:rFonts w:cs="Arial"/>
          <w:sz w:val="22"/>
        </w:rPr>
        <w:t>divided into two parts:</w:t>
      </w:r>
    </w:p>
    <w:p w14:paraId="09228E47" w14:textId="11A83E79" w:rsidR="00136F3A" w:rsidRPr="003B3C17" w:rsidRDefault="00136F3A" w:rsidP="00136F3A">
      <w:pPr>
        <w:pStyle w:val="ListParagraph"/>
        <w:numPr>
          <w:ilvl w:val="0"/>
          <w:numId w:val="16"/>
        </w:numPr>
        <w:spacing w:before="180" w:line="259" w:lineRule="auto"/>
        <w:contextualSpacing/>
        <w:rPr>
          <w:rFonts w:cs="Arial"/>
          <w:sz w:val="22"/>
        </w:rPr>
      </w:pPr>
      <w:r w:rsidRPr="003B3C17">
        <w:rPr>
          <w:rFonts w:cs="Arial"/>
          <w:b/>
          <w:sz w:val="22"/>
        </w:rPr>
        <w:t>Part A</w:t>
      </w:r>
      <w:r w:rsidRPr="003B3C17">
        <w:rPr>
          <w:rFonts w:cs="Arial"/>
          <w:sz w:val="22"/>
        </w:rPr>
        <w:t xml:space="preserve"> provides an overview of the definition of a local supplier within th</w:t>
      </w:r>
      <w:r w:rsidRPr="003B3C17">
        <w:rPr>
          <w:sz w:val="22"/>
        </w:rPr>
        <w:t xml:space="preserve">e </w:t>
      </w:r>
      <w:r w:rsidRPr="003B3C17">
        <w:rPr>
          <w:rFonts w:cs="Arial"/>
          <w:sz w:val="22"/>
        </w:rPr>
        <w:t>QPP</w:t>
      </w:r>
      <w:r w:rsidR="006100F9" w:rsidRPr="003B3C17">
        <w:rPr>
          <w:rFonts w:cs="Arial"/>
          <w:sz w:val="22"/>
        </w:rPr>
        <w:t>.</w:t>
      </w:r>
    </w:p>
    <w:p w14:paraId="0DB8EE52" w14:textId="77777777" w:rsidR="00136F3A" w:rsidRPr="003B3C17" w:rsidRDefault="00136F3A" w:rsidP="003B3C17">
      <w:pPr>
        <w:pStyle w:val="ListParagraph"/>
        <w:spacing w:after="0"/>
        <w:rPr>
          <w:rFonts w:cs="Arial"/>
          <w:sz w:val="22"/>
        </w:rPr>
      </w:pPr>
    </w:p>
    <w:p w14:paraId="0A9B7FEE" w14:textId="77777777" w:rsidR="00136F3A" w:rsidRPr="00802CC1" w:rsidRDefault="00136F3A" w:rsidP="00136F3A">
      <w:pPr>
        <w:pStyle w:val="ListParagraph"/>
        <w:numPr>
          <w:ilvl w:val="0"/>
          <w:numId w:val="16"/>
        </w:numPr>
        <w:spacing w:before="180" w:line="259" w:lineRule="auto"/>
        <w:contextualSpacing/>
        <w:rPr>
          <w:rFonts w:cs="Arial"/>
        </w:rPr>
      </w:pPr>
      <w:r w:rsidRPr="003B3C17">
        <w:rPr>
          <w:rFonts w:cs="Arial"/>
          <w:b/>
          <w:sz w:val="22"/>
        </w:rPr>
        <w:t xml:space="preserve">Part B </w:t>
      </w:r>
      <w:r w:rsidRPr="003B3C17">
        <w:rPr>
          <w:rFonts w:cs="Arial"/>
          <w:sz w:val="22"/>
        </w:rPr>
        <w:t>identifies ways in which agencies can ensure full, fair and reasonable opportunity for local suppliers during the procurement process.</w:t>
      </w:r>
      <w:bookmarkStart w:id="7" w:name="_Toc488417412"/>
      <w:r w:rsidRPr="00802CC1">
        <w:rPr>
          <w:color w:val="FFFFFF" w:themeColor="background1"/>
          <w:szCs w:val="24"/>
        </w:rPr>
        <w:br/>
      </w:r>
      <w:r w:rsidRPr="00287BDF">
        <w:rPr>
          <w:lang w:eastAsia="en-AU"/>
        </w:rPr>
        <w:t xml:space="preserve"> </w:t>
      </w:r>
      <w:r w:rsidRPr="00802CC1">
        <w:rPr>
          <w:rFonts w:cs="Arial"/>
          <w:color w:val="FFFFFF" w:themeColor="background1"/>
        </w:rPr>
        <w:t xml:space="preserve"> be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346"/>
      </w:tblGrid>
      <w:tr w:rsidR="00136F3A" w:rsidRPr="007B3B28" w14:paraId="449BC5FD" w14:textId="77777777" w:rsidTr="003B3C17">
        <w:trPr>
          <w:trHeight w:val="273"/>
        </w:trPr>
        <w:tc>
          <w:tcPr>
            <w:tcW w:w="9628" w:type="dxa"/>
            <w:shd w:val="clear" w:color="auto" w:fill="808080" w:themeFill="background1" w:themeFillShade="80"/>
          </w:tcPr>
          <w:p w14:paraId="55AF63FD" w14:textId="52E26AE1" w:rsidR="006100F9" w:rsidRPr="00043150" w:rsidRDefault="00136F3A" w:rsidP="003B3C17">
            <w:pPr>
              <w:spacing w:before="120" w:after="120"/>
              <w:rPr>
                <w:rFonts w:ascii="Calibri" w:eastAsia="Calibri" w:hAnsi="Calibri" w:cs="Arial"/>
                <w:szCs w:val="22"/>
              </w:rPr>
            </w:pPr>
            <w:bookmarkStart w:id="8" w:name="_Toc494365921"/>
            <w:bookmarkStart w:id="9" w:name="_Toc514843894"/>
            <w:bookmarkStart w:id="10" w:name="_Toc517449180"/>
            <w:bookmarkStart w:id="11" w:name="_Hlk494372329"/>
            <w:bookmarkStart w:id="12" w:name="_Toc491873068"/>
            <w:r w:rsidRPr="003B3C17">
              <w:rPr>
                <w:b/>
                <w:color w:val="FFFFFF" w:themeColor="background1"/>
                <w:sz w:val="22"/>
              </w:rPr>
              <w:t>Guidance to support the Queensland Government Procurement Strategy</w:t>
            </w:r>
            <w:bookmarkEnd w:id="8"/>
            <w:bookmarkEnd w:id="9"/>
            <w:bookmarkEnd w:id="10"/>
          </w:p>
        </w:tc>
      </w:tr>
      <w:tr w:rsidR="003B3C17" w:rsidRPr="007B3B28" w14:paraId="7BC46EBA" w14:textId="77777777" w:rsidTr="003B3C17">
        <w:trPr>
          <w:trHeight w:val="2265"/>
        </w:trPr>
        <w:tc>
          <w:tcPr>
            <w:tcW w:w="9628" w:type="dxa"/>
            <w:shd w:val="clear" w:color="auto" w:fill="D9D9D9" w:themeFill="background1" w:themeFillShade="D9"/>
          </w:tcPr>
          <w:p w14:paraId="6DD42D4F" w14:textId="77777777" w:rsidR="003B3C17" w:rsidRPr="003E1226" w:rsidRDefault="003B3C17" w:rsidP="007B583E">
            <w:r w:rsidRPr="003E1226">
              <w:t>To support the Queensland Government Procurement Strategy</w:t>
            </w:r>
            <w:r>
              <w:t xml:space="preserve"> – </w:t>
            </w:r>
            <w:r w:rsidRPr="00C85AE6">
              <w:rPr>
                <w:i/>
              </w:rPr>
              <w:t>Backing Queensland Jobs</w:t>
            </w:r>
            <w:r w:rsidRPr="003E1226">
              <w:t xml:space="preserve">, </w:t>
            </w:r>
            <w:r>
              <w:t xml:space="preserve">Queensland Government </w:t>
            </w:r>
            <w:r w:rsidRPr="003E1226">
              <w:t xml:space="preserve">Procurement, has released a range of guidance materials. These guides should be read together. </w:t>
            </w:r>
            <w:r>
              <w:t>They include</w:t>
            </w:r>
            <w:r w:rsidRPr="003E1226">
              <w:t>:</w:t>
            </w:r>
          </w:p>
          <w:p w14:paraId="7FDB330C" w14:textId="77777777" w:rsidR="003B3C17" w:rsidRPr="003E1226" w:rsidRDefault="003B3C17" w:rsidP="00136F3A">
            <w:pPr>
              <w:numPr>
                <w:ilvl w:val="0"/>
                <w:numId w:val="18"/>
              </w:numPr>
              <w:spacing w:before="180" w:after="60" w:line="259" w:lineRule="auto"/>
              <w:contextualSpacing/>
              <w:rPr>
                <w:rFonts w:ascii="Calibri" w:eastAsia="Calibri" w:hAnsi="Calibri"/>
              </w:rPr>
            </w:pPr>
            <w:r w:rsidRPr="003E1226">
              <w:rPr>
                <w:rFonts w:eastAsia="Calibri"/>
              </w:rPr>
              <w:t>Putting Queenslanders first when securing value for money</w:t>
            </w:r>
            <w:r>
              <w:rPr>
                <w:rFonts w:eastAsia="Calibri"/>
              </w:rPr>
              <w:t>.</w:t>
            </w:r>
          </w:p>
          <w:p w14:paraId="17423D3C" w14:textId="77777777" w:rsidR="003B3C17" w:rsidRPr="003E1226" w:rsidRDefault="003B3C17" w:rsidP="00136F3A">
            <w:pPr>
              <w:numPr>
                <w:ilvl w:val="0"/>
                <w:numId w:val="18"/>
              </w:numPr>
              <w:spacing w:before="180" w:after="60" w:line="259" w:lineRule="auto"/>
              <w:contextualSpacing/>
              <w:rPr>
                <w:rFonts w:ascii="Calibri" w:eastAsia="Calibri" w:hAnsi="Calibri"/>
              </w:rPr>
            </w:pPr>
            <w:r w:rsidRPr="003E1226">
              <w:rPr>
                <w:rFonts w:eastAsia="Calibri"/>
              </w:rPr>
              <w:t>Probity and integrity in procurement</w:t>
            </w:r>
            <w:r>
              <w:rPr>
                <w:rFonts w:eastAsia="Calibri"/>
              </w:rPr>
              <w:t>.</w:t>
            </w:r>
          </w:p>
          <w:p w14:paraId="6333F399" w14:textId="77777777" w:rsidR="003B3C17" w:rsidRPr="003E1226" w:rsidRDefault="003B3C17" w:rsidP="00136F3A">
            <w:pPr>
              <w:numPr>
                <w:ilvl w:val="0"/>
                <w:numId w:val="18"/>
              </w:numPr>
              <w:spacing w:before="180" w:after="60" w:line="259" w:lineRule="auto"/>
              <w:contextualSpacing/>
              <w:rPr>
                <w:rFonts w:ascii="Calibri" w:eastAsia="Calibri" w:hAnsi="Calibri"/>
              </w:rPr>
            </w:pPr>
            <w:r w:rsidRPr="003E1226">
              <w:rPr>
                <w:rFonts w:eastAsia="Calibri"/>
              </w:rPr>
              <w:t>Optimising opportunities for local suppliers</w:t>
            </w:r>
            <w:r>
              <w:rPr>
                <w:rFonts w:eastAsia="Calibri"/>
              </w:rPr>
              <w:t>.</w:t>
            </w:r>
          </w:p>
          <w:p w14:paraId="5B151563" w14:textId="77777777" w:rsidR="003B3C17" w:rsidRPr="003B3C17" w:rsidRDefault="003B3C17" w:rsidP="006100F9">
            <w:pPr>
              <w:numPr>
                <w:ilvl w:val="0"/>
                <w:numId w:val="18"/>
              </w:numPr>
              <w:spacing w:before="180" w:after="240" w:line="240" w:lineRule="auto"/>
              <w:ind w:left="714" w:hanging="357"/>
              <w:contextualSpacing/>
              <w:rPr>
                <w:rFonts w:ascii="Calibri" w:eastAsia="Calibri" w:hAnsi="Calibri" w:cs="Arial"/>
                <w:szCs w:val="22"/>
              </w:rPr>
            </w:pPr>
            <w:r w:rsidRPr="003E1226">
              <w:rPr>
                <w:rFonts w:eastAsia="Calibri"/>
              </w:rPr>
              <w:t>Local benefits test.</w:t>
            </w:r>
          </w:p>
          <w:p w14:paraId="3FD22439" w14:textId="77777777" w:rsidR="003B3C17" w:rsidRPr="003B3C17" w:rsidRDefault="003B3C17" w:rsidP="003B3C17">
            <w:pPr>
              <w:spacing w:before="180" w:after="240" w:line="240" w:lineRule="auto"/>
              <w:ind w:left="714"/>
              <w:contextualSpacing/>
              <w:rPr>
                <w:b/>
                <w:sz w:val="22"/>
              </w:rPr>
            </w:pPr>
          </w:p>
        </w:tc>
      </w:tr>
    </w:tbl>
    <w:bookmarkEnd w:id="11"/>
    <w:bookmarkEnd w:id="12"/>
    <w:p w14:paraId="27075606" w14:textId="77777777" w:rsidR="00136F3A" w:rsidRPr="00287BDF" w:rsidRDefault="00136F3A" w:rsidP="00136F3A">
      <w:pPr>
        <w:rPr>
          <w:color w:val="FFFFFF" w:themeColor="background1"/>
        </w:rPr>
      </w:pPr>
      <w:r w:rsidRPr="00287BDF">
        <w:rPr>
          <w:rFonts w:eastAsia="Calibri" w:cs="Arial"/>
          <w:color w:val="FFFFFF" w:themeColor="background1"/>
        </w:rPr>
        <w:t>s test.</w:t>
      </w:r>
    </w:p>
    <w:p w14:paraId="5F7BF939" w14:textId="77777777" w:rsidR="00136F3A" w:rsidRDefault="00136F3A" w:rsidP="00136F3A">
      <w:pPr>
        <w:pStyle w:val="Heading1"/>
        <w:spacing w:before="120"/>
      </w:pPr>
      <w:bookmarkStart w:id="13" w:name="_Toc514921988"/>
      <w:bookmarkStart w:id="14" w:name="_Toc4152004"/>
      <w:bookmarkStart w:id="15" w:name="_Toc77338084"/>
      <w:bookmarkEnd w:id="7"/>
      <w:r>
        <w:t>Part A: Definition of a local supplier</w:t>
      </w:r>
      <w:bookmarkEnd w:id="13"/>
      <w:bookmarkEnd w:id="14"/>
      <w:bookmarkEnd w:id="15"/>
    </w:p>
    <w:p w14:paraId="3214DFC4" w14:textId="77777777" w:rsidR="00136F3A" w:rsidRPr="003B3C17" w:rsidRDefault="00136F3A" w:rsidP="00136F3A">
      <w:pPr>
        <w:rPr>
          <w:sz w:val="22"/>
        </w:rPr>
      </w:pPr>
      <w:bookmarkStart w:id="16" w:name="_Hlk490122183"/>
      <w:r w:rsidRPr="003B3C17">
        <w:rPr>
          <w:sz w:val="22"/>
        </w:rPr>
        <w:t>The QPP defines a local supplier as:</w:t>
      </w:r>
    </w:p>
    <w:p w14:paraId="59180CB8" w14:textId="77777777" w:rsidR="00136F3A" w:rsidRPr="003B3C17" w:rsidRDefault="00136F3A" w:rsidP="003B3C17">
      <w:pPr>
        <w:spacing w:after="0" w:line="240" w:lineRule="auto"/>
        <w:contextualSpacing/>
        <w:rPr>
          <w:sz w:val="22"/>
        </w:rPr>
      </w:pPr>
      <w:r w:rsidRPr="003B3C17">
        <w:rPr>
          <w:rFonts w:cs="Arial"/>
          <w:i/>
          <w:sz w:val="22"/>
          <w:lang w:eastAsia="en-AU"/>
        </w:rPr>
        <w:t>“a supplier of goods or services that maintains a workforce whose usual place of residency (i.e. where they normally live, sleep and eat) is located within a 125 kilometre (km) radius of where the good or service is to be supplied. If a capable local supplier does not exist within the 125 kilometre radius, the radius should be extended progressively to the local region, then Queensland, then outside of Queensland, until a suitable supplier is identified.</w:t>
      </w:r>
      <w:r w:rsidRPr="003B3C17">
        <w:rPr>
          <w:rFonts w:ascii="MetaNormalLF-Roman" w:hAnsi="MetaNormalLF-Roman" w:cs="MetaNormalLF-Roman"/>
          <w:i/>
          <w:sz w:val="22"/>
          <w:lang w:eastAsia="en-AU"/>
        </w:rPr>
        <w:t>”</w:t>
      </w:r>
      <w:bookmarkEnd w:id="16"/>
    </w:p>
    <w:p w14:paraId="0AACDC2B" w14:textId="77777777" w:rsidR="00136F3A" w:rsidRPr="003B3C17" w:rsidRDefault="00136F3A" w:rsidP="00136F3A">
      <w:pPr>
        <w:jc w:val="center"/>
        <w:rPr>
          <w:sz w:val="22"/>
        </w:rPr>
      </w:pPr>
      <w:r w:rsidRPr="003B3C17">
        <w:rPr>
          <w:noProof/>
          <w:sz w:val="22"/>
        </w:rPr>
        <w:drawing>
          <wp:inline distT="0" distB="0" distL="0" distR="0" wp14:anchorId="4DB4FD2E" wp14:editId="3361A275">
            <wp:extent cx="6120130" cy="28619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0130" cy="2861910"/>
                    </a:xfrm>
                    <a:prstGeom prst="rect">
                      <a:avLst/>
                    </a:prstGeom>
                    <a:noFill/>
                    <a:ln>
                      <a:noFill/>
                    </a:ln>
                  </pic:spPr>
                </pic:pic>
              </a:graphicData>
            </a:graphic>
          </wp:inline>
        </w:drawing>
      </w:r>
    </w:p>
    <w:p w14:paraId="6CBBDCD9" w14:textId="77777777" w:rsidR="00136F3A" w:rsidRPr="003B3C17" w:rsidRDefault="00136F3A" w:rsidP="00136F3A">
      <w:pPr>
        <w:rPr>
          <w:sz w:val="22"/>
        </w:rPr>
      </w:pPr>
      <w:r w:rsidRPr="003B3C17">
        <w:rPr>
          <w:sz w:val="22"/>
        </w:rPr>
        <w:t xml:space="preserve">The key point regarding this definition is that it is a supplier’s workforce, and their usual place of residency, which is the determining factor. Where a supplier is owned or headquartered is irrelevant. </w:t>
      </w:r>
    </w:p>
    <w:p w14:paraId="7E1453BC" w14:textId="77777777" w:rsidR="00136F3A" w:rsidRPr="003B3C17" w:rsidRDefault="00136F3A" w:rsidP="00136F3A">
      <w:pPr>
        <w:rPr>
          <w:sz w:val="22"/>
        </w:rPr>
      </w:pPr>
      <w:proofErr w:type="gramStart"/>
      <w:r w:rsidRPr="003B3C17">
        <w:rPr>
          <w:sz w:val="22"/>
        </w:rPr>
        <w:t>In applying this definition, it</w:t>
      </w:r>
      <w:proofErr w:type="gramEnd"/>
      <w:r w:rsidRPr="003B3C17">
        <w:rPr>
          <w:sz w:val="22"/>
        </w:rPr>
        <w:t xml:space="preserve"> is important that a common sense and practical approach is taken. This is particularly the case where the radius is progressively extended to the local region, Queensland and Australia. For example, the radius may be extended:</w:t>
      </w:r>
    </w:p>
    <w:p w14:paraId="6CDD4A81" w14:textId="77777777" w:rsidR="00136F3A" w:rsidRPr="003B3C17" w:rsidRDefault="00136F3A" w:rsidP="00136F3A">
      <w:pPr>
        <w:pStyle w:val="ListParagraph"/>
        <w:numPr>
          <w:ilvl w:val="0"/>
          <w:numId w:val="10"/>
        </w:numPr>
        <w:spacing w:before="180" w:line="240" w:lineRule="auto"/>
        <w:ind w:left="714" w:hanging="357"/>
        <w:contextualSpacing/>
        <w:rPr>
          <w:rFonts w:cs="Arial"/>
          <w:sz w:val="22"/>
        </w:rPr>
      </w:pPr>
      <w:r w:rsidRPr="003B3C17">
        <w:rPr>
          <w:rFonts w:cs="Arial"/>
          <w:sz w:val="22"/>
        </w:rPr>
        <w:lastRenderedPageBreak/>
        <w:t xml:space="preserve">to the region where a value for money outcome cannot be secured within the local area (that is, there is no capable local supplier or acceptable value for money outcome) </w:t>
      </w:r>
      <w:r w:rsidRPr="003B3C17">
        <w:rPr>
          <w:rFonts w:cs="Arial"/>
          <w:sz w:val="22"/>
        </w:rPr>
        <w:br/>
      </w:r>
    </w:p>
    <w:p w14:paraId="008036C5" w14:textId="5C8A0A6B" w:rsidR="00136F3A" w:rsidRPr="003B3C17" w:rsidRDefault="00136F3A" w:rsidP="00136F3A">
      <w:pPr>
        <w:pStyle w:val="ListParagraph"/>
        <w:numPr>
          <w:ilvl w:val="0"/>
          <w:numId w:val="10"/>
        </w:numPr>
        <w:spacing w:before="180" w:line="240" w:lineRule="auto"/>
        <w:ind w:left="714" w:hanging="357"/>
        <w:contextualSpacing/>
        <w:rPr>
          <w:rFonts w:cs="Arial"/>
          <w:sz w:val="22"/>
        </w:rPr>
      </w:pPr>
      <w:r w:rsidRPr="003B3C17">
        <w:rPr>
          <w:rFonts w:cs="Arial"/>
          <w:sz w:val="22"/>
        </w:rPr>
        <w:t xml:space="preserve">to the whole of Queensland where an agency is putting in place a </w:t>
      </w:r>
      <w:proofErr w:type="spellStart"/>
      <w:r w:rsidR="00F31440" w:rsidRPr="003B3C17">
        <w:rPr>
          <w:rFonts w:cs="Arial"/>
          <w:sz w:val="22"/>
        </w:rPr>
        <w:t>statewide</w:t>
      </w:r>
      <w:proofErr w:type="spellEnd"/>
      <w:r w:rsidRPr="003B3C17">
        <w:rPr>
          <w:rFonts w:cs="Arial"/>
          <w:sz w:val="22"/>
        </w:rPr>
        <w:t xml:space="preserve"> common-use supply arrangement</w:t>
      </w:r>
      <w:r w:rsidRPr="003B3C17">
        <w:rPr>
          <w:rFonts w:cs="Arial"/>
          <w:sz w:val="22"/>
        </w:rPr>
        <w:br/>
      </w:r>
    </w:p>
    <w:p w14:paraId="51C1D970" w14:textId="77777777" w:rsidR="00136F3A" w:rsidRPr="003B3C17" w:rsidRDefault="00136F3A" w:rsidP="00136F3A">
      <w:pPr>
        <w:pStyle w:val="ListParagraph"/>
        <w:numPr>
          <w:ilvl w:val="0"/>
          <w:numId w:val="10"/>
        </w:numPr>
        <w:spacing w:before="180" w:line="240" w:lineRule="auto"/>
        <w:ind w:left="714" w:hanging="357"/>
        <w:contextualSpacing/>
        <w:rPr>
          <w:rFonts w:cs="Arial"/>
          <w:sz w:val="22"/>
        </w:rPr>
      </w:pPr>
      <w:r w:rsidRPr="003B3C17">
        <w:rPr>
          <w:rFonts w:cs="Arial"/>
          <w:sz w:val="22"/>
        </w:rPr>
        <w:t>for procurement where regional boundaries coincide or are close to the state borders, professional judgement should be used to determine the most suitable region.</w:t>
      </w:r>
    </w:p>
    <w:p w14:paraId="14BF8E89" w14:textId="36BE86BC" w:rsidR="00136F3A" w:rsidRDefault="00136F3A" w:rsidP="00136F3A">
      <w:pPr>
        <w:spacing w:before="240" w:line="240" w:lineRule="auto"/>
      </w:pPr>
      <w:r w:rsidRPr="003B3C17">
        <w:rPr>
          <w:sz w:val="22"/>
        </w:rPr>
        <w:t>Ultimately, when applying the definition, government agencies and government buyers should ensure that the intention of this definition – to support genuinely local workforces – is reflected.</w:t>
      </w:r>
      <w: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346"/>
      </w:tblGrid>
      <w:tr w:rsidR="00136F3A" w:rsidRPr="00972AE8" w14:paraId="0C49D985" w14:textId="77777777" w:rsidTr="007B583E">
        <w:tc>
          <w:tcPr>
            <w:tcW w:w="9628" w:type="dxa"/>
            <w:shd w:val="clear" w:color="auto" w:fill="808080" w:themeFill="background1" w:themeFillShade="80"/>
          </w:tcPr>
          <w:p w14:paraId="13CBCB7B" w14:textId="77777777" w:rsidR="00136F3A" w:rsidRPr="00F84989" w:rsidRDefault="00136F3A" w:rsidP="007B583E">
            <w:pPr>
              <w:pStyle w:val="Tableheadings"/>
              <w:rPr>
                <w:sz w:val="22"/>
                <w:szCs w:val="22"/>
              </w:rPr>
            </w:pPr>
            <w:r w:rsidRPr="00F84989">
              <w:rPr>
                <w:sz w:val="22"/>
                <w:szCs w:val="22"/>
              </w:rPr>
              <w:t>What is a local region?</w:t>
            </w:r>
          </w:p>
        </w:tc>
      </w:tr>
      <w:tr w:rsidR="00136F3A" w14:paraId="7BE9B4B7" w14:textId="77777777" w:rsidTr="007B583E">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082A80C3" w14:textId="77777777" w:rsidR="00136F3A" w:rsidRPr="00BC1F4C" w:rsidRDefault="00136F3A" w:rsidP="007B583E">
            <w:pPr>
              <w:pStyle w:val="Tabletext"/>
              <w:spacing w:before="180" w:after="60"/>
            </w:pPr>
            <w:r w:rsidRPr="00BC1F4C">
              <w:t xml:space="preserve">Many agencies will already have formal regional boundaries in place that can be used to quickly identify the local region where the goods or services are to be supplied. </w:t>
            </w:r>
          </w:p>
          <w:p w14:paraId="619A6A37" w14:textId="77777777" w:rsidR="00136F3A" w:rsidRPr="00253AF0" w:rsidRDefault="00136F3A" w:rsidP="007B583E">
            <w:pPr>
              <w:pStyle w:val="Tabletext"/>
              <w:spacing w:before="180" w:after="60"/>
              <w:rPr>
                <w:sz w:val="22"/>
                <w:szCs w:val="22"/>
              </w:rPr>
            </w:pPr>
            <w:r w:rsidRPr="00BC1F4C">
              <w:t xml:space="preserve">Agencies without predefined regional boundaries may consider using the Australian Bureau of Statistics </w:t>
            </w:r>
            <w:r w:rsidRPr="00BC1F4C">
              <w:rPr>
                <w:i/>
              </w:rPr>
              <w:t>Statistical Areas Level 4</w:t>
            </w:r>
            <w:r w:rsidRPr="00BC1F4C">
              <w:t xml:space="preserve"> regional classification. More information can be found at </w:t>
            </w:r>
            <w:hyperlink r:id="rId16" w:history="1">
              <w:r w:rsidRPr="00BC1F4C">
                <w:rPr>
                  <w:rStyle w:val="Hyperlink"/>
                </w:rPr>
                <w:t>www.qgso.qld.gov.au/products/maps/qld-sa4-asgs-2016/index.php</w:t>
              </w:r>
            </w:hyperlink>
            <w:r w:rsidRPr="00BC1F4C">
              <w:t>.</w:t>
            </w:r>
            <w:r>
              <w:rPr>
                <w:sz w:val="22"/>
                <w:szCs w:val="22"/>
              </w:rPr>
              <w:t xml:space="preserve"> </w:t>
            </w:r>
          </w:p>
        </w:tc>
      </w:tr>
    </w:tbl>
    <w:p w14:paraId="193ADB95" w14:textId="3A6C1229" w:rsidR="00136F3A" w:rsidRDefault="00136F3A" w:rsidP="00136F3A">
      <w:pPr>
        <w:pStyle w:val="Heading1"/>
      </w:pPr>
      <w:bookmarkStart w:id="17" w:name="_Toc488417414"/>
      <w:bookmarkStart w:id="18" w:name="_Toc514921989"/>
      <w:bookmarkStart w:id="19" w:name="_Toc4152005"/>
      <w:bookmarkStart w:id="20" w:name="_Toc77338085"/>
      <w:r>
        <w:t>Part B: How to optimise opportunities for local suppliers</w:t>
      </w:r>
      <w:bookmarkEnd w:id="17"/>
      <w:bookmarkEnd w:id="18"/>
      <w:bookmarkEnd w:id="19"/>
      <w:bookmarkEnd w:id="20"/>
    </w:p>
    <w:p w14:paraId="0206A55F" w14:textId="77777777" w:rsidR="00136F3A" w:rsidRDefault="00136F3A" w:rsidP="00136F3A">
      <w:pPr>
        <w:pStyle w:val="Heading2"/>
        <w:spacing w:before="180" w:after="60"/>
        <w:rPr>
          <w:lang w:val="en-US"/>
        </w:rPr>
      </w:pPr>
      <w:bookmarkStart w:id="21" w:name="_Toc514921990"/>
      <w:bookmarkStart w:id="22" w:name="_Toc4152006"/>
      <w:bookmarkStart w:id="23" w:name="_Toc77338086"/>
      <w:r>
        <w:rPr>
          <w:lang w:val="en-US"/>
        </w:rPr>
        <w:t>How the approach varies based on value and risk</w:t>
      </w:r>
      <w:bookmarkEnd w:id="21"/>
      <w:bookmarkEnd w:id="22"/>
      <w:bookmarkEnd w:id="23"/>
    </w:p>
    <w:p w14:paraId="5402D081" w14:textId="77777777" w:rsidR="00136F3A" w:rsidRPr="003B3C17" w:rsidRDefault="00136F3A" w:rsidP="00136F3A">
      <w:pPr>
        <w:rPr>
          <w:sz w:val="22"/>
          <w:lang w:val="en-US" w:eastAsia="en-AU"/>
        </w:rPr>
      </w:pPr>
      <w:r w:rsidRPr="003B3C17">
        <w:rPr>
          <w:sz w:val="22"/>
          <w:lang w:val="en-US" w:eastAsia="en-AU"/>
        </w:rPr>
        <w:t>The approach taken to any procurement will depend on the nature of the procurement at hand. This includes:</w:t>
      </w:r>
    </w:p>
    <w:p w14:paraId="0B05B80A" w14:textId="2C9C48D2" w:rsidR="00136F3A" w:rsidRPr="003B3C17" w:rsidRDefault="00136F3A" w:rsidP="003B3C17">
      <w:pPr>
        <w:pStyle w:val="ListParagraph"/>
        <w:numPr>
          <w:ilvl w:val="0"/>
          <w:numId w:val="11"/>
        </w:numPr>
        <w:spacing w:before="180" w:after="120" w:line="360" w:lineRule="auto"/>
        <w:ind w:left="714" w:hanging="357"/>
        <w:contextualSpacing/>
        <w:rPr>
          <w:rFonts w:cs="Arial"/>
          <w:sz w:val="22"/>
          <w:lang w:val="en-US" w:eastAsia="en-AU"/>
        </w:rPr>
      </w:pPr>
      <w:r w:rsidRPr="003B3C17">
        <w:rPr>
          <w:rFonts w:cs="Arial"/>
          <w:sz w:val="22"/>
          <w:lang w:val="en-US" w:eastAsia="en-AU"/>
        </w:rPr>
        <w:t>low value and low business risk purchases</w:t>
      </w:r>
    </w:p>
    <w:p w14:paraId="75721393" w14:textId="77777777" w:rsidR="00136F3A" w:rsidRPr="003B3C17" w:rsidRDefault="00136F3A" w:rsidP="00136F3A">
      <w:pPr>
        <w:pStyle w:val="ListParagraph"/>
        <w:numPr>
          <w:ilvl w:val="0"/>
          <w:numId w:val="11"/>
        </w:numPr>
        <w:spacing w:before="180" w:line="264" w:lineRule="auto"/>
        <w:contextualSpacing/>
        <w:rPr>
          <w:rFonts w:cs="Arial"/>
          <w:sz w:val="22"/>
          <w:lang w:val="en-US" w:eastAsia="en-AU"/>
        </w:rPr>
      </w:pPr>
      <w:r w:rsidRPr="003B3C17">
        <w:rPr>
          <w:rFonts w:cs="Arial"/>
          <w:sz w:val="22"/>
          <w:lang w:val="en-US" w:eastAsia="en-AU"/>
        </w:rPr>
        <w:t>procurement that is assessed as being high value and/or has a high degree of business risk.</w:t>
      </w:r>
    </w:p>
    <w:p w14:paraId="3465D43B" w14:textId="77777777" w:rsidR="00136F3A" w:rsidRPr="00B74D09" w:rsidRDefault="00136F3A" w:rsidP="00136F3A">
      <w:pPr>
        <w:pStyle w:val="Heading3"/>
        <w:rPr>
          <w:lang w:val="en-US"/>
        </w:rPr>
      </w:pPr>
      <w:bookmarkStart w:id="24" w:name="_Toc514921991"/>
      <w:bookmarkStart w:id="25" w:name="_Toc4152007"/>
      <w:bookmarkStart w:id="26" w:name="_Toc77338087"/>
      <w:r w:rsidRPr="00B74D09">
        <w:rPr>
          <w:lang w:val="en-US"/>
        </w:rPr>
        <w:t>Low value and low business risk purchases</w:t>
      </w:r>
      <w:bookmarkEnd w:id="24"/>
      <w:bookmarkEnd w:id="25"/>
      <w:bookmarkEnd w:id="26"/>
    </w:p>
    <w:p w14:paraId="418BAF94" w14:textId="77777777" w:rsidR="00136F3A" w:rsidRPr="003B3C17" w:rsidRDefault="00136F3A" w:rsidP="00136F3A">
      <w:pPr>
        <w:rPr>
          <w:sz w:val="22"/>
          <w:lang w:val="en-US" w:eastAsia="en-AU"/>
        </w:rPr>
      </w:pPr>
      <w:r w:rsidRPr="003B3C17">
        <w:rPr>
          <w:sz w:val="22"/>
          <w:lang w:val="en-US" w:eastAsia="en-AU"/>
        </w:rPr>
        <w:t>In these instances, government buyers should check whether a whole-of-government common-use supply arrangement or agency standing offer arrangement already exists.</w:t>
      </w:r>
    </w:p>
    <w:p w14:paraId="26DB99EF" w14:textId="77777777" w:rsidR="00136F3A" w:rsidRPr="003B3C17" w:rsidRDefault="00136F3A" w:rsidP="00136F3A">
      <w:pPr>
        <w:rPr>
          <w:sz w:val="22"/>
          <w:lang w:val="en-US" w:eastAsia="en-AU"/>
        </w:rPr>
      </w:pPr>
      <w:bookmarkStart w:id="27" w:name="_Hlk494368333"/>
      <w:r w:rsidRPr="003B3C17">
        <w:rPr>
          <w:sz w:val="22"/>
          <w:lang w:val="en-US" w:eastAsia="en-AU"/>
        </w:rPr>
        <w:t xml:space="preserve">A competitive tendering process has already been run to establish these supply arrangements. These may have already identified suppliers who have offices and/or staff based in local areas. Check the </w:t>
      </w:r>
      <w:hyperlink r:id="rId17" w:history="1">
        <w:r w:rsidRPr="003B3C17">
          <w:rPr>
            <w:rStyle w:val="Hyperlink"/>
            <w:sz w:val="22"/>
            <w:lang w:val="en-US" w:eastAsia="en-AU"/>
          </w:rPr>
          <w:t>Queensland Contracts Directory</w:t>
        </w:r>
      </w:hyperlink>
      <w:r w:rsidRPr="003B3C17">
        <w:rPr>
          <w:sz w:val="22"/>
          <w:lang w:val="en-US" w:eastAsia="en-AU"/>
        </w:rPr>
        <w:t xml:space="preserve"> or talk to the lead agency category team to find out what is available.</w:t>
      </w:r>
    </w:p>
    <w:bookmarkEnd w:id="27"/>
    <w:p w14:paraId="51AD1F25" w14:textId="02A278A2" w:rsidR="00136F3A" w:rsidRPr="003B3C17" w:rsidRDefault="00136F3A" w:rsidP="00136F3A">
      <w:pPr>
        <w:rPr>
          <w:sz w:val="22"/>
          <w:lang w:val="en-US" w:eastAsia="en-AU"/>
        </w:rPr>
      </w:pPr>
      <w:r w:rsidRPr="003B3C17">
        <w:rPr>
          <w:sz w:val="22"/>
          <w:lang w:val="en-US" w:eastAsia="en-AU"/>
        </w:rPr>
        <w:t>Alternatively, the QPP (</w:t>
      </w:r>
      <w:r w:rsidR="006100F9" w:rsidRPr="003B3C17">
        <w:rPr>
          <w:sz w:val="22"/>
          <w:lang w:val="en-US"/>
        </w:rPr>
        <w:t>C</w:t>
      </w:r>
      <w:r w:rsidRPr="003B3C17">
        <w:rPr>
          <w:sz w:val="22"/>
          <w:lang w:val="en-US"/>
        </w:rPr>
        <w:t>lause 5.3</w:t>
      </w:r>
      <w:r w:rsidRPr="003B3C17">
        <w:rPr>
          <w:sz w:val="22"/>
          <w:lang w:val="en-US" w:eastAsia="en-AU"/>
        </w:rPr>
        <w:t>) does allow government buyers to depart from using common-use supply arrangements where the good or service is to be supplied in regional and remote Queensland. In this way, an agency can simply obtain the required number of quotes from local suppliers. This approach can also be taken where there is no common-use arrangement for the required good/service.</w:t>
      </w:r>
    </w:p>
    <w:p w14:paraId="7990A68E" w14:textId="77777777" w:rsidR="00136F3A" w:rsidRPr="005E1EAC" w:rsidRDefault="00136F3A" w:rsidP="00136F3A">
      <w:pPr>
        <w:pStyle w:val="Heading3"/>
        <w:rPr>
          <w:lang w:val="en-US"/>
        </w:rPr>
      </w:pPr>
      <w:bookmarkStart w:id="28" w:name="_Toc514921992"/>
      <w:bookmarkStart w:id="29" w:name="_Toc4152008"/>
      <w:bookmarkStart w:id="30" w:name="_Toc77338088"/>
      <w:r w:rsidRPr="005E1EAC">
        <w:rPr>
          <w:lang w:val="en-US"/>
        </w:rPr>
        <w:t>High value and/or high business risk procurement</w:t>
      </w:r>
      <w:r>
        <w:rPr>
          <w:lang w:val="en-US"/>
        </w:rPr>
        <w:t xml:space="preserve"> (‘significant procurement’)</w:t>
      </w:r>
      <w:bookmarkEnd w:id="28"/>
      <w:bookmarkEnd w:id="29"/>
      <w:bookmarkEnd w:id="30"/>
    </w:p>
    <w:p w14:paraId="3D5286CE" w14:textId="77777777" w:rsidR="00136F3A" w:rsidRPr="00B74D09" w:rsidRDefault="00136F3A" w:rsidP="00136F3A">
      <w:pPr>
        <w:rPr>
          <w:lang w:val="en-US" w:eastAsia="en-AU"/>
        </w:rPr>
      </w:pPr>
      <w:r>
        <w:rPr>
          <w:lang w:val="en-US" w:eastAsia="en-AU"/>
        </w:rPr>
        <w:t xml:space="preserve">The remainder of this guide primarily focuses on significant procurement activities. Maximising </w:t>
      </w:r>
      <w:r w:rsidRPr="003B3C17">
        <w:rPr>
          <w:sz w:val="22"/>
          <w:lang w:val="en-US" w:eastAsia="en-AU"/>
        </w:rPr>
        <w:t xml:space="preserve">opportunities for local suppliers in these situations requires a considered approach across the </w:t>
      </w:r>
      <w:r w:rsidRPr="003B3C17">
        <w:rPr>
          <w:sz w:val="22"/>
          <w:lang w:val="en-US" w:eastAsia="en-AU"/>
        </w:rPr>
        <w:lastRenderedPageBreak/>
        <w:t>procurement process, from category planning through to the go to market and contract management phases.</w:t>
      </w:r>
    </w:p>
    <w:p w14:paraId="220A51FF" w14:textId="77777777" w:rsidR="00136F3A" w:rsidRPr="003B3C17" w:rsidRDefault="00136F3A" w:rsidP="003B3C17">
      <w:pPr>
        <w:pStyle w:val="Heading2"/>
        <w:spacing w:before="240"/>
        <w:rPr>
          <w:b/>
          <w:bCs/>
          <w:lang w:val="en-US"/>
        </w:rPr>
      </w:pPr>
      <w:bookmarkStart w:id="31" w:name="_Toc514921993"/>
      <w:bookmarkStart w:id="32" w:name="_Toc4152009"/>
      <w:bookmarkStart w:id="33" w:name="_Toc77338089"/>
      <w:r w:rsidRPr="003B3C17">
        <w:rPr>
          <w:b/>
          <w:bCs/>
          <w:lang w:val="en-US"/>
        </w:rPr>
        <w:t>Planning</w:t>
      </w:r>
      <w:bookmarkEnd w:id="31"/>
      <w:bookmarkEnd w:id="32"/>
      <w:bookmarkEnd w:id="33"/>
    </w:p>
    <w:p w14:paraId="00F87038" w14:textId="77777777" w:rsidR="00136F3A" w:rsidRPr="003B3C17" w:rsidRDefault="00136F3A" w:rsidP="00136F3A">
      <w:pPr>
        <w:pStyle w:val="Heading3"/>
        <w:rPr>
          <w:b w:val="0"/>
          <w:bCs/>
          <w:lang w:val="en-US"/>
        </w:rPr>
      </w:pPr>
      <w:bookmarkStart w:id="34" w:name="_Toc514921994"/>
      <w:bookmarkStart w:id="35" w:name="_Toc4152010"/>
      <w:bookmarkStart w:id="36" w:name="_Toc77338090"/>
      <w:r w:rsidRPr="003B3C17">
        <w:rPr>
          <w:b w:val="0"/>
          <w:bCs/>
          <w:lang w:val="en-US"/>
        </w:rPr>
        <w:t>Category planning</w:t>
      </w:r>
      <w:bookmarkEnd w:id="34"/>
      <w:bookmarkEnd w:id="35"/>
      <w:bookmarkEnd w:id="36"/>
    </w:p>
    <w:p w14:paraId="55F5B9E2" w14:textId="77777777" w:rsidR="00136F3A" w:rsidRDefault="00136F3A" w:rsidP="00136F3A">
      <w:pPr>
        <w:pStyle w:val="Tabletext"/>
        <w:spacing w:before="180" w:after="60"/>
        <w:rPr>
          <w:sz w:val="22"/>
          <w:szCs w:val="22"/>
        </w:rPr>
      </w:pPr>
      <w:r>
        <w:rPr>
          <w:sz w:val="22"/>
          <w:szCs w:val="22"/>
        </w:rPr>
        <w:t>The Queensland Government segments its procurement expenditure into six categories. Each of these categories have strategies that target a whole-of-government approach to the buying and management of key areas of expenditure. In addition, the lead agencies for these categories typically set up common-use supply arrangements and have strategies in place to maximise opportunities for local suppliers.</w:t>
      </w:r>
    </w:p>
    <w:p w14:paraId="4EE8ED04" w14:textId="77777777" w:rsidR="00136F3A" w:rsidRDefault="00136F3A" w:rsidP="00136F3A">
      <w:pPr>
        <w:pStyle w:val="Tabletext"/>
        <w:spacing w:before="180" w:after="60"/>
        <w:rPr>
          <w:sz w:val="22"/>
          <w:szCs w:val="22"/>
        </w:rPr>
      </w:pPr>
      <w:r>
        <w:rPr>
          <w:sz w:val="22"/>
          <w:szCs w:val="22"/>
        </w:rPr>
        <w:t>The six categories are:</w:t>
      </w:r>
    </w:p>
    <w:p w14:paraId="58D9968E" w14:textId="2DFA9840" w:rsidR="00136F3A" w:rsidRPr="003B3C17" w:rsidRDefault="00136F3A" w:rsidP="00136F3A">
      <w:pPr>
        <w:pStyle w:val="ListParagraph"/>
        <w:numPr>
          <w:ilvl w:val="0"/>
          <w:numId w:val="11"/>
        </w:numPr>
        <w:spacing w:before="180" w:after="0" w:line="240" w:lineRule="auto"/>
        <w:ind w:left="714" w:hanging="357"/>
        <w:contextualSpacing/>
        <w:rPr>
          <w:rFonts w:cs="Arial"/>
          <w:sz w:val="22"/>
          <w:lang w:val="en-US" w:eastAsia="en-AU"/>
        </w:rPr>
      </w:pPr>
      <w:r w:rsidRPr="003B3C17">
        <w:rPr>
          <w:rFonts w:cs="Arial"/>
          <w:sz w:val="22"/>
          <w:lang w:val="en-US" w:eastAsia="en-AU"/>
        </w:rPr>
        <w:t xml:space="preserve">Building Construction and Maintenance – led by the Department of </w:t>
      </w:r>
      <w:r w:rsidR="00387FA3" w:rsidRPr="003B3C17">
        <w:rPr>
          <w:rFonts w:cs="Arial"/>
          <w:sz w:val="22"/>
          <w:lang w:val="en-US" w:eastAsia="en-AU"/>
        </w:rPr>
        <w:t xml:space="preserve">Energy </w:t>
      </w:r>
      <w:r w:rsidRPr="003B3C17">
        <w:rPr>
          <w:rFonts w:cs="Arial"/>
          <w:sz w:val="22"/>
          <w:lang w:val="en-US" w:eastAsia="en-AU"/>
        </w:rPr>
        <w:t>and Public Works</w:t>
      </w:r>
      <w:r w:rsidR="00F31440">
        <w:rPr>
          <w:rFonts w:cs="Arial"/>
          <w:sz w:val="22"/>
          <w:lang w:val="en-US" w:eastAsia="en-AU"/>
        </w:rPr>
        <w:t>.</w:t>
      </w:r>
      <w:r w:rsidRPr="003B3C17">
        <w:rPr>
          <w:rFonts w:cs="Arial"/>
          <w:sz w:val="22"/>
          <w:lang w:val="en-US" w:eastAsia="en-AU"/>
        </w:rPr>
        <w:br/>
      </w:r>
    </w:p>
    <w:p w14:paraId="2E71B934" w14:textId="46003931" w:rsidR="00136F3A" w:rsidRPr="003B3C17" w:rsidRDefault="00136F3A" w:rsidP="00136F3A">
      <w:pPr>
        <w:pStyle w:val="ListParagraph"/>
        <w:numPr>
          <w:ilvl w:val="0"/>
          <w:numId w:val="11"/>
        </w:numPr>
        <w:spacing w:before="180" w:line="240" w:lineRule="auto"/>
        <w:ind w:left="714" w:hanging="357"/>
        <w:contextualSpacing/>
        <w:rPr>
          <w:rFonts w:cs="Arial"/>
          <w:sz w:val="22"/>
          <w:lang w:val="en-US" w:eastAsia="en-AU"/>
        </w:rPr>
      </w:pPr>
      <w:r w:rsidRPr="003B3C17">
        <w:rPr>
          <w:rFonts w:cs="Arial"/>
          <w:sz w:val="22"/>
          <w:lang w:val="en-US" w:eastAsia="en-AU"/>
        </w:rPr>
        <w:t xml:space="preserve">General Goods and Services – led by the Department of </w:t>
      </w:r>
      <w:r w:rsidR="00387FA3" w:rsidRPr="003B3C17">
        <w:rPr>
          <w:rFonts w:cs="Arial"/>
          <w:sz w:val="22"/>
          <w:lang w:val="en-US" w:eastAsia="en-AU"/>
        </w:rPr>
        <w:t xml:space="preserve">Energy </w:t>
      </w:r>
      <w:r w:rsidRPr="003B3C17">
        <w:rPr>
          <w:rFonts w:cs="Arial"/>
          <w:sz w:val="22"/>
          <w:lang w:val="en-US" w:eastAsia="en-AU"/>
        </w:rPr>
        <w:t>and Public Works</w:t>
      </w:r>
      <w:r w:rsidR="00F31440">
        <w:rPr>
          <w:rFonts w:cs="Arial"/>
          <w:sz w:val="22"/>
          <w:lang w:val="en-US" w:eastAsia="en-AU"/>
        </w:rPr>
        <w:t>.</w:t>
      </w:r>
      <w:r w:rsidRPr="003B3C17">
        <w:rPr>
          <w:rFonts w:cs="Arial"/>
          <w:sz w:val="22"/>
          <w:lang w:val="en-US" w:eastAsia="en-AU"/>
        </w:rPr>
        <w:t xml:space="preserve"> </w:t>
      </w:r>
      <w:r w:rsidRPr="003B3C17">
        <w:rPr>
          <w:rFonts w:cs="Arial"/>
          <w:sz w:val="22"/>
          <w:lang w:val="en-US" w:eastAsia="en-AU"/>
        </w:rPr>
        <w:br/>
      </w:r>
    </w:p>
    <w:p w14:paraId="5030B207" w14:textId="19591ADE" w:rsidR="00387FA3" w:rsidRPr="003B3C17" w:rsidRDefault="00136F3A" w:rsidP="00136F3A">
      <w:pPr>
        <w:pStyle w:val="ListParagraph"/>
        <w:numPr>
          <w:ilvl w:val="0"/>
          <w:numId w:val="11"/>
        </w:numPr>
        <w:spacing w:before="180" w:line="240" w:lineRule="auto"/>
        <w:ind w:left="714" w:hanging="357"/>
        <w:contextualSpacing/>
        <w:rPr>
          <w:rFonts w:cs="Arial"/>
          <w:sz w:val="22"/>
          <w:lang w:val="en-US" w:eastAsia="en-AU"/>
        </w:rPr>
      </w:pPr>
      <w:r w:rsidRPr="003B3C17">
        <w:rPr>
          <w:rFonts w:cs="Arial"/>
          <w:sz w:val="22"/>
          <w:lang w:val="en-US" w:eastAsia="en-AU"/>
        </w:rPr>
        <w:t xml:space="preserve">ICT – led by the Department of </w:t>
      </w:r>
      <w:r w:rsidR="00387FA3" w:rsidRPr="003B3C17">
        <w:rPr>
          <w:rFonts w:cs="Arial"/>
          <w:sz w:val="22"/>
          <w:lang w:val="en-US" w:eastAsia="en-AU"/>
        </w:rPr>
        <w:t xml:space="preserve">Energy </w:t>
      </w:r>
      <w:r w:rsidRPr="003B3C17">
        <w:rPr>
          <w:rFonts w:cs="Arial"/>
          <w:sz w:val="22"/>
          <w:lang w:val="en-US" w:eastAsia="en-AU"/>
        </w:rPr>
        <w:t>and Public and Works</w:t>
      </w:r>
      <w:r w:rsidR="00F31440">
        <w:rPr>
          <w:rFonts w:cs="Arial"/>
          <w:sz w:val="22"/>
          <w:lang w:val="en-US" w:eastAsia="en-AU"/>
        </w:rPr>
        <w:t>.</w:t>
      </w:r>
      <w:r w:rsidR="00387FA3" w:rsidRPr="003B3C17">
        <w:rPr>
          <w:rFonts w:cs="Arial"/>
          <w:sz w:val="22"/>
          <w:lang w:val="en-US" w:eastAsia="en-AU"/>
        </w:rPr>
        <w:br/>
      </w:r>
    </w:p>
    <w:p w14:paraId="7455467A" w14:textId="7C537BD0" w:rsidR="00136F3A" w:rsidRPr="003B3C17" w:rsidRDefault="00136F3A">
      <w:pPr>
        <w:pStyle w:val="ListParagraph"/>
        <w:numPr>
          <w:ilvl w:val="0"/>
          <w:numId w:val="11"/>
        </w:numPr>
        <w:spacing w:before="180" w:line="240" w:lineRule="auto"/>
        <w:ind w:left="714" w:hanging="357"/>
        <w:contextualSpacing/>
        <w:rPr>
          <w:sz w:val="22"/>
          <w:lang w:val="en-US" w:eastAsia="en-AU"/>
        </w:rPr>
      </w:pPr>
      <w:r w:rsidRPr="003B3C17">
        <w:rPr>
          <w:sz w:val="22"/>
          <w:lang w:val="en-US" w:eastAsia="en-AU"/>
        </w:rPr>
        <w:t>Medical – led by Queensland Health</w:t>
      </w:r>
      <w:r w:rsidR="00F31440">
        <w:rPr>
          <w:sz w:val="22"/>
          <w:lang w:val="en-US" w:eastAsia="en-AU"/>
        </w:rPr>
        <w:t>.</w:t>
      </w:r>
      <w:r w:rsidRPr="003B3C17">
        <w:rPr>
          <w:sz w:val="22"/>
          <w:lang w:val="en-US" w:eastAsia="en-AU"/>
        </w:rPr>
        <w:br/>
      </w:r>
    </w:p>
    <w:p w14:paraId="067DB8A0" w14:textId="29C1DC91" w:rsidR="00136F3A" w:rsidRPr="003B3C17" w:rsidRDefault="00136F3A" w:rsidP="00136F3A">
      <w:pPr>
        <w:pStyle w:val="ListParagraph"/>
        <w:numPr>
          <w:ilvl w:val="0"/>
          <w:numId w:val="11"/>
        </w:numPr>
        <w:spacing w:before="180" w:line="240" w:lineRule="auto"/>
        <w:ind w:left="714" w:hanging="357"/>
        <w:contextualSpacing/>
        <w:rPr>
          <w:rFonts w:cs="Arial"/>
          <w:sz w:val="22"/>
          <w:lang w:val="en-US" w:eastAsia="en-AU"/>
        </w:rPr>
      </w:pPr>
      <w:r w:rsidRPr="003B3C17">
        <w:rPr>
          <w:rFonts w:cs="Arial"/>
          <w:sz w:val="22"/>
          <w:lang w:val="en-US" w:eastAsia="en-AU"/>
        </w:rPr>
        <w:t>Transport Infrastructure and Services – led by the Department of Transport and Main Roads</w:t>
      </w:r>
      <w:r w:rsidR="00F31440">
        <w:rPr>
          <w:rFonts w:cs="Arial"/>
          <w:sz w:val="22"/>
          <w:lang w:val="en-US" w:eastAsia="en-AU"/>
        </w:rPr>
        <w:t>.</w:t>
      </w:r>
      <w:r w:rsidRPr="003B3C17">
        <w:rPr>
          <w:rFonts w:cs="Arial"/>
          <w:sz w:val="22"/>
          <w:lang w:val="en-US" w:eastAsia="en-AU"/>
        </w:rPr>
        <w:br/>
      </w:r>
    </w:p>
    <w:p w14:paraId="202080CF" w14:textId="0A6868EE" w:rsidR="00136F3A" w:rsidRPr="00580188" w:rsidRDefault="00136F3A" w:rsidP="00136F3A">
      <w:pPr>
        <w:pStyle w:val="ListParagraph"/>
        <w:numPr>
          <w:ilvl w:val="0"/>
          <w:numId w:val="11"/>
        </w:numPr>
        <w:spacing w:before="180" w:line="240" w:lineRule="auto"/>
        <w:ind w:left="714" w:hanging="357"/>
        <w:contextualSpacing/>
        <w:rPr>
          <w:rFonts w:cs="Arial"/>
          <w:lang w:val="en-US" w:eastAsia="en-AU"/>
        </w:rPr>
      </w:pPr>
      <w:r w:rsidRPr="003B3C17">
        <w:rPr>
          <w:rFonts w:cs="Arial"/>
          <w:sz w:val="22"/>
          <w:lang w:val="en-US" w:eastAsia="en-AU"/>
        </w:rPr>
        <w:t xml:space="preserve">Social Services – led by the Department Communities, </w:t>
      </w:r>
      <w:r w:rsidR="00387FA3" w:rsidRPr="003B3C17">
        <w:rPr>
          <w:rFonts w:cs="Arial"/>
          <w:sz w:val="22"/>
          <w:lang w:val="en-US" w:eastAsia="en-AU"/>
        </w:rPr>
        <w:t>Housing and Digital Economy</w:t>
      </w:r>
      <w:r w:rsidRPr="003B3C17">
        <w:rPr>
          <w:rFonts w:cs="Arial"/>
          <w:sz w:val="22"/>
          <w:lang w:val="en-US" w:eastAsia="en-AU"/>
        </w:rPr>
        <w:t>.</w:t>
      </w:r>
      <w:r w:rsidR="00387FA3">
        <w:rPr>
          <w:rFonts w:cs="Arial"/>
          <w:lang w:val="en-US" w:eastAsia="en-AU"/>
        </w:rPr>
        <w:br/>
      </w:r>
    </w:p>
    <w:p w14:paraId="19FA3EE6" w14:textId="77777777" w:rsidR="00136F3A" w:rsidRDefault="00136F3A" w:rsidP="00136F3A">
      <w:pPr>
        <w:pStyle w:val="Heading3"/>
      </w:pPr>
      <w:bookmarkStart w:id="37" w:name="_Toc4152011"/>
      <w:bookmarkStart w:id="38" w:name="_Toc77338091"/>
      <w:r w:rsidRPr="00B26436">
        <w:t xml:space="preserve">Forward </w:t>
      </w:r>
      <w:r>
        <w:t>p</w:t>
      </w:r>
      <w:r w:rsidRPr="00B26436">
        <w:t xml:space="preserve">rocurement </w:t>
      </w:r>
      <w:r>
        <w:t>p</w:t>
      </w:r>
      <w:r w:rsidRPr="00B26436">
        <w:t>ipelines</w:t>
      </w:r>
      <w:bookmarkEnd w:id="37"/>
      <w:bookmarkEnd w:id="38"/>
    </w:p>
    <w:p w14:paraId="304BABC9" w14:textId="628E215D" w:rsidR="00136F3A" w:rsidRPr="00AD49BD" w:rsidRDefault="00136F3A" w:rsidP="00136F3A">
      <w:pPr>
        <w:pStyle w:val="Tabletext"/>
        <w:spacing w:before="180" w:after="60" w:line="240" w:lineRule="auto"/>
        <w:rPr>
          <w:b/>
          <w:sz w:val="22"/>
          <w:szCs w:val="22"/>
        </w:rPr>
      </w:pPr>
      <w:r>
        <w:rPr>
          <w:sz w:val="22"/>
          <w:szCs w:val="22"/>
        </w:rPr>
        <w:t xml:space="preserve">Each lead agency category team is required to coordinate with other relevant budget sector agencies and produce a forward procurement pipeline which shows all key procurement activity that is expected to occur over at least the next 12 months (refer </w:t>
      </w:r>
      <w:r w:rsidR="002262C6">
        <w:rPr>
          <w:sz w:val="22"/>
        </w:rPr>
        <w:t>C</w:t>
      </w:r>
      <w:r w:rsidRPr="00AD6D5F">
        <w:rPr>
          <w:sz w:val="22"/>
        </w:rPr>
        <w:t>lause 1.6</w:t>
      </w:r>
      <w:r>
        <w:rPr>
          <w:sz w:val="22"/>
          <w:szCs w:val="22"/>
        </w:rPr>
        <w:t xml:space="preserve"> of the QPP).</w:t>
      </w:r>
      <w:r>
        <w:rPr>
          <w:b/>
          <w:sz w:val="22"/>
          <w:szCs w:val="22"/>
        </w:rPr>
        <w:br/>
      </w:r>
      <w:r>
        <w:rPr>
          <w:b/>
          <w:sz w:val="22"/>
          <w:szCs w:val="22"/>
        </w:rPr>
        <w:br/>
      </w:r>
      <w:r>
        <w:rPr>
          <w:sz w:val="22"/>
          <w:szCs w:val="22"/>
        </w:rPr>
        <w:t>Forward planning is especially important for procurement in regional and remote communities. Working across agency boundaries to plan well in advance for work in regional areas, especially building construction and maintenance related activity, can help ensure there is a continual supply of work that enables ongoing, stable employment in regions. It can also help reduce costs for government.</w:t>
      </w:r>
      <w:r>
        <w:rPr>
          <w:b/>
          <w:sz w:val="22"/>
          <w:szCs w:val="22"/>
        </w:rPr>
        <w:br/>
      </w:r>
      <w:r>
        <w:rPr>
          <w:b/>
          <w:sz w:val="22"/>
          <w:szCs w:val="22"/>
        </w:rPr>
        <w:br/>
      </w:r>
      <w:r>
        <w:rPr>
          <w:sz w:val="22"/>
          <w:szCs w:val="22"/>
        </w:rPr>
        <w:t xml:space="preserve">Forward procurement pipelines can also support the </w:t>
      </w:r>
      <w:hyperlink r:id="rId18" w:history="1">
        <w:r w:rsidRPr="00387FA3">
          <w:rPr>
            <w:rStyle w:val="Hyperlink"/>
            <w:sz w:val="22"/>
            <w:szCs w:val="22"/>
          </w:rPr>
          <w:t>Queensland Indigenous (Aboriginal and Torres Strait Islander) Procurement Policy</w:t>
        </w:r>
      </w:hyperlink>
      <w:r>
        <w:rPr>
          <w:sz w:val="22"/>
          <w:szCs w:val="22"/>
        </w:rPr>
        <w:t xml:space="preserve"> and the identification of opportunities to selectively tender with Aboriginal businesses and Torres Strait Islander businesses. Further information on this policy is available at </w:t>
      </w:r>
      <w:hyperlink r:id="rId19" w:history="1">
        <w:r w:rsidRPr="00EF4030">
          <w:rPr>
            <w:rStyle w:val="Hyperlink"/>
            <w:sz w:val="22"/>
            <w:szCs w:val="22"/>
          </w:rPr>
          <w:t>www.datsip.qld.gov.au</w:t>
        </w:r>
      </w:hyperlink>
      <w:r>
        <w:rPr>
          <w:sz w:val="22"/>
          <w:szCs w:val="22"/>
        </w:rPr>
        <w:t xml:space="preserve">. </w:t>
      </w:r>
      <w:r>
        <w:rPr>
          <w:b/>
          <w:sz w:val="22"/>
          <w:szCs w:val="22"/>
        </w:rPr>
        <w:br/>
      </w:r>
      <w:r>
        <w:rPr>
          <w:b/>
          <w:sz w:val="22"/>
          <w:szCs w:val="22"/>
        </w:rPr>
        <w:br/>
      </w:r>
      <w:r>
        <w:rPr>
          <w:sz w:val="22"/>
          <w:szCs w:val="22"/>
        </w:rPr>
        <w:t xml:space="preserve">Suppliers who are interested in supplying to government can use these pipelines to identify future opportunities. These pipelines are available </w:t>
      </w:r>
      <w:hyperlink r:id="rId20" w:history="1">
        <w:r w:rsidRPr="00AD49BD">
          <w:rPr>
            <w:rStyle w:val="Hyperlink"/>
            <w:sz w:val="22"/>
            <w:szCs w:val="22"/>
          </w:rPr>
          <w:t>online</w:t>
        </w:r>
      </w:hyperlink>
      <w:r>
        <w:rPr>
          <w:sz w:val="22"/>
          <w:szCs w:val="22"/>
        </w:rPr>
        <w:t>.</w:t>
      </w:r>
    </w:p>
    <w:p w14:paraId="620A1AA1" w14:textId="77777777" w:rsidR="00136F3A" w:rsidRDefault="00136F3A" w:rsidP="00136F3A">
      <w:pPr>
        <w:pStyle w:val="Heading3"/>
        <w:rPr>
          <w:lang w:val="en-US"/>
        </w:rPr>
      </w:pPr>
      <w:bookmarkStart w:id="39" w:name="_Toc514921995"/>
      <w:bookmarkStart w:id="40" w:name="_Toc4152012"/>
      <w:bookmarkStart w:id="41" w:name="_Toc77338092"/>
      <w:r>
        <w:rPr>
          <w:lang w:val="en-US"/>
        </w:rPr>
        <w:t>Engage with industry and undertake supply market analysis</w:t>
      </w:r>
      <w:bookmarkEnd w:id="39"/>
      <w:bookmarkEnd w:id="40"/>
      <w:bookmarkEnd w:id="41"/>
    </w:p>
    <w:p w14:paraId="38AC7FCF" w14:textId="77777777" w:rsidR="00136F3A" w:rsidRDefault="00136F3A" w:rsidP="00136F3A">
      <w:pPr>
        <w:spacing w:line="259" w:lineRule="auto"/>
        <w:rPr>
          <w:rFonts w:cs="Arial"/>
          <w:bCs/>
          <w:lang w:val="en-US" w:eastAsia="en-AU"/>
        </w:rPr>
      </w:pPr>
      <w:r w:rsidRPr="00940200">
        <w:rPr>
          <w:rFonts w:cs="Arial"/>
          <w:bCs/>
          <w:lang w:val="en-US" w:eastAsia="en-AU"/>
        </w:rPr>
        <w:t xml:space="preserve">Engaging early with industry can </w:t>
      </w:r>
      <w:r>
        <w:rPr>
          <w:rFonts w:cs="Arial"/>
          <w:bCs/>
          <w:lang w:val="en-US" w:eastAsia="en-AU"/>
        </w:rPr>
        <w:t>result in a better outcome for both government buyers and suppliers. T</w:t>
      </w:r>
      <w:r w:rsidRPr="00940200">
        <w:rPr>
          <w:rFonts w:cs="Arial"/>
          <w:bCs/>
          <w:lang w:val="en-US" w:eastAsia="en-AU"/>
        </w:rPr>
        <w:t>alking to industry about the objectives being sought in procurement activity</w:t>
      </w:r>
      <w:r>
        <w:rPr>
          <w:rFonts w:cs="Arial"/>
          <w:bCs/>
          <w:lang w:val="en-US" w:eastAsia="en-AU"/>
        </w:rPr>
        <w:t>,</w:t>
      </w:r>
      <w:r w:rsidRPr="00940200">
        <w:rPr>
          <w:rFonts w:cs="Arial"/>
          <w:bCs/>
          <w:lang w:val="en-US" w:eastAsia="en-AU"/>
        </w:rPr>
        <w:t xml:space="preserve"> a</w:t>
      </w:r>
      <w:r>
        <w:rPr>
          <w:rFonts w:cs="Arial"/>
          <w:bCs/>
          <w:lang w:val="en-US" w:eastAsia="en-AU"/>
        </w:rPr>
        <w:t>long with</w:t>
      </w:r>
      <w:r w:rsidRPr="00940200">
        <w:rPr>
          <w:rFonts w:cs="Arial"/>
          <w:bCs/>
          <w:lang w:val="en-US" w:eastAsia="en-AU"/>
        </w:rPr>
        <w:t xml:space="preserve"> the problem to be solved</w:t>
      </w:r>
      <w:r>
        <w:rPr>
          <w:rFonts w:cs="Arial"/>
          <w:bCs/>
          <w:lang w:val="en-US" w:eastAsia="en-AU"/>
        </w:rPr>
        <w:t>,</w:t>
      </w:r>
      <w:r w:rsidRPr="00940200">
        <w:rPr>
          <w:rFonts w:cs="Arial"/>
          <w:bCs/>
          <w:lang w:val="en-US" w:eastAsia="en-AU"/>
        </w:rPr>
        <w:t xml:space="preserve"> can help drive innovation</w:t>
      </w:r>
      <w:r>
        <w:rPr>
          <w:rFonts w:cs="Arial"/>
          <w:bCs/>
          <w:lang w:val="en-US" w:eastAsia="en-AU"/>
        </w:rPr>
        <w:t>, enable</w:t>
      </w:r>
      <w:r w:rsidRPr="00940200">
        <w:rPr>
          <w:rFonts w:cs="Arial"/>
          <w:bCs/>
          <w:lang w:val="en-US" w:eastAsia="en-AU"/>
        </w:rPr>
        <w:t xml:space="preserve"> collaboration in </w:t>
      </w:r>
      <w:r>
        <w:rPr>
          <w:rFonts w:cs="Arial"/>
          <w:bCs/>
          <w:lang w:val="en-US" w:eastAsia="en-AU"/>
        </w:rPr>
        <w:t>the solution design, and contribute</w:t>
      </w:r>
      <w:r w:rsidRPr="00940200">
        <w:rPr>
          <w:rFonts w:cs="Arial"/>
          <w:bCs/>
          <w:lang w:val="en-US" w:eastAsia="en-AU"/>
        </w:rPr>
        <w:t xml:space="preserve"> to improved procurement and service delivery outcomes.</w:t>
      </w:r>
      <w:r>
        <w:rPr>
          <w:rFonts w:cs="Arial"/>
          <w:bCs/>
          <w:lang w:val="en-US" w:eastAsia="en-AU"/>
        </w:rPr>
        <w:t xml:space="preserve"> </w:t>
      </w:r>
    </w:p>
    <w:p w14:paraId="4CB00290" w14:textId="77777777" w:rsidR="00136F3A" w:rsidRDefault="00136F3A" w:rsidP="00136F3A">
      <w:pPr>
        <w:spacing w:line="259" w:lineRule="auto"/>
        <w:rPr>
          <w:rFonts w:cs="Arial"/>
          <w:bCs/>
          <w:lang w:val="en-US" w:eastAsia="en-AU"/>
        </w:rPr>
      </w:pPr>
      <w:r>
        <w:rPr>
          <w:rFonts w:cs="Arial"/>
          <w:bCs/>
          <w:lang w:val="en-US" w:eastAsia="en-AU"/>
        </w:rPr>
        <w:lastRenderedPageBreak/>
        <w:t xml:space="preserve">This engagement is also important to ensure that capable suppliers are available, </w:t>
      </w:r>
      <w:r w:rsidRPr="0038185C">
        <w:rPr>
          <w:rFonts w:cs="Arial"/>
          <w:bCs/>
          <w:lang w:val="en-US" w:eastAsia="en-AU"/>
        </w:rPr>
        <w:t>particularly in region</w:t>
      </w:r>
      <w:r>
        <w:rPr>
          <w:rFonts w:cs="Arial"/>
          <w:bCs/>
          <w:lang w:val="en-US" w:eastAsia="en-AU"/>
        </w:rPr>
        <w:t>al and remote area</w:t>
      </w:r>
      <w:r w:rsidRPr="0038185C">
        <w:rPr>
          <w:rFonts w:cs="Arial"/>
          <w:bCs/>
          <w:lang w:val="en-US" w:eastAsia="en-AU"/>
        </w:rPr>
        <w:t xml:space="preserve">s, </w:t>
      </w:r>
      <w:r>
        <w:rPr>
          <w:rFonts w:cs="Arial"/>
          <w:bCs/>
          <w:lang w:val="en-US" w:eastAsia="en-AU"/>
        </w:rPr>
        <w:t>where they</w:t>
      </w:r>
      <w:r w:rsidRPr="0038185C">
        <w:rPr>
          <w:rFonts w:cs="Arial"/>
          <w:bCs/>
          <w:lang w:val="en-US" w:eastAsia="en-AU"/>
        </w:rPr>
        <w:t xml:space="preserve"> may already be committed to other work. </w:t>
      </w:r>
      <w:r>
        <w:rPr>
          <w:rFonts w:cs="Arial"/>
          <w:bCs/>
          <w:lang w:val="en-US" w:eastAsia="en-AU"/>
        </w:rPr>
        <w:t>This can also be used to s</w:t>
      </w:r>
      <w:r w:rsidRPr="0038185C">
        <w:rPr>
          <w:rFonts w:cs="Arial"/>
          <w:bCs/>
          <w:lang w:val="en-US" w:eastAsia="en-AU"/>
        </w:rPr>
        <w:t xml:space="preserve">mooth peaks and troughs in </w:t>
      </w:r>
      <w:r>
        <w:rPr>
          <w:rFonts w:cs="Arial"/>
          <w:bCs/>
          <w:lang w:val="en-US" w:eastAsia="en-AU"/>
        </w:rPr>
        <w:t>government</w:t>
      </w:r>
      <w:r w:rsidRPr="0038185C">
        <w:rPr>
          <w:rFonts w:cs="Arial"/>
          <w:bCs/>
          <w:lang w:val="en-US" w:eastAsia="en-AU"/>
        </w:rPr>
        <w:t xml:space="preserve"> work and </w:t>
      </w:r>
      <w:r>
        <w:rPr>
          <w:rFonts w:cs="Arial"/>
          <w:bCs/>
          <w:lang w:val="en-US" w:eastAsia="en-AU"/>
        </w:rPr>
        <w:t xml:space="preserve">can </w:t>
      </w:r>
      <w:r w:rsidRPr="0038185C">
        <w:rPr>
          <w:rFonts w:cs="Arial"/>
          <w:bCs/>
          <w:lang w:val="en-US" w:eastAsia="en-AU"/>
        </w:rPr>
        <w:t>mean the difference between being able to have a capable local s</w:t>
      </w:r>
      <w:r>
        <w:rPr>
          <w:rFonts w:cs="Arial"/>
          <w:bCs/>
          <w:lang w:val="en-US" w:eastAsia="en-AU"/>
        </w:rPr>
        <w:t>upply market readily available or</w:t>
      </w:r>
      <w:r w:rsidRPr="0038185C">
        <w:rPr>
          <w:rFonts w:cs="Arial"/>
          <w:bCs/>
          <w:lang w:val="en-US" w:eastAsia="en-AU"/>
        </w:rPr>
        <w:t xml:space="preserve"> not.  </w:t>
      </w:r>
    </w:p>
    <w:p w14:paraId="175F2A67" w14:textId="77777777" w:rsidR="00136F3A" w:rsidRDefault="00136F3A" w:rsidP="00136F3A">
      <w:pPr>
        <w:spacing w:line="259" w:lineRule="auto"/>
        <w:rPr>
          <w:rFonts w:cs="Arial"/>
          <w:bCs/>
          <w:lang w:val="en-US" w:eastAsia="en-AU"/>
        </w:rPr>
      </w:pPr>
      <w:r>
        <w:rPr>
          <w:rFonts w:cs="Arial"/>
          <w:bCs/>
          <w:lang w:val="en-US" w:eastAsia="en-AU"/>
        </w:rPr>
        <w:t>This engagement may be supplemented via independent supply market analysis and research.</w:t>
      </w:r>
      <w:r w:rsidRPr="0038185C">
        <w:t xml:space="preserve"> </w:t>
      </w:r>
      <w:r>
        <w:rPr>
          <w:rFonts w:cs="Arial"/>
          <w:bCs/>
          <w:lang w:val="en-US" w:eastAsia="en-AU"/>
        </w:rPr>
        <w:t>This will help the agency</w:t>
      </w:r>
      <w:r w:rsidRPr="0038185C">
        <w:rPr>
          <w:rFonts w:cs="Arial"/>
          <w:bCs/>
          <w:lang w:val="en-US" w:eastAsia="en-AU"/>
        </w:rPr>
        <w:t xml:space="preserve"> to understand the capability and capacity of the supply market </w:t>
      </w:r>
      <w:r>
        <w:rPr>
          <w:rFonts w:cs="Arial"/>
          <w:bCs/>
          <w:lang w:val="en-US" w:eastAsia="en-AU"/>
        </w:rPr>
        <w:t xml:space="preserve">and its ability </w:t>
      </w:r>
      <w:r w:rsidRPr="0038185C">
        <w:rPr>
          <w:rFonts w:cs="Arial"/>
          <w:bCs/>
          <w:lang w:val="en-US" w:eastAsia="en-AU"/>
        </w:rPr>
        <w:t>to respond.</w:t>
      </w:r>
      <w:r>
        <w:rPr>
          <w:rFonts w:cs="Arial"/>
          <w:bCs/>
          <w:lang w:val="en-US" w:eastAsia="en-AU"/>
        </w:rPr>
        <w:t xml:space="preserve"> Where appropriate, this engagement and research should also extend beyond looking at primary suppliers and consider opportunities to support local businesses within the supply chain (including manufacturers).  </w:t>
      </w:r>
      <w:r w:rsidRPr="0038185C">
        <w:rPr>
          <w:rFonts w:cs="Arial"/>
          <w:bCs/>
          <w:lang w:val="en-US" w:eastAsia="en-AU"/>
        </w:rPr>
        <w:t xml:space="preserve"> </w:t>
      </w:r>
    </w:p>
    <w:p w14:paraId="38EA6DF6" w14:textId="77777777" w:rsidR="00136F3A" w:rsidRDefault="00136F3A" w:rsidP="00136F3A">
      <w:pPr>
        <w:spacing w:after="0" w:line="240" w:lineRule="auto"/>
        <w:rPr>
          <w:rFonts w:cs="Arial"/>
          <w:bCs/>
          <w:lang w:val="en-US" w:eastAsia="en-AU"/>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346"/>
      </w:tblGrid>
      <w:tr w:rsidR="00136F3A" w:rsidRPr="00972AE8" w14:paraId="717DE271" w14:textId="77777777" w:rsidTr="007B583E">
        <w:tc>
          <w:tcPr>
            <w:tcW w:w="9628" w:type="dxa"/>
            <w:shd w:val="clear" w:color="auto" w:fill="808080" w:themeFill="background1" w:themeFillShade="80"/>
          </w:tcPr>
          <w:p w14:paraId="14894738" w14:textId="77777777" w:rsidR="00136F3A" w:rsidRPr="00F84989" w:rsidRDefault="00136F3A" w:rsidP="007B583E">
            <w:pPr>
              <w:pStyle w:val="Tableheadings"/>
              <w:rPr>
                <w:sz w:val="22"/>
                <w:szCs w:val="22"/>
              </w:rPr>
            </w:pPr>
            <w:bookmarkStart w:id="42" w:name="_Hlk494095787"/>
            <w:r w:rsidRPr="00F84989">
              <w:rPr>
                <w:sz w:val="22"/>
                <w:szCs w:val="22"/>
              </w:rPr>
              <w:t>Is early market engagement consistent with the QPP and probity?</w:t>
            </w:r>
          </w:p>
        </w:tc>
      </w:tr>
      <w:tr w:rsidR="00136F3A" w14:paraId="0F6E9C62" w14:textId="77777777" w:rsidTr="007B583E">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0565049D" w14:textId="77777777" w:rsidR="00136F3A" w:rsidRPr="00BC1F4C" w:rsidRDefault="00136F3A" w:rsidP="007B583E">
            <w:pPr>
              <w:pStyle w:val="Tabletext"/>
              <w:spacing w:before="180" w:after="60"/>
            </w:pPr>
            <w:r w:rsidRPr="00BC1F4C">
              <w:t xml:space="preserve">Provided it is properly conducted early engagement is consistent with the QPP and does not breach probity. For more information on this refer to our guide on </w:t>
            </w:r>
            <w:hyperlink r:id="rId21" w:history="1">
              <w:r w:rsidRPr="00256773">
                <w:rPr>
                  <w:rStyle w:val="Hyperlink"/>
                </w:rPr>
                <w:t>Probity, integrity and accountability in procurement</w:t>
              </w:r>
            </w:hyperlink>
            <w:r w:rsidRPr="00BC1F4C">
              <w:rPr>
                <w:i/>
              </w:rPr>
              <w:t>.</w:t>
            </w:r>
          </w:p>
        </w:tc>
      </w:tr>
    </w:tbl>
    <w:bookmarkEnd w:id="42"/>
    <w:p w14:paraId="2EBF2F31" w14:textId="77777777" w:rsidR="00136F3A" w:rsidRPr="003B3C17" w:rsidRDefault="00136F3A" w:rsidP="00136F3A">
      <w:pPr>
        <w:pStyle w:val="Heading4"/>
        <w:spacing w:before="360"/>
        <w:rPr>
          <w:b/>
          <w:bCs/>
          <w:lang w:val="en-US"/>
        </w:rPr>
      </w:pPr>
      <w:r w:rsidRPr="003B3C17">
        <w:rPr>
          <w:b/>
          <w:bCs/>
          <w:lang w:val="en-US"/>
        </w:rPr>
        <w:t>Things you can do:</w:t>
      </w:r>
    </w:p>
    <w:p w14:paraId="77822B16" w14:textId="77777777" w:rsidR="00136F3A" w:rsidRPr="003B3C17" w:rsidRDefault="00136F3A" w:rsidP="003B3C17">
      <w:pPr>
        <w:pStyle w:val="ListParagraph"/>
        <w:numPr>
          <w:ilvl w:val="0"/>
          <w:numId w:val="19"/>
        </w:numPr>
        <w:spacing w:after="100" w:line="240" w:lineRule="auto"/>
        <w:ind w:left="357" w:hanging="357"/>
        <w:contextualSpacing/>
        <w:rPr>
          <w:rFonts w:cs="Arial"/>
          <w:b/>
          <w:sz w:val="22"/>
        </w:rPr>
      </w:pPr>
      <w:r w:rsidRPr="003B3C17">
        <w:rPr>
          <w:rFonts w:cs="Arial"/>
          <w:b/>
          <w:sz w:val="22"/>
        </w:rPr>
        <w:t>Consider local benefits</w:t>
      </w:r>
    </w:p>
    <w:p w14:paraId="57BBE559" w14:textId="77777777" w:rsidR="00136F3A" w:rsidRPr="003B3C17" w:rsidRDefault="00136F3A" w:rsidP="003B3C17">
      <w:pPr>
        <w:spacing w:after="120" w:line="240" w:lineRule="auto"/>
        <w:ind w:left="357"/>
        <w:rPr>
          <w:sz w:val="22"/>
        </w:rPr>
      </w:pPr>
      <w:r w:rsidRPr="003B3C17">
        <w:rPr>
          <w:sz w:val="22"/>
        </w:rPr>
        <w:t xml:space="preserve">Government buyers should consider any benefits that suppliers would bring to the local area. The type of benefits a supplier can bring will vary from procurement to procurement. Therefore, agencies will need to identify what benefits are appropriate during the planning stage and incorporate these in subsequent stages of the procurement process. Further guidance on this test is available </w:t>
      </w:r>
      <w:hyperlink r:id="rId22" w:history="1">
        <w:r w:rsidRPr="003B3C17">
          <w:rPr>
            <w:rStyle w:val="Hyperlink"/>
            <w:bCs/>
            <w:sz w:val="22"/>
          </w:rPr>
          <w:t>online</w:t>
        </w:r>
      </w:hyperlink>
      <w:r w:rsidRPr="003B3C17">
        <w:rPr>
          <w:sz w:val="22"/>
        </w:rPr>
        <w:t>.</w:t>
      </w:r>
      <w:r w:rsidRPr="003B3C17">
        <w:rPr>
          <w:sz w:val="22"/>
        </w:rPr>
        <w:br/>
      </w:r>
    </w:p>
    <w:p w14:paraId="5E5A78FF" w14:textId="77777777" w:rsidR="00136F3A" w:rsidRPr="003B3C17" w:rsidRDefault="00136F3A" w:rsidP="003B3C17">
      <w:pPr>
        <w:pStyle w:val="ListParagraph"/>
        <w:numPr>
          <w:ilvl w:val="0"/>
          <w:numId w:val="19"/>
        </w:numPr>
        <w:spacing w:after="100" w:line="240" w:lineRule="auto"/>
        <w:ind w:left="357" w:hanging="357"/>
        <w:contextualSpacing/>
        <w:rPr>
          <w:rFonts w:cs="Arial"/>
          <w:b/>
          <w:sz w:val="22"/>
        </w:rPr>
      </w:pPr>
      <w:r w:rsidRPr="003B3C17">
        <w:rPr>
          <w:rFonts w:cs="Arial"/>
          <w:b/>
          <w:sz w:val="22"/>
        </w:rPr>
        <w:t>Hold a ‘meet the buyer’ forum</w:t>
      </w:r>
    </w:p>
    <w:p w14:paraId="4FE0BD88" w14:textId="73B3BEE6" w:rsidR="00136F3A" w:rsidRPr="003B3C17" w:rsidRDefault="00136F3A" w:rsidP="003B3C17">
      <w:pPr>
        <w:spacing w:after="120" w:line="240" w:lineRule="auto"/>
        <w:ind w:left="357"/>
        <w:rPr>
          <w:sz w:val="22"/>
        </w:rPr>
      </w:pPr>
      <w:r w:rsidRPr="003B3C17">
        <w:rPr>
          <w:sz w:val="22"/>
        </w:rPr>
        <w:t>Sometimes called ‘reverse trade shows’, events like this bring government buyers and suppliers together. They allow government to broadly outline its needs and give suppliers an immediate opportunity to ask questions. Suppliers can also use these sessions to make connections with each other, which can facilitate future joint-venture, sub-contracting and collaboration opportunities.</w:t>
      </w:r>
      <w:r w:rsidR="007278E6" w:rsidRPr="003B3C17">
        <w:rPr>
          <w:sz w:val="22"/>
        </w:rPr>
        <w:br/>
      </w:r>
    </w:p>
    <w:p w14:paraId="09EB21F1" w14:textId="77777777" w:rsidR="00136F3A" w:rsidRPr="003B3C17" w:rsidRDefault="00136F3A" w:rsidP="003B3C17">
      <w:pPr>
        <w:pStyle w:val="ListParagraph"/>
        <w:numPr>
          <w:ilvl w:val="0"/>
          <w:numId w:val="19"/>
        </w:numPr>
        <w:spacing w:after="100" w:line="240" w:lineRule="auto"/>
        <w:ind w:left="357" w:hanging="357"/>
        <w:contextualSpacing/>
        <w:rPr>
          <w:rFonts w:cs="Arial"/>
          <w:b/>
          <w:sz w:val="22"/>
        </w:rPr>
      </w:pPr>
      <w:r w:rsidRPr="003B3C17">
        <w:rPr>
          <w:rFonts w:cs="Arial"/>
          <w:b/>
          <w:sz w:val="22"/>
        </w:rPr>
        <w:t>Understand and eliminate barriers to participation</w:t>
      </w:r>
    </w:p>
    <w:p w14:paraId="1C81DF1D" w14:textId="02502537" w:rsidR="00136F3A" w:rsidRPr="003B3C17" w:rsidRDefault="00136F3A" w:rsidP="003B3C17">
      <w:pPr>
        <w:spacing w:after="120" w:line="240" w:lineRule="auto"/>
        <w:ind w:left="357"/>
        <w:rPr>
          <w:sz w:val="22"/>
        </w:rPr>
      </w:pPr>
      <w:r w:rsidRPr="003B3C17">
        <w:rPr>
          <w:sz w:val="22"/>
        </w:rPr>
        <w:t xml:space="preserve">Supply market analysis and industry engagement can also help to identify ways to ensure that suppliers are able to fully participate by eliminating any barriers to participation (e.g. how tenders are packaged and released to the market; excessive tender and insurance requirements). This should also extend to other businesses within the supply chain, including manufacturers. </w:t>
      </w:r>
      <w:r w:rsidR="007278E6" w:rsidRPr="003B3C17">
        <w:rPr>
          <w:sz w:val="22"/>
        </w:rPr>
        <w:br/>
      </w:r>
    </w:p>
    <w:p w14:paraId="1DC9CA72" w14:textId="77777777" w:rsidR="00136F3A" w:rsidRPr="003B3C17" w:rsidRDefault="00136F3A" w:rsidP="003B3C17">
      <w:pPr>
        <w:pStyle w:val="ListParagraph"/>
        <w:numPr>
          <w:ilvl w:val="0"/>
          <w:numId w:val="19"/>
        </w:numPr>
        <w:spacing w:after="100" w:line="240" w:lineRule="auto"/>
        <w:ind w:left="357" w:hanging="357"/>
        <w:contextualSpacing/>
        <w:rPr>
          <w:rFonts w:cs="Arial"/>
          <w:b/>
          <w:sz w:val="22"/>
        </w:rPr>
      </w:pPr>
      <w:r w:rsidRPr="003B3C17">
        <w:rPr>
          <w:rFonts w:cs="Arial"/>
          <w:b/>
          <w:sz w:val="22"/>
        </w:rPr>
        <w:t xml:space="preserve">Source information from other agencies </w:t>
      </w:r>
    </w:p>
    <w:p w14:paraId="616827F7" w14:textId="77777777" w:rsidR="00136F3A" w:rsidRPr="003B3C17" w:rsidRDefault="00136F3A" w:rsidP="00136F3A">
      <w:pPr>
        <w:ind w:left="360"/>
        <w:rPr>
          <w:sz w:val="22"/>
        </w:rPr>
      </w:pPr>
      <w:r w:rsidRPr="003B3C17">
        <w:rPr>
          <w:sz w:val="22"/>
        </w:rPr>
        <w:t>To provide full, fair and reasonable opportunity to local suppliers to tender for work, agencies should consider the most appropriate method of attracting local suppliers in the planning of the procurement (</w:t>
      </w:r>
      <w:proofErr w:type="gramStart"/>
      <w:r w:rsidRPr="003B3C17">
        <w:rPr>
          <w:sz w:val="22"/>
        </w:rPr>
        <w:t>e.g.</w:t>
      </w:r>
      <w:proofErr w:type="gramEnd"/>
      <w:r w:rsidRPr="003B3C17">
        <w:rPr>
          <w:sz w:val="22"/>
        </w:rPr>
        <w:t xml:space="preserve"> industry associations; ICN Gateway; advertising; etc.).</w:t>
      </w:r>
    </w:p>
    <w:p w14:paraId="73D2238A" w14:textId="0C385CEC" w:rsidR="00136F3A" w:rsidRPr="003B3C17" w:rsidRDefault="00136F3A" w:rsidP="003B3C17">
      <w:pPr>
        <w:spacing w:after="120" w:line="240" w:lineRule="auto"/>
        <w:ind w:left="357"/>
        <w:rPr>
          <w:sz w:val="22"/>
        </w:rPr>
      </w:pPr>
      <w:r w:rsidRPr="003B3C17">
        <w:rPr>
          <w:sz w:val="22"/>
        </w:rPr>
        <w:t>For further advice, consult your nearest Department of State Development, Infrastructure</w:t>
      </w:r>
      <w:r w:rsidR="002262C6" w:rsidRPr="003B3C17">
        <w:rPr>
          <w:sz w:val="22"/>
        </w:rPr>
        <w:t>, Local Government</w:t>
      </w:r>
      <w:r w:rsidRPr="003B3C17">
        <w:rPr>
          <w:sz w:val="22"/>
        </w:rPr>
        <w:t xml:space="preserve"> and Planning </w:t>
      </w:r>
      <w:r w:rsidR="002262C6" w:rsidRPr="003B3C17">
        <w:rPr>
          <w:sz w:val="22"/>
        </w:rPr>
        <w:t xml:space="preserve">(DSDILGP) </w:t>
      </w:r>
      <w:r w:rsidRPr="003B3C17">
        <w:rPr>
          <w:sz w:val="22"/>
        </w:rPr>
        <w:t>office, or the Industry Capability Network (ICN).</w:t>
      </w:r>
      <w:r w:rsidRPr="003B3C17">
        <w:rPr>
          <w:rStyle w:val="FootnoteReference"/>
          <w:sz w:val="22"/>
        </w:rPr>
        <w:footnoteReference w:id="1"/>
      </w:r>
      <w:r w:rsidRPr="003B3C17">
        <w:rPr>
          <w:sz w:val="22"/>
        </w:rPr>
        <w:t xml:space="preserve"> In particular, </w:t>
      </w:r>
      <w:r w:rsidR="002262C6" w:rsidRPr="003B3C17">
        <w:rPr>
          <w:sz w:val="22"/>
        </w:rPr>
        <w:t>DSDILGP</w:t>
      </w:r>
      <w:r w:rsidR="002262C6" w:rsidRPr="003B3C17" w:rsidDel="002262C6">
        <w:rPr>
          <w:sz w:val="22"/>
        </w:rPr>
        <w:t xml:space="preserve"> </w:t>
      </w:r>
      <w:r w:rsidRPr="003B3C17">
        <w:rPr>
          <w:sz w:val="22"/>
        </w:rPr>
        <w:t xml:space="preserve">and the ICN can provide advice on Queensland manufacturers, which in turn can help support the Queensland Government’s </w:t>
      </w:r>
      <w:hyperlink r:id="rId23" w:history="1">
        <w:r w:rsidRPr="003B3C17">
          <w:rPr>
            <w:rStyle w:val="Hyperlink"/>
            <w:sz w:val="22"/>
          </w:rPr>
          <w:t xml:space="preserve">Advanced </w:t>
        </w:r>
        <w:r w:rsidRPr="003B3C17">
          <w:rPr>
            <w:rStyle w:val="Hyperlink"/>
            <w:sz w:val="22"/>
          </w:rPr>
          <w:lastRenderedPageBreak/>
          <w:t>Manufacturing 10 Year Roadmap and Action Plan</w:t>
        </w:r>
      </w:hyperlink>
      <w:r w:rsidRPr="003B3C17">
        <w:rPr>
          <w:sz w:val="22"/>
        </w:rPr>
        <w:t>.</w:t>
      </w:r>
      <w:r w:rsidR="007278E6" w:rsidRPr="003B3C17">
        <w:rPr>
          <w:sz w:val="22"/>
        </w:rPr>
        <w:br/>
      </w:r>
    </w:p>
    <w:p w14:paraId="2803FA4C" w14:textId="77777777" w:rsidR="00136F3A" w:rsidRPr="003B3C17" w:rsidRDefault="00136F3A" w:rsidP="003B3C17">
      <w:pPr>
        <w:pStyle w:val="ListParagraph"/>
        <w:numPr>
          <w:ilvl w:val="0"/>
          <w:numId w:val="19"/>
        </w:numPr>
        <w:spacing w:after="100" w:line="240" w:lineRule="auto"/>
        <w:ind w:left="357" w:hanging="357"/>
        <w:contextualSpacing/>
        <w:rPr>
          <w:rFonts w:cs="Arial"/>
          <w:b/>
          <w:sz w:val="22"/>
        </w:rPr>
      </w:pPr>
      <w:r w:rsidRPr="003B3C17">
        <w:rPr>
          <w:rFonts w:cs="Arial"/>
          <w:b/>
          <w:sz w:val="22"/>
        </w:rPr>
        <w:t xml:space="preserve">Consider supplier development initiatives </w:t>
      </w:r>
    </w:p>
    <w:p w14:paraId="3BA5FF31" w14:textId="3B281433" w:rsidR="00136F3A" w:rsidRPr="003B3C17" w:rsidRDefault="00136F3A" w:rsidP="003B3C17">
      <w:pPr>
        <w:spacing w:after="120" w:line="240" w:lineRule="auto"/>
        <w:ind w:left="357"/>
        <w:rPr>
          <w:sz w:val="22"/>
        </w:rPr>
      </w:pPr>
      <w:r w:rsidRPr="003B3C17">
        <w:rPr>
          <w:sz w:val="22"/>
        </w:rPr>
        <w:t>Working with suppliers as part of a development program to improve their performance and capabilities not only has benefits for the procuring agency (improved goods/services, better delivery timeframes), but can also work to build capacity and resilience within the supply market.</w:t>
      </w:r>
      <w:r w:rsidR="007278E6" w:rsidRPr="003B3C17">
        <w:rPr>
          <w:sz w:val="22"/>
        </w:rPr>
        <w:br/>
      </w:r>
    </w:p>
    <w:p w14:paraId="6A3BBC83" w14:textId="77777777" w:rsidR="00136F3A" w:rsidRPr="003B3C17" w:rsidRDefault="00136F3A" w:rsidP="003B3C17">
      <w:pPr>
        <w:pStyle w:val="ListParagraph"/>
        <w:keepNext/>
        <w:keepLines/>
        <w:numPr>
          <w:ilvl w:val="0"/>
          <w:numId w:val="19"/>
        </w:numPr>
        <w:spacing w:after="100" w:line="240" w:lineRule="auto"/>
        <w:ind w:left="351" w:hanging="357"/>
        <w:contextualSpacing/>
        <w:rPr>
          <w:rFonts w:cs="Arial"/>
          <w:b/>
          <w:sz w:val="22"/>
        </w:rPr>
      </w:pPr>
      <w:r w:rsidRPr="003B3C17">
        <w:rPr>
          <w:rFonts w:cs="Arial"/>
          <w:b/>
          <w:sz w:val="22"/>
        </w:rPr>
        <w:t>Departing from common-use supply arrangements</w:t>
      </w:r>
    </w:p>
    <w:p w14:paraId="10BBD2E5" w14:textId="77777777" w:rsidR="00136F3A" w:rsidRPr="003B3C17" w:rsidRDefault="00136F3A" w:rsidP="00136F3A">
      <w:pPr>
        <w:keepNext/>
        <w:keepLines/>
        <w:ind w:left="357"/>
        <w:rPr>
          <w:rFonts w:cs="Arial"/>
          <w:bCs/>
          <w:sz w:val="22"/>
          <w:lang w:val="en-US" w:eastAsia="en-AU"/>
        </w:rPr>
      </w:pPr>
      <w:r w:rsidRPr="003B3C17">
        <w:rPr>
          <w:rFonts w:cs="Arial"/>
          <w:bCs/>
          <w:sz w:val="22"/>
          <w:lang w:val="en-US" w:eastAsia="en-AU"/>
        </w:rPr>
        <w:t xml:space="preserve">Agencies can depart from common-use supply arrangements where a good or service is to be supplied to regional or remote Queensland locations. Departures from such arrangements, including strategies to deliver savings and benefits </w:t>
      </w:r>
      <w:proofErr w:type="gramStart"/>
      <w:r w:rsidRPr="003B3C17">
        <w:rPr>
          <w:rFonts w:cs="Arial"/>
          <w:bCs/>
          <w:sz w:val="22"/>
          <w:lang w:val="en-US" w:eastAsia="en-AU"/>
        </w:rPr>
        <w:t>as a result of</w:t>
      </w:r>
      <w:proofErr w:type="gramEnd"/>
      <w:r w:rsidRPr="003B3C17">
        <w:rPr>
          <w:rFonts w:cs="Arial"/>
          <w:bCs/>
          <w:sz w:val="22"/>
          <w:lang w:val="en-US" w:eastAsia="en-AU"/>
        </w:rPr>
        <w:t xml:space="preserve"> the agency’s decision, are to form part of the agency’s procurement plan, and will be disclosed and worked through collaboratively with the relevant category council. These departures may also be captured in other planning documents, such as category strategies and plans.</w:t>
      </w:r>
      <w:bookmarkStart w:id="43" w:name="_Toc514921996"/>
      <w:r w:rsidRPr="003B3C17">
        <w:rPr>
          <w:rFonts w:cs="Arial"/>
          <w:bCs/>
          <w:sz w:val="22"/>
          <w:lang w:val="en-US" w:eastAsia="en-AU"/>
        </w:rPr>
        <w:t xml:space="preserve"> Look at how work is packaged</w:t>
      </w:r>
      <w:bookmarkEnd w:id="43"/>
    </w:p>
    <w:p w14:paraId="109664D9" w14:textId="77777777" w:rsidR="00136F3A" w:rsidRPr="003B3C17" w:rsidRDefault="00136F3A" w:rsidP="00136F3A">
      <w:pPr>
        <w:ind w:left="360"/>
        <w:rPr>
          <w:rFonts w:cs="Arial"/>
          <w:bCs/>
          <w:sz w:val="22"/>
          <w:lang w:val="en-US" w:eastAsia="en-AU"/>
        </w:rPr>
      </w:pPr>
      <w:r w:rsidRPr="003B3C17">
        <w:rPr>
          <w:rFonts w:cs="Arial"/>
          <w:bCs/>
          <w:sz w:val="22"/>
          <w:lang w:val="en-US" w:eastAsia="en-AU"/>
        </w:rPr>
        <w:t xml:space="preserve">Unbundling packages of work can often provide more opportunities for local businesses and help to support genuine local jobs. </w:t>
      </w:r>
    </w:p>
    <w:p w14:paraId="74A7A182" w14:textId="24A40BE0" w:rsidR="00136F3A" w:rsidRPr="003B3C17" w:rsidRDefault="00136F3A" w:rsidP="003B3C17">
      <w:pPr>
        <w:spacing w:after="120" w:line="240" w:lineRule="auto"/>
        <w:ind w:left="357"/>
        <w:rPr>
          <w:rFonts w:cs="Arial"/>
          <w:bCs/>
          <w:sz w:val="22"/>
          <w:lang w:val="en-US" w:eastAsia="en-AU"/>
        </w:rPr>
      </w:pPr>
      <w:r w:rsidRPr="003B3C17">
        <w:rPr>
          <w:rFonts w:cs="Arial"/>
          <w:bCs/>
          <w:sz w:val="22"/>
          <w:lang w:val="en-US" w:eastAsia="en-AU"/>
        </w:rPr>
        <w:t xml:space="preserve">Each procurement is different and government buyers will need to consider the relative benefits and risks associated with unbundling. Government buyers should use their professional judgement when determining if unbundling packages of work is appropriate. Consideration should be given to economies of scale and whether the unbundled packages of work represent value for money. In addition, many larger contracts may include opportunities for local sub-contracting, manufacturing, or other supply chain arrangements. </w:t>
      </w:r>
      <w:r w:rsidR="007278E6" w:rsidRPr="003B3C17">
        <w:rPr>
          <w:rFonts w:cs="Arial"/>
          <w:bCs/>
          <w:sz w:val="22"/>
          <w:lang w:val="en-US" w:eastAsia="en-AU"/>
        </w:rPr>
        <w:br/>
      </w:r>
    </w:p>
    <w:p w14:paraId="41C01909" w14:textId="77777777" w:rsidR="00136F3A" w:rsidRPr="003B3C17" w:rsidRDefault="00136F3A" w:rsidP="003B3C17">
      <w:pPr>
        <w:pStyle w:val="ListParagraph"/>
        <w:numPr>
          <w:ilvl w:val="0"/>
          <w:numId w:val="19"/>
        </w:numPr>
        <w:spacing w:after="100" w:line="259" w:lineRule="auto"/>
        <w:ind w:left="357" w:hanging="357"/>
        <w:contextualSpacing/>
        <w:rPr>
          <w:rFonts w:cs="Arial"/>
          <w:b/>
          <w:sz w:val="22"/>
        </w:rPr>
      </w:pPr>
      <w:r w:rsidRPr="003B3C17">
        <w:rPr>
          <w:rFonts w:cs="Arial"/>
          <w:b/>
          <w:sz w:val="22"/>
        </w:rPr>
        <w:t xml:space="preserve">Consider if larger packages of work can be broken down </w:t>
      </w:r>
    </w:p>
    <w:p w14:paraId="018D3A67" w14:textId="69B0B98C" w:rsidR="00136F3A" w:rsidRPr="003B3C17" w:rsidRDefault="00136F3A" w:rsidP="003B3C17">
      <w:pPr>
        <w:spacing w:after="120" w:line="240" w:lineRule="auto"/>
        <w:ind w:left="357"/>
        <w:rPr>
          <w:sz w:val="22"/>
          <w:lang w:val="en-US"/>
        </w:rPr>
      </w:pPr>
      <w:r w:rsidRPr="003B3C17">
        <w:rPr>
          <w:sz w:val="22"/>
          <w:lang w:val="en-US"/>
        </w:rPr>
        <w:t>While bundling is a valid procurement strategy, it can sometimes act as a barrier to smaller businesses and manufacturers bidding for work. Breaking a procurement into small components can create opportunities for these businesses to tender for work.</w:t>
      </w:r>
      <w:r w:rsidR="007278E6" w:rsidRPr="003B3C17">
        <w:rPr>
          <w:sz w:val="22"/>
          <w:lang w:val="en-US"/>
        </w:rPr>
        <w:br/>
      </w:r>
    </w:p>
    <w:p w14:paraId="608D24DE" w14:textId="77777777" w:rsidR="00136F3A" w:rsidRPr="003B3C17" w:rsidRDefault="00136F3A" w:rsidP="003B3C17">
      <w:pPr>
        <w:pStyle w:val="ListParagraph"/>
        <w:numPr>
          <w:ilvl w:val="0"/>
          <w:numId w:val="19"/>
        </w:numPr>
        <w:spacing w:after="100" w:line="240" w:lineRule="auto"/>
        <w:ind w:left="357" w:hanging="357"/>
        <w:contextualSpacing/>
        <w:rPr>
          <w:rFonts w:cs="Arial"/>
          <w:sz w:val="22"/>
        </w:rPr>
      </w:pPr>
      <w:r w:rsidRPr="003B3C17">
        <w:rPr>
          <w:rFonts w:cs="Arial"/>
          <w:b/>
          <w:sz w:val="22"/>
        </w:rPr>
        <w:t>Use criteria to attract certain types of sub-contractors or other businesses in the supply chain</w:t>
      </w:r>
    </w:p>
    <w:p w14:paraId="21CC3A8B" w14:textId="77777777" w:rsidR="00136F3A" w:rsidRPr="003B3C17" w:rsidRDefault="00136F3A" w:rsidP="00136F3A">
      <w:pPr>
        <w:ind w:left="360"/>
        <w:rPr>
          <w:sz w:val="22"/>
          <w:lang w:val="en-US"/>
        </w:rPr>
      </w:pPr>
      <w:r w:rsidRPr="003B3C17">
        <w:rPr>
          <w:sz w:val="22"/>
          <w:lang w:val="en-US"/>
        </w:rPr>
        <w:t xml:space="preserve">By informing the market early that an agency is looking to increase the uptake of local suppliers, larger suppliers might use the opportunity to sub-contract with local suppliers or include local businesses and manufacturers in their supply chain. The agency can indicate the importance of this criteria by making it highly desirable and require the use of local sub-contractors or other suppliers where the capability exists. To do this an agency can apply elements of the local benefits test (even if the procurement is not deemed as significant and requiring the application of the test). </w:t>
      </w:r>
    </w:p>
    <w:p w14:paraId="32EEB938" w14:textId="77777777" w:rsidR="00136F3A" w:rsidRPr="003B3C17" w:rsidRDefault="00136F3A" w:rsidP="00136F3A">
      <w:pPr>
        <w:ind w:left="360"/>
        <w:rPr>
          <w:rFonts w:eastAsia="Calibri" w:cs="Arial"/>
          <w:sz w:val="22"/>
        </w:rPr>
      </w:pPr>
      <w:r w:rsidRPr="003B3C17">
        <w:rPr>
          <w:rFonts w:eastAsia="Calibri" w:cs="Arial"/>
          <w:noProof/>
          <w:sz w:val="22"/>
        </w:rPr>
        <w:lastRenderedPageBreak/>
        <mc:AlternateContent>
          <mc:Choice Requires="wps">
            <w:drawing>
              <wp:anchor distT="0" distB="0" distL="114300" distR="114300" simplePos="0" relativeHeight="251662336" behindDoc="0" locked="0" layoutInCell="1" allowOverlap="1" wp14:anchorId="43A226B0" wp14:editId="3EB31304">
                <wp:simplePos x="0" y="0"/>
                <wp:positionH relativeFrom="column">
                  <wp:posOffset>4067175</wp:posOffset>
                </wp:positionH>
                <wp:positionV relativeFrom="paragraph">
                  <wp:posOffset>80010</wp:posOffset>
                </wp:positionV>
                <wp:extent cx="2061210" cy="2760345"/>
                <wp:effectExtent l="0" t="0" r="15240" b="20955"/>
                <wp:wrapSquare wrapText="bothSides"/>
                <wp:docPr id="11" name="Text Box 11"/>
                <wp:cNvGraphicFramePr/>
                <a:graphic xmlns:a="http://schemas.openxmlformats.org/drawingml/2006/main">
                  <a:graphicData uri="http://schemas.microsoft.com/office/word/2010/wordprocessingShape">
                    <wps:wsp>
                      <wps:cNvSpPr txBox="1"/>
                      <wps:spPr>
                        <a:xfrm>
                          <a:off x="0" y="0"/>
                          <a:ext cx="2061210" cy="2760345"/>
                        </a:xfrm>
                        <a:prstGeom prst="rect">
                          <a:avLst/>
                        </a:prstGeom>
                        <a:solidFill>
                          <a:schemeClr val="tx1">
                            <a:lumMod val="50000"/>
                            <a:lumOff val="50000"/>
                          </a:schemeClr>
                        </a:solidFill>
                        <a:ln w="6350">
                          <a:solidFill>
                            <a:prstClr val="black"/>
                          </a:solidFill>
                        </a:ln>
                      </wps:spPr>
                      <wps:txbx>
                        <w:txbxContent>
                          <w:p w14:paraId="6B8C9607" w14:textId="77777777" w:rsidR="00136F3A" w:rsidRPr="00DB3657" w:rsidRDefault="00136F3A" w:rsidP="00136F3A">
                            <w:pPr>
                              <w:rPr>
                                <w:rFonts w:ascii="Arial Narrow" w:hAnsi="Arial Narrow"/>
                                <w:b/>
                                <w:color w:val="FFFFFF" w:themeColor="background1"/>
                                <w:szCs w:val="18"/>
                              </w:rPr>
                            </w:pPr>
                            <w:r w:rsidRPr="00DB3657">
                              <w:rPr>
                                <w:rFonts w:ascii="Arial Narrow" w:hAnsi="Arial Narrow"/>
                                <w:b/>
                                <w:color w:val="FFFFFF" w:themeColor="background1"/>
                                <w:szCs w:val="18"/>
                              </w:rPr>
                              <w:t xml:space="preserve">Manufacturing supports a significant amount of regional employment. </w:t>
                            </w:r>
                            <w:r w:rsidRPr="00DB3657">
                              <w:rPr>
                                <w:rFonts w:ascii="Arial Narrow" w:hAnsi="Arial Narrow"/>
                                <w:b/>
                                <w:color w:val="FFFFFF" w:themeColor="background1"/>
                                <w:szCs w:val="18"/>
                                <w:vertAlign w:val="superscript"/>
                              </w:rPr>
                              <w:t xml:space="preserve">1 </w:t>
                            </w:r>
                            <w:r w:rsidRPr="00DB3657">
                              <w:rPr>
                                <w:rFonts w:ascii="Arial Narrow" w:hAnsi="Arial Narrow"/>
                                <w:b/>
                                <w:color w:val="FFFFFF" w:themeColor="background1"/>
                                <w:szCs w:val="18"/>
                              </w:rPr>
                              <w:t>Government buyers should consider benefits that a supplier using Queensland manufactured goods in their projects brings to the Queensland economy. Where goods have the potential to be manufactured locally, agencies should incorporate in their procurement process a method to assess the manufacturing location.</w:t>
                            </w:r>
                          </w:p>
                          <w:p w14:paraId="0B6484C1" w14:textId="77777777" w:rsidR="00136F3A" w:rsidRPr="00DB3657" w:rsidRDefault="00136F3A" w:rsidP="00136F3A">
                            <w:pPr>
                              <w:rPr>
                                <w:rFonts w:ascii="Arial Narrow" w:hAnsi="Arial Narrow"/>
                                <w:b/>
                                <w:color w:val="FFFFFF" w:themeColor="background1"/>
                                <w:szCs w:val="18"/>
                              </w:rPr>
                            </w:pPr>
                            <w:r w:rsidRPr="00DB3657">
                              <w:rPr>
                                <w:rFonts w:ascii="Arial Narrow" w:hAnsi="Arial Narrow"/>
                                <w:b/>
                                <w:color w:val="FFFFFF" w:themeColor="background1"/>
                                <w:szCs w:val="18"/>
                                <w:vertAlign w:val="superscript"/>
                              </w:rPr>
                              <w:t>1</w:t>
                            </w:r>
                            <w:r w:rsidRPr="00DB3657">
                              <w:rPr>
                                <w:rFonts w:ascii="Arial Narrow" w:hAnsi="Arial Narrow"/>
                                <w:b/>
                                <w:color w:val="FFFFFF" w:themeColor="background1"/>
                                <w:szCs w:val="18"/>
                              </w:rPr>
                              <w:t xml:space="preserve"> </w:t>
                            </w:r>
                            <w:r w:rsidRPr="00DB3657">
                              <w:rPr>
                                <w:rFonts w:ascii="Arial Narrow" w:hAnsi="Arial Narrow"/>
                                <w:b/>
                                <w:color w:val="FFFFFF" w:themeColor="background1"/>
                                <w:sz w:val="18"/>
                                <w:szCs w:val="18"/>
                              </w:rPr>
                              <w:t>Queensland Advanced Manufacturing 10-Year Roadmap and Action Plan, www.dsdmip.qld.gov.au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226B0" id="_x0000_t202" coordsize="21600,21600" o:spt="202" path="m,l,21600r21600,l21600,xe">
                <v:stroke joinstyle="miter"/>
                <v:path gradientshapeok="t" o:connecttype="rect"/>
              </v:shapetype>
              <v:shape id="Text Box 11" o:spid="_x0000_s1027" type="#_x0000_t202" style="position:absolute;left:0;text-align:left;margin-left:320.25pt;margin-top:6.3pt;width:162.3pt;height:2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" fillcolor="gray [1629]" strokeweight=".5pt">
                <v:textbox>
                  <w:txbxContent>
                    <w:p w14:paraId="6B8C9607" w14:textId="77777777" w:rsidR="00136F3A" w:rsidRPr="00DB3657" w:rsidRDefault="00136F3A" w:rsidP="00136F3A">
                      <w:pPr>
                        <w:rPr>
                          <w:rFonts w:ascii="Arial Narrow" w:hAnsi="Arial Narrow"/>
                          <w:b/>
                          <w:color w:val="FFFFFF" w:themeColor="background1"/>
                          <w:szCs w:val="18"/>
                        </w:rPr>
                      </w:pPr>
                      <w:r w:rsidRPr="00DB3657">
                        <w:rPr>
                          <w:rFonts w:ascii="Arial Narrow" w:hAnsi="Arial Narrow"/>
                          <w:b/>
                          <w:color w:val="FFFFFF" w:themeColor="background1"/>
                          <w:szCs w:val="18"/>
                        </w:rPr>
                        <w:t xml:space="preserve">Manufacturing supports a significant amount of regional employment. </w:t>
                      </w:r>
                      <w:r w:rsidRPr="00DB3657">
                        <w:rPr>
                          <w:rFonts w:ascii="Arial Narrow" w:hAnsi="Arial Narrow"/>
                          <w:b/>
                          <w:color w:val="FFFFFF" w:themeColor="background1"/>
                          <w:szCs w:val="18"/>
                          <w:vertAlign w:val="superscript"/>
                        </w:rPr>
                        <w:t xml:space="preserve">1 </w:t>
                      </w:r>
                      <w:r w:rsidRPr="00DB3657">
                        <w:rPr>
                          <w:rFonts w:ascii="Arial Narrow" w:hAnsi="Arial Narrow"/>
                          <w:b/>
                          <w:color w:val="FFFFFF" w:themeColor="background1"/>
                          <w:szCs w:val="18"/>
                        </w:rPr>
                        <w:t>Government buyers should consider benefits that a supplier using Queensland manufactured goods in their projects brings to the Queensland economy. Where goods have the potential to be manufactured locally, agencies should incorporate in their procurement process a method to assess the manufacturing location.</w:t>
                      </w:r>
                    </w:p>
                    <w:p w14:paraId="0B6484C1" w14:textId="77777777" w:rsidR="00136F3A" w:rsidRPr="00DB3657" w:rsidRDefault="00136F3A" w:rsidP="00136F3A">
                      <w:pPr>
                        <w:rPr>
                          <w:rFonts w:ascii="Arial Narrow" w:hAnsi="Arial Narrow"/>
                          <w:b/>
                          <w:color w:val="FFFFFF" w:themeColor="background1"/>
                          <w:szCs w:val="18"/>
                        </w:rPr>
                      </w:pPr>
                      <w:r w:rsidRPr="00DB3657">
                        <w:rPr>
                          <w:rFonts w:ascii="Arial Narrow" w:hAnsi="Arial Narrow"/>
                          <w:b/>
                          <w:color w:val="FFFFFF" w:themeColor="background1"/>
                          <w:szCs w:val="18"/>
                          <w:vertAlign w:val="superscript"/>
                        </w:rPr>
                        <w:t>1</w:t>
                      </w:r>
                      <w:r w:rsidRPr="00DB3657">
                        <w:rPr>
                          <w:rFonts w:ascii="Arial Narrow" w:hAnsi="Arial Narrow"/>
                          <w:b/>
                          <w:color w:val="FFFFFF" w:themeColor="background1"/>
                          <w:szCs w:val="18"/>
                        </w:rPr>
                        <w:t xml:space="preserve"> </w:t>
                      </w:r>
                      <w:r w:rsidRPr="00DB3657">
                        <w:rPr>
                          <w:rFonts w:ascii="Arial Narrow" w:hAnsi="Arial Narrow"/>
                          <w:b/>
                          <w:color w:val="FFFFFF" w:themeColor="background1"/>
                          <w:sz w:val="18"/>
                          <w:szCs w:val="18"/>
                        </w:rPr>
                        <w:t>Queensland Advanced Manufacturing 10-Year Roadmap and Action Plan, www.dsdmip.qld.gov.au</w:t>
                      </w:r>
                    </w:p>
                  </w:txbxContent>
                </v:textbox>
                <w10:wrap type="square"/>
              </v:shape>
            </w:pict>
          </mc:Fallback>
        </mc:AlternateContent>
      </w:r>
      <w:r w:rsidRPr="003B3C17">
        <w:rPr>
          <w:rFonts w:eastAsia="Calibri" w:cs="Arial"/>
          <w:sz w:val="22"/>
        </w:rPr>
        <w:t xml:space="preserve">The QPP also requires the use of local contractors and manufacturers in significant Queensland Government infrastructure projects, worth $100 million and above, wherever possible; along with the increasing opportunities for apprentices and trainees in significant Queensland Government infrastructure projects, worth $100 million and above. </w:t>
      </w:r>
    </w:p>
    <w:p w14:paraId="0B446134" w14:textId="77777777" w:rsidR="00136F3A" w:rsidRPr="003B3C17" w:rsidRDefault="00136F3A" w:rsidP="00136F3A">
      <w:pPr>
        <w:ind w:left="360"/>
        <w:rPr>
          <w:sz w:val="22"/>
          <w:lang w:val="en-US"/>
        </w:rPr>
      </w:pPr>
      <w:r w:rsidRPr="003B3C17">
        <w:rPr>
          <w:rFonts w:eastAsia="Calibri" w:cs="Arial"/>
          <w:sz w:val="22"/>
        </w:rPr>
        <w:t>The QPP also requires that the value of money assessment include application of all of the below best practice principles t</w:t>
      </w:r>
      <w:r w:rsidRPr="003B3C17">
        <w:rPr>
          <w:sz w:val="22"/>
          <w:lang w:eastAsia="en-AU"/>
        </w:rPr>
        <w:t>o major building and construction projects, including civil construction, of $100 million or more</w:t>
      </w:r>
      <w:r w:rsidRPr="003B3C17">
        <w:rPr>
          <w:rFonts w:eastAsia="Calibri" w:cs="Arial"/>
          <w:sz w:val="22"/>
        </w:rPr>
        <w:t>:</w:t>
      </w:r>
    </w:p>
    <w:p w14:paraId="5951C2C8" w14:textId="77777777" w:rsidR="00136F3A" w:rsidRPr="003B3C17" w:rsidRDefault="00136F3A" w:rsidP="00136F3A">
      <w:pPr>
        <w:pStyle w:val="ListParagraph"/>
        <w:numPr>
          <w:ilvl w:val="0"/>
          <w:numId w:val="19"/>
        </w:numPr>
        <w:spacing w:after="160" w:line="360" w:lineRule="auto"/>
        <w:ind w:left="993" w:hanging="284"/>
        <w:contextualSpacing/>
        <w:rPr>
          <w:rFonts w:cs="Arial"/>
          <w:sz w:val="22"/>
          <w:lang w:val="en-US"/>
        </w:rPr>
      </w:pPr>
      <w:r w:rsidRPr="003B3C17">
        <w:rPr>
          <w:rFonts w:cs="Arial"/>
          <w:sz w:val="22"/>
          <w:lang w:val="en-US"/>
        </w:rPr>
        <w:t>workplace health and safety systems and standards</w:t>
      </w:r>
    </w:p>
    <w:p w14:paraId="30AA6A05" w14:textId="77777777" w:rsidR="00136F3A" w:rsidRPr="003B3C17" w:rsidRDefault="00136F3A" w:rsidP="00136F3A">
      <w:pPr>
        <w:pStyle w:val="ListParagraph"/>
        <w:numPr>
          <w:ilvl w:val="0"/>
          <w:numId w:val="19"/>
        </w:numPr>
        <w:spacing w:after="160" w:line="360" w:lineRule="auto"/>
        <w:ind w:left="993" w:hanging="284"/>
        <w:contextualSpacing/>
        <w:rPr>
          <w:rFonts w:cs="Arial"/>
          <w:sz w:val="22"/>
          <w:lang w:val="en-US"/>
        </w:rPr>
      </w:pPr>
      <w:r w:rsidRPr="003B3C17">
        <w:rPr>
          <w:rFonts w:cs="Arial"/>
          <w:sz w:val="22"/>
          <w:lang w:val="en-US"/>
        </w:rPr>
        <w:t>commitment to apprentice and trainees</w:t>
      </w:r>
    </w:p>
    <w:p w14:paraId="14B202DB" w14:textId="77777777" w:rsidR="00136F3A" w:rsidRPr="003B3C17" w:rsidRDefault="00136F3A" w:rsidP="00136F3A">
      <w:pPr>
        <w:pStyle w:val="ListParagraph"/>
        <w:numPr>
          <w:ilvl w:val="0"/>
          <w:numId w:val="19"/>
        </w:numPr>
        <w:spacing w:after="160" w:line="360" w:lineRule="auto"/>
        <w:ind w:left="993" w:hanging="284"/>
        <w:contextualSpacing/>
        <w:rPr>
          <w:rFonts w:cs="Arial"/>
          <w:sz w:val="22"/>
          <w:lang w:val="en-US"/>
        </w:rPr>
      </w:pPr>
      <w:r w:rsidRPr="003B3C17">
        <w:rPr>
          <w:rFonts w:cs="Arial"/>
          <w:sz w:val="22"/>
          <w:lang w:val="en-US"/>
        </w:rPr>
        <w:t>best practice industrial relations</w:t>
      </w:r>
    </w:p>
    <w:p w14:paraId="0C245883" w14:textId="77777777" w:rsidR="00136F3A" w:rsidRPr="003B3C17" w:rsidRDefault="00136F3A" w:rsidP="00136F3A">
      <w:pPr>
        <w:pStyle w:val="ListParagraph"/>
        <w:numPr>
          <w:ilvl w:val="0"/>
          <w:numId w:val="19"/>
        </w:numPr>
        <w:spacing w:after="160" w:line="360" w:lineRule="auto"/>
        <w:ind w:left="993" w:hanging="284"/>
        <w:contextualSpacing/>
        <w:rPr>
          <w:rFonts w:cs="Arial"/>
          <w:sz w:val="22"/>
          <w:lang w:val="en-US"/>
        </w:rPr>
      </w:pPr>
      <w:r w:rsidRPr="003B3C17">
        <w:rPr>
          <w:rFonts w:cs="Arial"/>
          <w:sz w:val="22"/>
          <w:lang w:val="en-US"/>
        </w:rPr>
        <w:t xml:space="preserve">history of compliance with procurement, tendering and other government policy. </w:t>
      </w:r>
    </w:p>
    <w:p w14:paraId="696461F8" w14:textId="77777777" w:rsidR="00136F3A" w:rsidRPr="003B3C17" w:rsidRDefault="00136F3A" w:rsidP="00136F3A">
      <w:pPr>
        <w:ind w:left="426"/>
        <w:rPr>
          <w:sz w:val="22"/>
          <w:lang w:val="en-US"/>
        </w:rPr>
      </w:pPr>
      <w:r w:rsidRPr="003B3C17">
        <w:rPr>
          <w:sz w:val="22"/>
          <w:lang w:val="en-US"/>
        </w:rPr>
        <w:t xml:space="preserve">Further information on the application of these principles is available in the guide </w:t>
      </w:r>
      <w:hyperlink r:id="rId24" w:history="1">
        <w:r w:rsidRPr="003B3C17">
          <w:rPr>
            <w:rStyle w:val="Hyperlink"/>
            <w:sz w:val="22"/>
          </w:rPr>
          <w:t>Best practice principles: Quality, safe workplaces</w:t>
        </w:r>
      </w:hyperlink>
      <w:r w:rsidRPr="003B3C17">
        <w:rPr>
          <w:sz w:val="22"/>
          <w:lang w:val="en-US"/>
        </w:rPr>
        <w:t>.</w:t>
      </w:r>
    </w:p>
    <w:p w14:paraId="4B0F52C4" w14:textId="77777777" w:rsidR="00136F3A" w:rsidRPr="003B3C17" w:rsidRDefault="00136F3A" w:rsidP="00136F3A">
      <w:pPr>
        <w:ind w:left="426"/>
        <w:rPr>
          <w:sz w:val="22"/>
          <w:lang w:val="en-US"/>
        </w:rPr>
      </w:pPr>
      <w:r w:rsidRPr="003B3C17">
        <w:rPr>
          <w:sz w:val="22"/>
          <w:lang w:val="en-US"/>
        </w:rPr>
        <w:t xml:space="preserve">Remember, while the QPP sets </w:t>
      </w:r>
      <w:proofErr w:type="gramStart"/>
      <w:r w:rsidRPr="003B3C17">
        <w:rPr>
          <w:sz w:val="22"/>
          <w:lang w:val="en-US"/>
        </w:rPr>
        <w:t>particular thresholds</w:t>
      </w:r>
      <w:proofErr w:type="gramEnd"/>
      <w:r w:rsidRPr="003B3C17">
        <w:rPr>
          <w:sz w:val="22"/>
          <w:lang w:val="en-US"/>
        </w:rPr>
        <w:t xml:space="preserve"> this does not prevent agencies from using criteria to improve local opportunities in a procurement or project worth less than $100 million</w:t>
      </w:r>
      <w:r w:rsidRPr="003B3C17">
        <w:rPr>
          <w:rStyle w:val="FootnoteReference"/>
          <w:sz w:val="22"/>
          <w:lang w:val="en-US"/>
        </w:rPr>
        <w:footnoteReference w:id="2"/>
      </w:r>
      <w:r w:rsidRPr="003B3C17">
        <w:rPr>
          <w:sz w:val="22"/>
          <w:lang w:val="en-US"/>
        </w:rPr>
        <w:t>.</w:t>
      </w:r>
    </w:p>
    <w:p w14:paraId="25E703B8" w14:textId="77777777" w:rsidR="00136F3A" w:rsidRPr="003B3C17" w:rsidRDefault="00136F3A" w:rsidP="00136F3A">
      <w:pPr>
        <w:pStyle w:val="ListParagraph"/>
        <w:ind w:left="360"/>
        <w:rPr>
          <w:rFonts w:cs="Arial"/>
          <w:b/>
          <w:sz w:val="22"/>
        </w:rPr>
      </w:pPr>
    </w:p>
    <w:p w14:paraId="2A866D81" w14:textId="77777777" w:rsidR="00136F3A" w:rsidRPr="003B3C17" w:rsidRDefault="00136F3A" w:rsidP="00136F3A">
      <w:pPr>
        <w:pStyle w:val="ListParagraph"/>
        <w:numPr>
          <w:ilvl w:val="0"/>
          <w:numId w:val="19"/>
        </w:numPr>
        <w:spacing w:after="160" w:line="259" w:lineRule="auto"/>
        <w:contextualSpacing/>
        <w:rPr>
          <w:rFonts w:cs="Arial"/>
          <w:sz w:val="22"/>
        </w:rPr>
      </w:pPr>
      <w:r w:rsidRPr="003B3C17">
        <w:rPr>
          <w:rFonts w:cs="Arial"/>
          <w:b/>
          <w:sz w:val="22"/>
        </w:rPr>
        <w:t xml:space="preserve">Consult key stakeholders </w:t>
      </w:r>
    </w:p>
    <w:p w14:paraId="0223C888" w14:textId="77777777" w:rsidR="00136F3A" w:rsidRPr="003B3C17" w:rsidRDefault="00136F3A" w:rsidP="00136F3A">
      <w:pPr>
        <w:ind w:left="360"/>
        <w:rPr>
          <w:sz w:val="22"/>
          <w:lang w:val="en-US"/>
        </w:rPr>
      </w:pPr>
      <w:r w:rsidRPr="003B3C17">
        <w:rPr>
          <w:sz w:val="22"/>
          <w:lang w:val="en-US"/>
        </w:rPr>
        <w:t xml:space="preserve">You should always consult with key internal stakeholders as they can provide useful insights into how the requirements might be structured and bundled. </w:t>
      </w:r>
      <w:proofErr w:type="gramStart"/>
      <w:r w:rsidRPr="003B3C17">
        <w:rPr>
          <w:sz w:val="22"/>
          <w:lang w:val="en-US"/>
        </w:rPr>
        <w:t>In particular, talking</w:t>
      </w:r>
      <w:proofErr w:type="gramEnd"/>
      <w:r w:rsidRPr="003B3C17">
        <w:rPr>
          <w:sz w:val="22"/>
          <w:lang w:val="en-US"/>
        </w:rPr>
        <w:t xml:space="preserve"> to stakeholders in regional areas can assist in understanding the nature of the supply market in that particular region.</w:t>
      </w:r>
    </w:p>
    <w:p w14:paraId="31D0B4A4" w14:textId="77777777" w:rsidR="00136F3A" w:rsidRPr="00E41CF3" w:rsidRDefault="00136F3A" w:rsidP="00136F3A">
      <w:pPr>
        <w:pStyle w:val="Heading3"/>
        <w:rPr>
          <w:lang w:val="en-US"/>
        </w:rPr>
      </w:pPr>
      <w:bookmarkStart w:id="44" w:name="_Toc514921997"/>
      <w:bookmarkStart w:id="45" w:name="_Toc4152013"/>
      <w:bookmarkStart w:id="46" w:name="_Toc77338093"/>
      <w:r w:rsidRPr="00E41CF3">
        <w:rPr>
          <w:lang w:val="en-US"/>
        </w:rPr>
        <w:t>Develop a significant procurement plan</w:t>
      </w:r>
      <w:bookmarkEnd w:id="44"/>
      <w:bookmarkEnd w:id="45"/>
      <w:bookmarkEnd w:id="46"/>
    </w:p>
    <w:p w14:paraId="2EAECA01" w14:textId="77777777" w:rsidR="00136F3A" w:rsidRPr="003B3C17" w:rsidRDefault="00136F3A" w:rsidP="00136F3A">
      <w:pPr>
        <w:spacing w:line="259" w:lineRule="auto"/>
        <w:rPr>
          <w:rFonts w:cs="Arial"/>
          <w:bCs/>
          <w:sz w:val="22"/>
          <w:lang w:val="en-US" w:eastAsia="en-AU"/>
        </w:rPr>
      </w:pPr>
      <w:r w:rsidRPr="003B3C17">
        <w:rPr>
          <w:rFonts w:cs="Arial"/>
          <w:bCs/>
          <w:sz w:val="22"/>
          <w:lang w:val="en-US" w:eastAsia="en-AU"/>
        </w:rPr>
        <w:t>Your pre-tender planning should culminate in the development of a significant procurement plan. This plan should ultimately collate the work undertaken and address, at a minimum:</w:t>
      </w:r>
    </w:p>
    <w:p w14:paraId="02884B5A" w14:textId="77777777" w:rsidR="00136F3A" w:rsidRPr="003B3C17" w:rsidRDefault="00136F3A" w:rsidP="003B3C17">
      <w:pPr>
        <w:pStyle w:val="ListParagraph"/>
        <w:numPr>
          <w:ilvl w:val="0"/>
          <w:numId w:val="13"/>
        </w:numPr>
        <w:spacing w:before="60" w:line="240" w:lineRule="auto"/>
        <w:contextualSpacing/>
        <w:rPr>
          <w:rFonts w:cs="Arial"/>
          <w:bCs/>
          <w:sz w:val="22"/>
          <w:lang w:val="en-US" w:eastAsia="en-AU"/>
        </w:rPr>
      </w:pPr>
      <w:r w:rsidRPr="003B3C17">
        <w:rPr>
          <w:rFonts w:cs="Arial"/>
          <w:bCs/>
          <w:sz w:val="22"/>
          <w:lang w:val="en-US" w:eastAsia="en-AU"/>
        </w:rPr>
        <w:t>an analysis of demand and the supply market</w:t>
      </w:r>
    </w:p>
    <w:p w14:paraId="41BF7E02" w14:textId="77777777" w:rsidR="00136F3A" w:rsidRPr="003B3C17" w:rsidRDefault="00136F3A" w:rsidP="003B3C17">
      <w:pPr>
        <w:pStyle w:val="ListParagraph"/>
        <w:spacing w:before="60" w:line="240" w:lineRule="auto"/>
        <w:rPr>
          <w:rFonts w:cs="Arial"/>
          <w:bCs/>
          <w:sz w:val="22"/>
          <w:lang w:val="en-US" w:eastAsia="en-AU"/>
        </w:rPr>
      </w:pPr>
    </w:p>
    <w:p w14:paraId="6A51E30D" w14:textId="77777777" w:rsidR="00136F3A" w:rsidRPr="003B3C17" w:rsidRDefault="00136F3A" w:rsidP="003B3C17">
      <w:pPr>
        <w:pStyle w:val="ListParagraph"/>
        <w:numPr>
          <w:ilvl w:val="0"/>
          <w:numId w:val="13"/>
        </w:numPr>
        <w:spacing w:before="60" w:line="240" w:lineRule="auto"/>
        <w:contextualSpacing/>
        <w:rPr>
          <w:rFonts w:cs="Arial"/>
          <w:bCs/>
          <w:sz w:val="22"/>
          <w:lang w:val="en-US" w:eastAsia="en-AU"/>
        </w:rPr>
      </w:pPr>
      <w:r w:rsidRPr="003B3C17">
        <w:rPr>
          <w:rFonts w:cs="Arial"/>
          <w:bCs/>
          <w:sz w:val="22"/>
          <w:lang w:val="en-US" w:eastAsia="en-AU"/>
        </w:rPr>
        <w:t xml:space="preserve">evaluation planning </w:t>
      </w:r>
      <w:r w:rsidRPr="003B3C17">
        <w:rPr>
          <w:rFonts w:cs="Arial"/>
          <w:bCs/>
          <w:sz w:val="22"/>
          <w:lang w:val="en-US" w:eastAsia="en-AU"/>
        </w:rPr>
        <w:br/>
      </w:r>
    </w:p>
    <w:p w14:paraId="62804FC6" w14:textId="77777777" w:rsidR="00136F3A" w:rsidRPr="003B3C17" w:rsidRDefault="00136F3A" w:rsidP="003B3C17">
      <w:pPr>
        <w:pStyle w:val="ListParagraph"/>
        <w:numPr>
          <w:ilvl w:val="0"/>
          <w:numId w:val="13"/>
        </w:numPr>
        <w:spacing w:before="60" w:line="240" w:lineRule="auto"/>
        <w:contextualSpacing/>
        <w:rPr>
          <w:rFonts w:cs="Arial"/>
          <w:bCs/>
          <w:sz w:val="22"/>
          <w:lang w:val="en-US" w:eastAsia="en-AU"/>
        </w:rPr>
      </w:pPr>
      <w:r w:rsidRPr="003B3C17">
        <w:rPr>
          <w:rFonts w:cs="Arial"/>
          <w:bCs/>
          <w:sz w:val="22"/>
          <w:lang w:val="en-US" w:eastAsia="en-AU"/>
        </w:rPr>
        <w:t xml:space="preserve">strategies to achieve value for money, including the advancement of economic, </w:t>
      </w:r>
      <w:proofErr w:type="gramStart"/>
      <w:r w:rsidRPr="003B3C17">
        <w:rPr>
          <w:rFonts w:cs="Arial"/>
          <w:bCs/>
          <w:sz w:val="22"/>
          <w:lang w:val="en-US" w:eastAsia="en-AU"/>
        </w:rPr>
        <w:t>environmental</w:t>
      </w:r>
      <w:proofErr w:type="gramEnd"/>
      <w:r w:rsidRPr="003B3C17">
        <w:rPr>
          <w:rFonts w:cs="Arial"/>
          <w:bCs/>
          <w:sz w:val="22"/>
          <w:lang w:val="en-US" w:eastAsia="en-AU"/>
        </w:rPr>
        <w:t xml:space="preserve"> and social outcomes</w:t>
      </w:r>
      <w:r w:rsidRPr="003B3C17">
        <w:rPr>
          <w:rFonts w:cs="Arial"/>
          <w:bCs/>
          <w:sz w:val="22"/>
          <w:lang w:val="en-US" w:eastAsia="en-AU"/>
        </w:rPr>
        <w:br/>
      </w:r>
    </w:p>
    <w:p w14:paraId="6F8147E7" w14:textId="33DB1A83" w:rsidR="00136F3A" w:rsidRDefault="00136F3A">
      <w:pPr>
        <w:pStyle w:val="ListParagraph"/>
        <w:numPr>
          <w:ilvl w:val="0"/>
          <w:numId w:val="13"/>
        </w:numPr>
        <w:spacing w:before="60" w:line="240" w:lineRule="auto"/>
        <w:contextualSpacing/>
        <w:rPr>
          <w:rFonts w:cs="Arial"/>
          <w:bCs/>
          <w:sz w:val="22"/>
          <w:lang w:val="en-US" w:eastAsia="en-AU"/>
        </w:rPr>
      </w:pPr>
      <w:r w:rsidRPr="003B3C17">
        <w:rPr>
          <w:rFonts w:cs="Arial"/>
          <w:bCs/>
          <w:sz w:val="22"/>
          <w:lang w:val="en-US" w:eastAsia="en-AU"/>
        </w:rPr>
        <w:t>performance measures and contract management arrangements</w:t>
      </w:r>
      <w:r w:rsidRPr="003B3C17">
        <w:rPr>
          <w:rFonts w:cs="Arial"/>
          <w:bCs/>
          <w:sz w:val="22"/>
          <w:lang w:val="en-US" w:eastAsia="en-AU"/>
        </w:rPr>
        <w:br/>
      </w:r>
    </w:p>
    <w:p w14:paraId="7794DA78" w14:textId="77777777" w:rsidR="004B4AE7" w:rsidRPr="003B3C17" w:rsidRDefault="004B4AE7" w:rsidP="003B3C17">
      <w:pPr>
        <w:pStyle w:val="ListParagraph"/>
        <w:spacing w:before="60" w:line="240" w:lineRule="auto"/>
        <w:contextualSpacing/>
        <w:rPr>
          <w:rFonts w:cs="Arial"/>
          <w:bCs/>
          <w:sz w:val="22"/>
          <w:lang w:val="en-US" w:eastAsia="en-AU"/>
        </w:rPr>
      </w:pPr>
    </w:p>
    <w:p w14:paraId="4DB0551D" w14:textId="7DFBB33E" w:rsidR="00136F3A" w:rsidRPr="003B3C17" w:rsidRDefault="00136F3A" w:rsidP="003B3C17">
      <w:pPr>
        <w:pStyle w:val="ListParagraph"/>
        <w:numPr>
          <w:ilvl w:val="0"/>
          <w:numId w:val="13"/>
        </w:numPr>
        <w:spacing w:before="60" w:line="240" w:lineRule="auto"/>
        <w:contextualSpacing/>
        <w:rPr>
          <w:rFonts w:cs="Arial"/>
          <w:bCs/>
          <w:sz w:val="22"/>
          <w:lang w:val="en-US" w:eastAsia="en-AU"/>
        </w:rPr>
      </w:pPr>
      <w:r w:rsidRPr="003B3C17">
        <w:rPr>
          <w:rFonts w:cs="Arial"/>
          <w:bCs/>
          <w:sz w:val="22"/>
          <w:lang w:val="en-US" w:eastAsia="en-AU"/>
        </w:rPr>
        <w:lastRenderedPageBreak/>
        <w:t xml:space="preserve">an identification and assessment of risks related to the procurement and risk management strategies. Risk assessments address the value, </w:t>
      </w:r>
      <w:proofErr w:type="gramStart"/>
      <w:r w:rsidRPr="003B3C17">
        <w:rPr>
          <w:rFonts w:cs="Arial"/>
          <w:bCs/>
          <w:sz w:val="22"/>
          <w:lang w:val="en-US" w:eastAsia="en-AU"/>
        </w:rPr>
        <w:t>complexity</w:t>
      </w:r>
      <w:proofErr w:type="gramEnd"/>
      <w:r w:rsidRPr="003B3C17">
        <w:rPr>
          <w:rFonts w:cs="Arial"/>
          <w:bCs/>
          <w:sz w:val="22"/>
          <w:lang w:val="en-US" w:eastAsia="en-AU"/>
        </w:rPr>
        <w:t xml:space="preserve"> and sensitivity of a procurement.</w:t>
      </w:r>
      <w:r w:rsidR="00320C1A">
        <w:rPr>
          <w:rFonts w:cs="Arial"/>
          <w:bCs/>
          <w:sz w:val="22"/>
          <w:lang w:val="en-US" w:eastAsia="en-AU"/>
        </w:rPr>
        <w:br/>
      </w:r>
    </w:p>
    <w:p w14:paraId="00BE1E78" w14:textId="77777777" w:rsidR="00136F3A" w:rsidRPr="003B3C17" w:rsidRDefault="00136F3A" w:rsidP="00136F3A">
      <w:pPr>
        <w:rPr>
          <w:rFonts w:cs="Arial"/>
          <w:bCs/>
          <w:sz w:val="22"/>
          <w:lang w:val="en-US" w:eastAsia="en-AU"/>
        </w:rPr>
      </w:pPr>
      <w:r w:rsidRPr="003B3C17">
        <w:rPr>
          <w:rFonts w:cs="Arial"/>
          <w:bCs/>
          <w:sz w:val="22"/>
          <w:lang w:val="en-US" w:eastAsia="en-AU"/>
        </w:rPr>
        <w:t xml:space="preserve">Your plan should also address the local benefits test and how it will be applied in your procurement. Further guidance on this test is available </w:t>
      </w:r>
      <w:hyperlink r:id="rId25" w:history="1">
        <w:r w:rsidRPr="003B3C17">
          <w:rPr>
            <w:rStyle w:val="Hyperlink"/>
            <w:sz w:val="22"/>
          </w:rPr>
          <w:t>online</w:t>
        </w:r>
      </w:hyperlink>
      <w:r w:rsidRPr="003B3C17">
        <w:rPr>
          <w:rFonts w:cs="Arial"/>
          <w:bCs/>
          <w:sz w:val="22"/>
          <w:lang w:val="en-US" w:eastAsia="en-AU"/>
        </w:rPr>
        <w:t>.</w:t>
      </w:r>
    </w:p>
    <w:p w14:paraId="18A38869" w14:textId="77777777" w:rsidR="00136F3A" w:rsidRDefault="00136F3A" w:rsidP="00136F3A">
      <w:pPr>
        <w:spacing w:before="120" w:after="0" w:line="240" w:lineRule="auto"/>
        <w:rPr>
          <w:rFonts w:cs="Arial"/>
          <w:bCs/>
          <w:lang w:val="en-US" w:eastAsia="en-AU"/>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346"/>
      </w:tblGrid>
      <w:tr w:rsidR="00136F3A" w:rsidRPr="00972AE8" w14:paraId="394505FD" w14:textId="77777777" w:rsidTr="007B583E">
        <w:tc>
          <w:tcPr>
            <w:tcW w:w="9628" w:type="dxa"/>
            <w:shd w:val="clear" w:color="auto" w:fill="808080" w:themeFill="background1" w:themeFillShade="80"/>
          </w:tcPr>
          <w:p w14:paraId="54B4DB11" w14:textId="77777777" w:rsidR="00136F3A" w:rsidRPr="00F84989" w:rsidRDefault="00136F3A" w:rsidP="007B583E">
            <w:pPr>
              <w:pStyle w:val="Tableheadings"/>
              <w:rPr>
                <w:sz w:val="22"/>
                <w:szCs w:val="22"/>
              </w:rPr>
            </w:pPr>
            <w:r w:rsidRPr="00F84989">
              <w:rPr>
                <w:sz w:val="22"/>
                <w:szCs w:val="22"/>
              </w:rPr>
              <w:t xml:space="preserve">Remember to consider opportunities </w:t>
            </w:r>
            <w:r>
              <w:rPr>
                <w:sz w:val="22"/>
                <w:szCs w:val="22"/>
              </w:rPr>
              <w:t>to support</w:t>
            </w:r>
            <w:r w:rsidRPr="00F84989">
              <w:rPr>
                <w:sz w:val="22"/>
                <w:szCs w:val="22"/>
              </w:rPr>
              <w:t xml:space="preserve"> innovation</w:t>
            </w:r>
            <w:r>
              <w:rPr>
                <w:sz w:val="22"/>
                <w:szCs w:val="22"/>
              </w:rPr>
              <w:t xml:space="preserve"> and advanced manufacturing</w:t>
            </w:r>
          </w:p>
        </w:tc>
      </w:tr>
      <w:tr w:rsidR="00136F3A" w14:paraId="6A1EE5A8" w14:textId="77777777" w:rsidTr="007B583E">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28037ECC" w14:textId="77777777" w:rsidR="00136F3A" w:rsidRDefault="00136F3A" w:rsidP="007B583E">
            <w:pPr>
              <w:pStyle w:val="Tabletext"/>
              <w:spacing w:before="180" w:after="60"/>
            </w:pPr>
            <w:r w:rsidRPr="00F84989">
              <w:t xml:space="preserve">The QPP emphasises the pursuit of innovative supply solutions, either through innovation in the procurement activity itself, or by fostering innovative solutions by suppliers. Agencies undertaking procurement in the technology space should also remember that under the </w:t>
            </w:r>
            <w:hyperlink r:id="rId26" w:history="1">
              <w:r w:rsidRPr="00F84989">
                <w:rPr>
                  <w:rStyle w:val="Hyperlink"/>
                </w:rPr>
                <w:t>ICT SME Participation Scheme</w:t>
              </w:r>
            </w:hyperlink>
            <w:r w:rsidRPr="00F84989">
              <w:t xml:space="preserve"> they can directly engage a </w:t>
            </w:r>
            <w:r>
              <w:t>small or medium sized enterprise for</w:t>
            </w:r>
            <w:r w:rsidRPr="00F84989">
              <w:t xml:space="preserve"> the provision of solution</w:t>
            </w:r>
            <w:r>
              <w:t>s,</w:t>
            </w:r>
            <w:r w:rsidRPr="00F84989">
              <w:t xml:space="preserve"> up to the value of $500,000</w:t>
            </w:r>
            <w:r>
              <w:t>, that demonstrate value for Queensland in addressing government priorities</w:t>
            </w:r>
            <w:r w:rsidRPr="00F84989">
              <w:t>.</w:t>
            </w:r>
          </w:p>
          <w:p w14:paraId="29242151" w14:textId="77777777" w:rsidR="00136F3A" w:rsidRPr="001B2EB8" w:rsidRDefault="00136F3A" w:rsidP="007B583E">
            <w:pPr>
              <w:pStyle w:val="Tabletext"/>
              <w:spacing w:before="180" w:after="60"/>
              <w:rPr>
                <w:sz w:val="22"/>
                <w:szCs w:val="22"/>
              </w:rPr>
            </w:pPr>
            <w:r>
              <w:t>B</w:t>
            </w:r>
            <w:r w:rsidRPr="00C43DFD">
              <w:t xml:space="preserve">y 2026 Queensland </w:t>
            </w:r>
            <w:r>
              <w:t xml:space="preserve">is aiming to be an </w:t>
            </w:r>
            <w:r w:rsidRPr="00C43DFD">
              <w:t>international market leader in the delivery of advanced manufacturing technologies, systems, products and services that are innovative, sustainable, and embedded in local and global supply chains. Procurement can play its part in this vision by pursuing opportunities to use local manufacturers where appropriate.</w:t>
            </w:r>
            <w:r>
              <w:rPr>
                <w:sz w:val="22"/>
                <w:szCs w:val="22"/>
              </w:rPr>
              <w:t xml:space="preserve"> </w:t>
            </w:r>
          </w:p>
        </w:tc>
      </w:tr>
    </w:tbl>
    <w:p w14:paraId="3E5D57F1" w14:textId="57724CF5" w:rsidR="00136F3A" w:rsidRDefault="007278E6" w:rsidP="00136F3A">
      <w:pPr>
        <w:pStyle w:val="Heading2"/>
        <w:rPr>
          <w:lang w:val="en-US"/>
        </w:rPr>
      </w:pPr>
      <w:bookmarkStart w:id="47" w:name="_Toc514921998"/>
      <w:bookmarkStart w:id="48" w:name="_Toc4152014"/>
      <w:r>
        <w:rPr>
          <w:lang w:val="en-US"/>
        </w:rPr>
        <w:br/>
      </w:r>
      <w:bookmarkStart w:id="49" w:name="_Toc77338094"/>
      <w:r w:rsidR="00136F3A">
        <w:rPr>
          <w:lang w:val="en-US"/>
        </w:rPr>
        <w:t>Tender and contracting</w:t>
      </w:r>
      <w:bookmarkEnd w:id="47"/>
      <w:bookmarkEnd w:id="48"/>
      <w:bookmarkEnd w:id="49"/>
    </w:p>
    <w:p w14:paraId="1E038056" w14:textId="77777777" w:rsidR="00136F3A" w:rsidRPr="006A46A1" w:rsidRDefault="00136F3A" w:rsidP="00136F3A">
      <w:pPr>
        <w:pStyle w:val="Heading3"/>
        <w:rPr>
          <w:lang w:val="en-US"/>
        </w:rPr>
      </w:pPr>
      <w:bookmarkStart w:id="50" w:name="_Toc514921999"/>
      <w:bookmarkStart w:id="51" w:name="_Toc4152015"/>
      <w:bookmarkStart w:id="52" w:name="_Toc77338095"/>
      <w:r w:rsidRPr="006A46A1">
        <w:rPr>
          <w:lang w:val="en-US"/>
        </w:rPr>
        <w:t>Making the tendering process easier</w:t>
      </w:r>
      <w:bookmarkEnd w:id="50"/>
      <w:bookmarkEnd w:id="51"/>
      <w:bookmarkEnd w:id="52"/>
    </w:p>
    <w:p w14:paraId="075F172C" w14:textId="77777777" w:rsidR="00136F3A" w:rsidRPr="003B3C17" w:rsidRDefault="00136F3A" w:rsidP="00136F3A">
      <w:pPr>
        <w:rPr>
          <w:sz w:val="22"/>
          <w:lang w:val="en-US"/>
        </w:rPr>
      </w:pPr>
      <w:r w:rsidRPr="003B3C17">
        <w:rPr>
          <w:sz w:val="22"/>
          <w:lang w:val="en-US"/>
        </w:rPr>
        <w:t>By cutting red tape and streamlining processes, it is easier and less costly for local suppliers to respond to Queensland Government tenders.</w:t>
      </w:r>
    </w:p>
    <w:p w14:paraId="6608A1BD" w14:textId="7C8A3098" w:rsidR="00136F3A" w:rsidRDefault="00136F3A" w:rsidP="00136F3A">
      <w:pPr>
        <w:spacing w:line="259" w:lineRule="auto"/>
        <w:rPr>
          <w:rFonts w:cs="Arial"/>
          <w:bCs/>
          <w:sz w:val="22"/>
          <w:lang w:val="en-US" w:eastAsia="en-AU"/>
        </w:rPr>
      </w:pPr>
      <w:proofErr w:type="spellStart"/>
      <w:r w:rsidRPr="003B3C17">
        <w:rPr>
          <w:rFonts w:cs="Arial"/>
          <w:bCs/>
          <w:sz w:val="22"/>
          <w:lang w:val="en-US" w:eastAsia="en-AU"/>
        </w:rPr>
        <w:t>Minimising</w:t>
      </w:r>
      <w:proofErr w:type="spellEnd"/>
      <w:r w:rsidRPr="003B3C17">
        <w:rPr>
          <w:rFonts w:cs="Arial"/>
          <w:bCs/>
          <w:sz w:val="22"/>
          <w:lang w:val="en-US" w:eastAsia="en-AU"/>
        </w:rPr>
        <w:t xml:space="preserve"> delays in </w:t>
      </w:r>
      <w:proofErr w:type="spellStart"/>
      <w:r w:rsidRPr="003B3C17">
        <w:rPr>
          <w:rFonts w:cs="Arial"/>
          <w:bCs/>
          <w:sz w:val="22"/>
          <w:lang w:val="en-US" w:eastAsia="en-AU"/>
        </w:rPr>
        <w:t>finalising</w:t>
      </w:r>
      <w:proofErr w:type="spellEnd"/>
      <w:r w:rsidRPr="003B3C17">
        <w:rPr>
          <w:rFonts w:cs="Arial"/>
          <w:bCs/>
          <w:sz w:val="22"/>
          <w:lang w:val="en-US" w:eastAsia="en-AU"/>
        </w:rPr>
        <w:t xml:space="preserve"> tenders and trying as much as possible to deliver on the timeframes set out in tendering documents should be pursued. Suppliers will use those timeframes to plan for demand and resource accordingly. When timings change, this can impact on the ability of suppliers to respond competitively. Government buyers are encouraged to think carefully about tender timeframes and make it clear when there are dependencies that will impact on timelines. They are also encouraged to work with the respective lead agency category team in publishing forward pipelines of work as a staged approach, keeping the market updated and providing early visibility as things change.</w:t>
      </w:r>
    </w:p>
    <w:p w14:paraId="7431B6AF" w14:textId="77777777" w:rsidR="00136F3A" w:rsidRDefault="00136F3A" w:rsidP="00136F3A">
      <w:pPr>
        <w:spacing w:before="120" w:line="259" w:lineRule="auto"/>
        <w:rPr>
          <w:rFonts w:cs="Arial"/>
          <w:bCs/>
          <w:lang w:val="en-US" w:eastAsia="en-AU"/>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346"/>
      </w:tblGrid>
      <w:tr w:rsidR="00136F3A" w:rsidRPr="00972AE8" w14:paraId="01DEEF49" w14:textId="77777777" w:rsidTr="007B583E">
        <w:tc>
          <w:tcPr>
            <w:tcW w:w="9628" w:type="dxa"/>
            <w:shd w:val="clear" w:color="auto" w:fill="808080" w:themeFill="background1" w:themeFillShade="80"/>
          </w:tcPr>
          <w:p w14:paraId="323A4E69" w14:textId="77777777" w:rsidR="00136F3A" w:rsidRPr="00F84989" w:rsidRDefault="00136F3A" w:rsidP="007B583E">
            <w:pPr>
              <w:pStyle w:val="Tableheadings"/>
              <w:rPr>
                <w:sz w:val="22"/>
                <w:szCs w:val="22"/>
              </w:rPr>
            </w:pPr>
            <w:r w:rsidRPr="00F84989">
              <w:rPr>
                <w:sz w:val="22"/>
                <w:szCs w:val="22"/>
              </w:rPr>
              <w:t>Alert businesses to the resources available to them to prepare</w:t>
            </w:r>
          </w:p>
        </w:tc>
      </w:tr>
      <w:tr w:rsidR="00136F3A" w14:paraId="533314ED" w14:textId="77777777" w:rsidTr="007B583E">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608E6E87" w14:textId="77777777" w:rsidR="00136F3A" w:rsidRPr="00F84989" w:rsidRDefault="00136F3A" w:rsidP="007B583E">
            <w:pPr>
              <w:pStyle w:val="Tabletext"/>
              <w:spacing w:before="180" w:after="60"/>
            </w:pPr>
            <w:r w:rsidRPr="00F84989">
              <w:t xml:space="preserve">Let prospective suppliers know where they can find resources to assist them to develop their capability and capacity to supply. For example, the Business Queensland website – </w:t>
            </w:r>
            <w:hyperlink r:id="rId27" w:history="1">
              <w:r w:rsidRPr="00F84989">
                <w:rPr>
                  <w:rStyle w:val="Hyperlink"/>
                </w:rPr>
                <w:t>www.business.qld.gov.au/tendering</w:t>
              </w:r>
            </w:hyperlink>
            <w:r w:rsidRPr="00CD2315">
              <w:t xml:space="preserve"> –</w:t>
            </w:r>
            <w:r w:rsidRPr="00F84989">
              <w:t xml:space="preserve"> can help suppliers understand their capability, and how government tendering works.</w:t>
            </w:r>
          </w:p>
        </w:tc>
      </w:tr>
    </w:tbl>
    <w:p w14:paraId="69B69772" w14:textId="77777777" w:rsidR="00136F3A" w:rsidRPr="003B3C17" w:rsidRDefault="00136F3A" w:rsidP="00136F3A">
      <w:pPr>
        <w:pStyle w:val="Heading4"/>
        <w:spacing w:before="360"/>
        <w:rPr>
          <w:b/>
          <w:bCs/>
        </w:rPr>
      </w:pPr>
      <w:r w:rsidRPr="003B3C17">
        <w:rPr>
          <w:b/>
          <w:bCs/>
        </w:rPr>
        <w:t>Things you can do:</w:t>
      </w:r>
    </w:p>
    <w:p w14:paraId="1CDCD7F8" w14:textId="1C4560B5" w:rsidR="00136F3A" w:rsidRPr="003B3C17" w:rsidRDefault="00136F3A" w:rsidP="00136F3A">
      <w:pPr>
        <w:pStyle w:val="ListParagraph"/>
        <w:numPr>
          <w:ilvl w:val="0"/>
          <w:numId w:val="12"/>
        </w:numPr>
        <w:spacing w:before="180" w:line="240" w:lineRule="auto"/>
        <w:contextualSpacing/>
        <w:rPr>
          <w:rFonts w:cs="Arial"/>
          <w:b/>
          <w:bCs/>
          <w:sz w:val="22"/>
          <w:lang w:val="en-US" w:eastAsia="en-AU"/>
        </w:rPr>
      </w:pPr>
      <w:r w:rsidRPr="003B3C17">
        <w:rPr>
          <w:rFonts w:cs="Arial"/>
          <w:b/>
          <w:bCs/>
          <w:sz w:val="22"/>
          <w:lang w:val="en-US" w:eastAsia="en-AU"/>
        </w:rPr>
        <w:t>Ensure tenders are free of any specifications or requirements that could hinder or rule out opportunities for local workforces</w:t>
      </w:r>
      <w:r w:rsidR="002262C6" w:rsidRPr="003B3C17">
        <w:rPr>
          <w:rFonts w:cs="Arial"/>
          <w:b/>
          <w:bCs/>
          <w:sz w:val="22"/>
          <w:lang w:val="en-US" w:eastAsia="en-AU"/>
        </w:rPr>
        <w:t>.</w:t>
      </w:r>
    </w:p>
    <w:p w14:paraId="5F55F99E" w14:textId="77777777" w:rsidR="00136F3A" w:rsidRPr="003B3C17" w:rsidRDefault="00136F3A" w:rsidP="00136F3A">
      <w:pPr>
        <w:pStyle w:val="ListParagraph"/>
        <w:spacing w:before="180" w:line="240" w:lineRule="auto"/>
        <w:rPr>
          <w:rFonts w:cs="Arial"/>
          <w:b/>
          <w:bCs/>
          <w:sz w:val="22"/>
          <w:lang w:val="en-US" w:eastAsia="en-AU"/>
        </w:rPr>
      </w:pPr>
    </w:p>
    <w:p w14:paraId="005608E8" w14:textId="77777777" w:rsidR="00136F3A" w:rsidRPr="003B3C17" w:rsidRDefault="00136F3A" w:rsidP="00136F3A">
      <w:pPr>
        <w:pStyle w:val="ListParagraph"/>
        <w:numPr>
          <w:ilvl w:val="0"/>
          <w:numId w:val="12"/>
        </w:numPr>
        <w:spacing w:before="180" w:line="240" w:lineRule="auto"/>
        <w:contextualSpacing/>
        <w:rPr>
          <w:rFonts w:cs="Arial"/>
          <w:b/>
          <w:bCs/>
          <w:sz w:val="22"/>
          <w:lang w:val="en-US" w:eastAsia="en-AU"/>
        </w:rPr>
      </w:pPr>
      <w:r w:rsidRPr="003B3C17">
        <w:rPr>
          <w:rFonts w:cs="Arial"/>
          <w:b/>
          <w:bCs/>
          <w:sz w:val="22"/>
          <w:lang w:val="en-US" w:eastAsia="en-AU"/>
        </w:rPr>
        <w:lastRenderedPageBreak/>
        <w:t>Keep requested documentation to reasonable levels</w:t>
      </w:r>
    </w:p>
    <w:p w14:paraId="7FA04BF9" w14:textId="77777777" w:rsidR="00136F3A" w:rsidRPr="003B3C17" w:rsidRDefault="00136F3A" w:rsidP="00136F3A">
      <w:pPr>
        <w:ind w:left="720"/>
        <w:rPr>
          <w:sz w:val="22"/>
          <w:lang w:val="en-US"/>
        </w:rPr>
      </w:pPr>
      <w:r w:rsidRPr="003B3C17">
        <w:rPr>
          <w:sz w:val="22"/>
          <w:lang w:val="en-US"/>
        </w:rPr>
        <w:t xml:space="preserve">Check documentation to ensure that the questions being asked </w:t>
      </w:r>
      <w:proofErr w:type="gramStart"/>
      <w:r w:rsidRPr="003B3C17">
        <w:rPr>
          <w:sz w:val="22"/>
          <w:lang w:val="en-US"/>
        </w:rPr>
        <w:t>give</w:t>
      </w:r>
      <w:proofErr w:type="gramEnd"/>
      <w:r w:rsidRPr="003B3C17">
        <w:rPr>
          <w:sz w:val="22"/>
          <w:lang w:val="en-US"/>
        </w:rPr>
        <w:t xml:space="preserve"> a fair and reasonable opportunity for all suppliers, including small and medium enterprises (SMEs).</w:t>
      </w:r>
    </w:p>
    <w:p w14:paraId="438F894B" w14:textId="77777777" w:rsidR="00136F3A" w:rsidRPr="003B3C17" w:rsidRDefault="00136F3A" w:rsidP="00136F3A">
      <w:pPr>
        <w:pStyle w:val="ListParagraph"/>
        <w:spacing w:after="0" w:line="240" w:lineRule="auto"/>
        <w:rPr>
          <w:rFonts w:cs="Arial"/>
          <w:b/>
          <w:bCs/>
          <w:sz w:val="22"/>
          <w:lang w:val="en-US" w:eastAsia="en-AU"/>
        </w:rPr>
      </w:pPr>
    </w:p>
    <w:p w14:paraId="7492D171" w14:textId="77777777" w:rsidR="00136F3A" w:rsidRPr="003B3C17" w:rsidRDefault="00136F3A" w:rsidP="00136F3A">
      <w:pPr>
        <w:pStyle w:val="ListParagraph"/>
        <w:numPr>
          <w:ilvl w:val="0"/>
          <w:numId w:val="12"/>
        </w:numPr>
        <w:spacing w:before="180" w:line="240" w:lineRule="auto"/>
        <w:contextualSpacing/>
        <w:rPr>
          <w:rFonts w:cs="Arial"/>
          <w:b/>
          <w:bCs/>
          <w:sz w:val="22"/>
          <w:lang w:val="en-US" w:eastAsia="en-AU"/>
        </w:rPr>
      </w:pPr>
      <w:r w:rsidRPr="003B3C17">
        <w:rPr>
          <w:rFonts w:cs="Arial"/>
          <w:b/>
          <w:bCs/>
          <w:sz w:val="22"/>
          <w:lang w:val="en-US" w:eastAsia="en-AU"/>
        </w:rPr>
        <w:t>Carefully consider terms and conditions, including payment terms</w:t>
      </w:r>
    </w:p>
    <w:p w14:paraId="3F79DC07" w14:textId="77777777" w:rsidR="00136F3A" w:rsidRPr="003B3C17" w:rsidRDefault="00136F3A" w:rsidP="00136F3A">
      <w:pPr>
        <w:ind w:left="720"/>
        <w:rPr>
          <w:sz w:val="22"/>
          <w:lang w:val="en-US"/>
        </w:rPr>
      </w:pPr>
      <w:r w:rsidRPr="003B3C17">
        <w:rPr>
          <w:sz w:val="22"/>
          <w:lang w:val="en-US"/>
        </w:rPr>
        <w:t xml:space="preserve">Consider using shorter payments terms, particularly for SMEs, to assist their business cash flow. SMEs that have successfully bid and won government tenders are dependent on prompt payment for their own supply chain and sub-contractor payments. Such flexibility in payment terms still require government buyers to be diligent and ensure that invoices are checked for accuracy in line with agency financial requirements. Additionally, lowering insurance and indemnity requirements (where appropriate), and looking at reducing the complexity of the terms and conditions used for a lower risk procurement, may help small businesses to participate. </w:t>
      </w:r>
    </w:p>
    <w:p w14:paraId="40FADBAC" w14:textId="77777777" w:rsidR="00136F3A" w:rsidRPr="003B3C17" w:rsidRDefault="00136F3A" w:rsidP="00136F3A">
      <w:pPr>
        <w:pStyle w:val="ListParagraph"/>
        <w:spacing w:after="0" w:line="240" w:lineRule="auto"/>
        <w:rPr>
          <w:rFonts w:cs="Arial"/>
          <w:b/>
          <w:bCs/>
          <w:sz w:val="22"/>
          <w:lang w:val="en-US" w:eastAsia="en-AU"/>
        </w:rPr>
      </w:pPr>
    </w:p>
    <w:p w14:paraId="72CA3B3C" w14:textId="77777777" w:rsidR="00136F3A" w:rsidRPr="003B3C17" w:rsidRDefault="00136F3A" w:rsidP="00136F3A">
      <w:pPr>
        <w:pStyle w:val="ListParagraph"/>
        <w:numPr>
          <w:ilvl w:val="0"/>
          <w:numId w:val="12"/>
        </w:numPr>
        <w:spacing w:before="180" w:line="240" w:lineRule="auto"/>
        <w:contextualSpacing/>
        <w:rPr>
          <w:rFonts w:cs="Arial"/>
          <w:b/>
          <w:bCs/>
          <w:sz w:val="22"/>
          <w:lang w:val="en-US" w:eastAsia="en-AU"/>
        </w:rPr>
      </w:pPr>
      <w:r w:rsidRPr="003B3C17">
        <w:rPr>
          <w:rFonts w:cs="Arial"/>
          <w:b/>
          <w:bCs/>
          <w:sz w:val="22"/>
          <w:lang w:val="en-US" w:eastAsia="en-AU"/>
        </w:rPr>
        <w:t xml:space="preserve">Do not ‘over specify’ your requirement </w:t>
      </w:r>
    </w:p>
    <w:p w14:paraId="534F6043" w14:textId="77777777" w:rsidR="00136F3A" w:rsidRPr="003B3C17" w:rsidRDefault="00136F3A" w:rsidP="00136F3A">
      <w:pPr>
        <w:ind w:left="720"/>
        <w:rPr>
          <w:sz w:val="22"/>
          <w:lang w:val="en-US"/>
        </w:rPr>
      </w:pPr>
      <w:r w:rsidRPr="003B3C17">
        <w:rPr>
          <w:sz w:val="22"/>
          <w:lang w:val="en-US"/>
        </w:rPr>
        <w:t>Government buyers are strongly encouraged to express procurement objectives as outcomes where possible. ‘Over specification’ refers to asking for things within your tender which are not genuinely needed. Doing this can add time and cost for suppliers, act as a disincentive and can limit the available market. It can also limit the ability of businesses to provide innovative solutions.</w:t>
      </w:r>
    </w:p>
    <w:p w14:paraId="272CC0BC" w14:textId="77777777" w:rsidR="00136F3A" w:rsidRPr="003B3C17" w:rsidRDefault="00136F3A" w:rsidP="00136F3A">
      <w:pPr>
        <w:ind w:left="720"/>
        <w:rPr>
          <w:sz w:val="22"/>
          <w:lang w:val="en-US"/>
        </w:rPr>
      </w:pPr>
      <w:r w:rsidRPr="003B3C17">
        <w:rPr>
          <w:sz w:val="22"/>
          <w:lang w:val="en-US"/>
        </w:rPr>
        <w:t>Outcome based procurement enables suppliers to understand what government is trying to achieve and allow them to contribute ideas and solutions for how government might best achieve the objectives, rather than fixing a solution through specification that may be more expensive or not provide the best result.</w:t>
      </w:r>
      <w:r w:rsidRPr="003B3C17" w:rsidDel="004C21AF">
        <w:rPr>
          <w:sz w:val="22"/>
          <w:lang w:val="en-US"/>
        </w:rPr>
        <w:t xml:space="preserve"> </w:t>
      </w:r>
    </w:p>
    <w:p w14:paraId="7AEAB054" w14:textId="77777777" w:rsidR="00136F3A" w:rsidRPr="003B3C17" w:rsidRDefault="00136F3A" w:rsidP="00136F3A">
      <w:pPr>
        <w:pStyle w:val="ListParagraph"/>
        <w:spacing w:after="0" w:line="240" w:lineRule="auto"/>
        <w:rPr>
          <w:rFonts w:cs="Arial"/>
          <w:b/>
          <w:bCs/>
          <w:sz w:val="22"/>
          <w:lang w:val="en-US" w:eastAsia="en-AU"/>
        </w:rPr>
      </w:pPr>
    </w:p>
    <w:p w14:paraId="187B8406" w14:textId="77777777" w:rsidR="00136F3A" w:rsidRPr="003B3C17" w:rsidRDefault="00136F3A" w:rsidP="00136F3A">
      <w:pPr>
        <w:pStyle w:val="ListParagraph"/>
        <w:numPr>
          <w:ilvl w:val="0"/>
          <w:numId w:val="12"/>
        </w:numPr>
        <w:spacing w:before="180" w:line="240" w:lineRule="auto"/>
        <w:contextualSpacing/>
        <w:rPr>
          <w:rFonts w:cs="Arial"/>
          <w:b/>
          <w:bCs/>
          <w:sz w:val="22"/>
          <w:lang w:val="en-US" w:eastAsia="en-AU"/>
        </w:rPr>
      </w:pPr>
      <w:r w:rsidRPr="003B3C17">
        <w:rPr>
          <w:rFonts w:cs="Arial"/>
          <w:b/>
          <w:bCs/>
          <w:sz w:val="22"/>
          <w:lang w:val="en-US" w:eastAsia="en-AU"/>
        </w:rPr>
        <w:t xml:space="preserve">Consider delivery requirements </w:t>
      </w:r>
    </w:p>
    <w:p w14:paraId="5584973F" w14:textId="7EABDF12" w:rsidR="00320C1A" w:rsidRDefault="00136F3A" w:rsidP="00136F3A">
      <w:pPr>
        <w:spacing w:line="240" w:lineRule="auto"/>
        <w:ind w:left="720"/>
        <w:rPr>
          <w:sz w:val="22"/>
          <w:lang w:val="en-US"/>
        </w:rPr>
      </w:pPr>
      <w:r w:rsidRPr="003B3C17">
        <w:rPr>
          <w:sz w:val="22"/>
          <w:lang w:val="en-US"/>
        </w:rPr>
        <w:t xml:space="preserve">If it is a mandatory requirement that </w:t>
      </w:r>
      <w:proofErr w:type="gramStart"/>
      <w:r w:rsidRPr="003B3C17">
        <w:rPr>
          <w:sz w:val="22"/>
          <w:lang w:val="en-US"/>
        </w:rPr>
        <w:t>all of</w:t>
      </w:r>
      <w:proofErr w:type="gramEnd"/>
      <w:r w:rsidRPr="003B3C17">
        <w:rPr>
          <w:sz w:val="22"/>
          <w:lang w:val="en-US"/>
        </w:rPr>
        <w:t xml:space="preserve"> a product be delivered in-full and upfront, provide a brief description as to why. Think about the supplier’s capacity and capability and whether breaking packages of work into stages will offer a better overall result.</w:t>
      </w:r>
    </w:p>
    <w:p w14:paraId="7D5565E6" w14:textId="77777777" w:rsidR="004B4AE7" w:rsidRDefault="004B4AE7" w:rsidP="003B3C17">
      <w:pPr>
        <w:pStyle w:val="ListParagraph"/>
        <w:spacing w:before="180" w:line="240" w:lineRule="auto"/>
        <w:contextualSpacing/>
        <w:rPr>
          <w:rFonts w:cs="Arial"/>
          <w:b/>
          <w:bCs/>
          <w:sz w:val="22"/>
          <w:lang w:val="en-US" w:eastAsia="en-AU"/>
        </w:rPr>
      </w:pPr>
    </w:p>
    <w:p w14:paraId="2299A542" w14:textId="2A2234EE" w:rsidR="004B4AE7" w:rsidRPr="003B3C17" w:rsidRDefault="004B4AE7" w:rsidP="003B3C17">
      <w:pPr>
        <w:pStyle w:val="ListParagraph"/>
        <w:numPr>
          <w:ilvl w:val="0"/>
          <w:numId w:val="12"/>
        </w:numPr>
        <w:spacing w:before="180" w:line="240" w:lineRule="auto"/>
        <w:contextualSpacing/>
        <w:rPr>
          <w:rFonts w:cs="Arial"/>
          <w:b/>
          <w:bCs/>
          <w:sz w:val="22"/>
          <w:lang w:val="en-US" w:eastAsia="en-AU"/>
        </w:rPr>
      </w:pPr>
      <w:r w:rsidRPr="003B3C17">
        <w:rPr>
          <w:rFonts w:cs="Arial"/>
          <w:b/>
          <w:bCs/>
          <w:sz w:val="22"/>
          <w:lang w:val="en-US" w:eastAsia="en-AU"/>
        </w:rPr>
        <w:t>Past performance and experience</w:t>
      </w:r>
    </w:p>
    <w:p w14:paraId="580F59D6" w14:textId="77777777" w:rsidR="00136F3A" w:rsidRPr="003B3C17" w:rsidRDefault="00136F3A" w:rsidP="00136F3A">
      <w:pPr>
        <w:ind w:left="720"/>
        <w:rPr>
          <w:sz w:val="22"/>
          <w:lang w:val="en-US"/>
        </w:rPr>
      </w:pPr>
      <w:r w:rsidRPr="003B3C17">
        <w:rPr>
          <w:sz w:val="22"/>
          <w:lang w:val="en-US"/>
        </w:rPr>
        <w:t>If the tender includes a requirement to provide details of past performance or experience, be specific about what type of information the supplier is to provide. This will make it easier not only for suppliers to respond but also the evaluation panel to understand and compare past performance and experience. For example, you could ask a supplier to provide details of previous experience in a project of comparable size and complexity and require supporting details on their approach, length of time taken, and the key personnel involved.</w:t>
      </w:r>
    </w:p>
    <w:p w14:paraId="5FF63C15" w14:textId="77777777" w:rsidR="00136F3A" w:rsidRPr="003B3C17" w:rsidRDefault="00136F3A" w:rsidP="00136F3A">
      <w:pPr>
        <w:ind w:left="720"/>
        <w:rPr>
          <w:sz w:val="22"/>
          <w:lang w:val="en-US"/>
        </w:rPr>
      </w:pPr>
      <w:r w:rsidRPr="003B3C17">
        <w:rPr>
          <w:sz w:val="22"/>
          <w:lang w:val="en-US"/>
        </w:rPr>
        <w:t>Care should be taken to ensure that requirements for information on past performance and experience are not unreasonable and do not act as a barrier to smaller businesses or new entrants to a supply market.</w:t>
      </w:r>
    </w:p>
    <w:p w14:paraId="046BED90" w14:textId="77777777" w:rsidR="00136F3A" w:rsidRPr="003B3C17" w:rsidRDefault="00136F3A" w:rsidP="00136F3A">
      <w:pPr>
        <w:pStyle w:val="ListParagraph"/>
        <w:spacing w:after="0" w:line="240" w:lineRule="auto"/>
        <w:rPr>
          <w:rFonts w:cs="Arial"/>
          <w:b/>
          <w:bCs/>
          <w:sz w:val="22"/>
          <w:lang w:val="en-US" w:eastAsia="en-AU"/>
        </w:rPr>
      </w:pPr>
    </w:p>
    <w:p w14:paraId="3B85716C" w14:textId="77777777" w:rsidR="00136F3A" w:rsidRPr="003B3C17" w:rsidRDefault="00136F3A" w:rsidP="00136F3A">
      <w:pPr>
        <w:pStyle w:val="ListParagraph"/>
        <w:numPr>
          <w:ilvl w:val="0"/>
          <w:numId w:val="12"/>
        </w:numPr>
        <w:spacing w:before="180" w:line="240" w:lineRule="auto"/>
        <w:contextualSpacing/>
        <w:rPr>
          <w:rFonts w:cs="Arial"/>
          <w:b/>
          <w:bCs/>
          <w:sz w:val="22"/>
          <w:lang w:val="en-US" w:eastAsia="en-AU"/>
        </w:rPr>
      </w:pPr>
      <w:r w:rsidRPr="003B3C17">
        <w:rPr>
          <w:rFonts w:cs="Arial"/>
          <w:b/>
          <w:bCs/>
          <w:sz w:val="22"/>
          <w:lang w:val="en-US" w:eastAsia="en-AU"/>
        </w:rPr>
        <w:t>Specific brands</w:t>
      </w:r>
    </w:p>
    <w:p w14:paraId="095D1A59" w14:textId="77777777" w:rsidR="00136F3A" w:rsidRPr="003B3C17" w:rsidRDefault="00136F3A" w:rsidP="00136F3A">
      <w:pPr>
        <w:ind w:left="720"/>
        <w:rPr>
          <w:sz w:val="22"/>
          <w:lang w:val="en-US"/>
        </w:rPr>
      </w:pPr>
      <w:r w:rsidRPr="003B3C17">
        <w:rPr>
          <w:sz w:val="22"/>
          <w:lang w:val="en-US"/>
        </w:rPr>
        <w:t xml:space="preserve">If a specific brand is mandatory, the agency should provide details as to </w:t>
      </w:r>
      <w:proofErr w:type="gramStart"/>
      <w:r w:rsidRPr="003B3C17">
        <w:rPr>
          <w:sz w:val="22"/>
          <w:lang w:val="en-US"/>
        </w:rPr>
        <w:t>why and potentially test this assumption</w:t>
      </w:r>
      <w:proofErr w:type="gramEnd"/>
      <w:r w:rsidRPr="003B3C17">
        <w:rPr>
          <w:sz w:val="22"/>
          <w:lang w:val="en-US"/>
        </w:rPr>
        <w:t xml:space="preserve"> with industry in the pre-tendering phase. Personal preference and familiarity with a specific brand </w:t>
      </w:r>
      <w:proofErr w:type="gramStart"/>
      <w:r w:rsidRPr="003B3C17">
        <w:rPr>
          <w:sz w:val="22"/>
          <w:lang w:val="en-US"/>
        </w:rPr>
        <w:t>is</w:t>
      </w:r>
      <w:proofErr w:type="gramEnd"/>
      <w:r w:rsidRPr="003B3C17">
        <w:rPr>
          <w:sz w:val="22"/>
          <w:lang w:val="en-US"/>
        </w:rPr>
        <w:t xml:space="preserve"> not a sufficient reason for nominating a specific brand.</w:t>
      </w:r>
    </w:p>
    <w:p w14:paraId="53C88134" w14:textId="77777777" w:rsidR="00136F3A" w:rsidRPr="003B3C17" w:rsidRDefault="00136F3A" w:rsidP="00136F3A">
      <w:pPr>
        <w:pStyle w:val="ListParagraph"/>
        <w:spacing w:after="0" w:line="240" w:lineRule="auto"/>
        <w:rPr>
          <w:rFonts w:cs="Arial"/>
          <w:b/>
          <w:bCs/>
          <w:sz w:val="22"/>
          <w:lang w:val="en-US" w:eastAsia="en-AU"/>
        </w:rPr>
      </w:pPr>
    </w:p>
    <w:p w14:paraId="4E117C8F" w14:textId="77777777" w:rsidR="00136F3A" w:rsidRPr="003B3C17" w:rsidRDefault="00136F3A" w:rsidP="00136F3A">
      <w:pPr>
        <w:pStyle w:val="ListParagraph"/>
        <w:numPr>
          <w:ilvl w:val="0"/>
          <w:numId w:val="12"/>
        </w:numPr>
        <w:spacing w:before="180" w:line="240" w:lineRule="auto"/>
        <w:contextualSpacing/>
        <w:rPr>
          <w:rFonts w:cs="Arial"/>
          <w:b/>
          <w:bCs/>
          <w:sz w:val="22"/>
          <w:lang w:val="en-US" w:eastAsia="en-AU"/>
        </w:rPr>
      </w:pPr>
      <w:r w:rsidRPr="003B3C17">
        <w:rPr>
          <w:rFonts w:cs="Arial"/>
          <w:b/>
          <w:bCs/>
          <w:sz w:val="22"/>
          <w:lang w:val="en-US" w:eastAsia="en-AU"/>
        </w:rPr>
        <w:t>Consider your tender timings</w:t>
      </w:r>
    </w:p>
    <w:p w14:paraId="0FE45D88" w14:textId="503327C8" w:rsidR="00136F3A" w:rsidRDefault="00136F3A" w:rsidP="003B3C17">
      <w:pPr>
        <w:spacing w:after="240"/>
        <w:ind w:left="720"/>
        <w:rPr>
          <w:sz w:val="22"/>
          <w:lang w:val="en-US"/>
        </w:rPr>
      </w:pPr>
      <w:r w:rsidRPr="003B3C17">
        <w:rPr>
          <w:sz w:val="22"/>
          <w:lang w:val="en-US"/>
        </w:rPr>
        <w:t>Be mindful about when tenders are released to the market. For example, avoid releasing tenders over the Christmas/New Year period when many small businesses have either reduced staffing or are closed.</w:t>
      </w:r>
    </w:p>
    <w:tbl>
      <w:tblPr>
        <w:tblW w:w="977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770"/>
      </w:tblGrid>
      <w:tr w:rsidR="00136F3A" w:rsidRPr="00972AE8" w14:paraId="23605A95" w14:textId="77777777" w:rsidTr="007B583E">
        <w:tc>
          <w:tcPr>
            <w:tcW w:w="9770" w:type="dxa"/>
            <w:shd w:val="clear" w:color="auto" w:fill="808080" w:themeFill="background1" w:themeFillShade="80"/>
          </w:tcPr>
          <w:p w14:paraId="3B5768E8" w14:textId="77777777" w:rsidR="00136F3A" w:rsidRPr="00F84989" w:rsidRDefault="00136F3A" w:rsidP="007B583E">
            <w:pPr>
              <w:pStyle w:val="Tableheadings"/>
              <w:rPr>
                <w:sz w:val="22"/>
                <w:szCs w:val="22"/>
              </w:rPr>
            </w:pPr>
            <w:r w:rsidRPr="00F84989">
              <w:rPr>
                <w:sz w:val="22"/>
                <w:szCs w:val="22"/>
              </w:rPr>
              <w:t>Ensuring that at least one regional and one Queensland supplier are invited</w:t>
            </w:r>
          </w:p>
        </w:tc>
      </w:tr>
      <w:tr w:rsidR="00136F3A" w14:paraId="4DB482AE" w14:textId="77777777" w:rsidTr="007B583E">
        <w:trPr>
          <w:trHeight w:val="4473"/>
        </w:trPr>
        <w:tc>
          <w:tcPr>
            <w:tcW w:w="9770"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427FD8DA" w14:textId="4B2E14E2" w:rsidR="00136F3A" w:rsidRPr="00F84989" w:rsidRDefault="00136F3A" w:rsidP="007B583E">
            <w:pPr>
              <w:pStyle w:val="Tabletext"/>
              <w:spacing w:before="180" w:after="60" w:line="240" w:lineRule="auto"/>
            </w:pPr>
            <w:r w:rsidRPr="00F84989">
              <w:t>The QPP (</w:t>
            </w:r>
            <w:r w:rsidR="002262C6">
              <w:t>C</w:t>
            </w:r>
            <w:r w:rsidRPr="00F84989">
              <w:t>lause 2.1) requires that at least one regional and one Queensland supplier is invited to quote or tender for every procurement opportunity.</w:t>
            </w:r>
          </w:p>
          <w:p w14:paraId="3DAEEB0D" w14:textId="77777777" w:rsidR="00136F3A" w:rsidRPr="00F84989" w:rsidRDefault="00136F3A" w:rsidP="007B583E">
            <w:pPr>
              <w:pStyle w:val="Tabletext"/>
              <w:spacing w:before="180" w:after="60" w:line="240" w:lineRule="auto"/>
            </w:pPr>
            <w:r w:rsidRPr="00F84989">
              <w:t>The procurement method and approach to market must therefore align with this requirement, with a common sense and pragmatic approach taken to implementation. For example:</w:t>
            </w:r>
          </w:p>
          <w:p w14:paraId="7A7C32FA" w14:textId="77777777" w:rsidR="00136F3A" w:rsidRPr="00F84989" w:rsidRDefault="00136F3A" w:rsidP="007B583E">
            <w:pPr>
              <w:pStyle w:val="Tabletext"/>
              <w:numPr>
                <w:ilvl w:val="0"/>
                <w:numId w:val="17"/>
              </w:numPr>
              <w:spacing w:before="180" w:after="60" w:line="240" w:lineRule="auto"/>
              <w:ind w:left="714" w:hanging="357"/>
            </w:pPr>
            <w:r w:rsidRPr="00F84989">
              <w:t xml:space="preserve">a procurement approach to market which will invite three suppliers, must ensure that at least one of the suppliers invited is from Queensland, and at least one is regional where possible </w:t>
            </w:r>
          </w:p>
          <w:p w14:paraId="09BC982F" w14:textId="77777777" w:rsidR="00136F3A" w:rsidRPr="00F84989" w:rsidRDefault="00136F3A" w:rsidP="007B583E">
            <w:pPr>
              <w:pStyle w:val="Tabletext"/>
              <w:numPr>
                <w:ilvl w:val="0"/>
                <w:numId w:val="17"/>
              </w:numPr>
              <w:spacing w:before="180" w:after="60" w:line="240" w:lineRule="auto"/>
              <w:ind w:left="714" w:hanging="357"/>
            </w:pPr>
            <w:r w:rsidRPr="00F84989">
              <w:t xml:space="preserve">for </w:t>
            </w:r>
            <w:r>
              <w:t xml:space="preserve">an </w:t>
            </w:r>
            <w:r w:rsidRPr="00F84989">
              <w:t>open tender procurement</w:t>
            </w:r>
            <w:r>
              <w:t>,</w:t>
            </w:r>
            <w:r w:rsidRPr="00F84989">
              <w:t xml:space="preserve"> where any supplier can tender, government buyers should still make a reasonable effort to try to notify local suppliers about the available supply opportunity if details of such local suppliers are known.</w:t>
            </w:r>
          </w:p>
          <w:p w14:paraId="23270430" w14:textId="77777777" w:rsidR="00136F3A" w:rsidRPr="00F84989" w:rsidRDefault="00136F3A" w:rsidP="007B583E">
            <w:pPr>
              <w:pStyle w:val="Tabletext"/>
              <w:spacing w:before="180" w:after="60" w:line="240" w:lineRule="auto"/>
              <w:ind w:left="22" w:hanging="22"/>
            </w:pPr>
            <w:r w:rsidRPr="00F84989">
              <w:t xml:space="preserve">It is important that a common sense and practical approach is taken when locating regional and Queensland suppliers. Suppliers should be capable and have capacity to deliver the good or service and offer value for money, and appropriate probity of process should be observed. If such suppliers do not exist or are not suitable, the requirement to expand the supplier search should be documented. </w:t>
            </w:r>
          </w:p>
          <w:p w14:paraId="2AD8795C" w14:textId="77777777" w:rsidR="00136F3A" w:rsidRPr="001B2EB8" w:rsidRDefault="00136F3A" w:rsidP="007B583E">
            <w:pPr>
              <w:pStyle w:val="Tabletext"/>
              <w:spacing w:before="180" w:after="60" w:line="240" w:lineRule="auto"/>
              <w:rPr>
                <w:sz w:val="22"/>
                <w:szCs w:val="22"/>
              </w:rPr>
            </w:pPr>
            <w:r w:rsidRPr="00F84989">
              <w:t>Agencies should ensure that procurement procedures are updated to include this requirement.</w:t>
            </w:r>
          </w:p>
        </w:tc>
      </w:tr>
    </w:tbl>
    <w:p w14:paraId="21063942" w14:textId="77777777" w:rsidR="00136F3A" w:rsidRDefault="00136F3A" w:rsidP="00136F3A">
      <w:pPr>
        <w:spacing w:after="0" w:line="240" w:lineRule="auto"/>
      </w:pPr>
    </w:p>
    <w:p w14:paraId="06CF6FF9" w14:textId="77777777" w:rsidR="00136F3A" w:rsidRPr="00D376F4" w:rsidRDefault="00136F3A" w:rsidP="00136F3A">
      <w:pPr>
        <w:pStyle w:val="Heading3"/>
      </w:pPr>
      <w:bookmarkStart w:id="53" w:name="_Toc4152016"/>
      <w:bookmarkStart w:id="54" w:name="_Toc77338096"/>
      <w:r w:rsidRPr="00D376F4">
        <w:t>Evaluation of supplier offers</w:t>
      </w:r>
      <w:bookmarkEnd w:id="53"/>
      <w:bookmarkEnd w:id="54"/>
    </w:p>
    <w:p w14:paraId="5F075283" w14:textId="77777777" w:rsidR="00136F3A" w:rsidRPr="00C06E0B" w:rsidRDefault="00136F3A" w:rsidP="00136F3A">
      <w:pPr>
        <w:pStyle w:val="Tabletext"/>
        <w:spacing w:before="180" w:after="60" w:line="240" w:lineRule="auto"/>
        <w:rPr>
          <w:sz w:val="22"/>
          <w:szCs w:val="22"/>
        </w:rPr>
      </w:pPr>
      <w:r>
        <w:rPr>
          <w:sz w:val="22"/>
          <w:szCs w:val="22"/>
        </w:rPr>
        <w:t>Value for money is</w:t>
      </w:r>
      <w:r w:rsidRPr="00C06E0B">
        <w:rPr>
          <w:sz w:val="22"/>
          <w:szCs w:val="22"/>
        </w:rPr>
        <w:t xml:space="preserve"> the primary princip</w:t>
      </w:r>
      <w:r>
        <w:rPr>
          <w:sz w:val="22"/>
          <w:szCs w:val="22"/>
        </w:rPr>
        <w:t>le</w:t>
      </w:r>
      <w:r w:rsidRPr="00C06E0B">
        <w:rPr>
          <w:sz w:val="22"/>
          <w:szCs w:val="22"/>
        </w:rPr>
        <w:t xml:space="preserve"> for the QPP. In determining value </w:t>
      </w:r>
      <w:r>
        <w:rPr>
          <w:sz w:val="22"/>
          <w:szCs w:val="22"/>
        </w:rPr>
        <w:t>government buyers</w:t>
      </w:r>
      <w:r w:rsidRPr="00C06E0B">
        <w:rPr>
          <w:sz w:val="22"/>
          <w:szCs w:val="22"/>
        </w:rPr>
        <w:t xml:space="preserve"> need to look beyond up-front costs.</w:t>
      </w:r>
      <w:r>
        <w:rPr>
          <w:sz w:val="22"/>
          <w:szCs w:val="22"/>
        </w:rPr>
        <w:t xml:space="preserve"> Further guidance on </w:t>
      </w:r>
      <w:hyperlink r:id="rId28" w:history="1">
        <w:r w:rsidRPr="00947C97">
          <w:rPr>
            <w:rStyle w:val="Hyperlink"/>
            <w:sz w:val="22"/>
            <w:szCs w:val="22"/>
          </w:rPr>
          <w:t>value for money</w:t>
        </w:r>
      </w:hyperlink>
      <w:r>
        <w:rPr>
          <w:sz w:val="22"/>
          <w:szCs w:val="22"/>
        </w:rPr>
        <w:t xml:space="preserve"> is available online.</w:t>
      </w:r>
    </w:p>
    <w:p w14:paraId="36F54821" w14:textId="675D936A" w:rsidR="00136F3A" w:rsidRDefault="00136F3A" w:rsidP="00136F3A">
      <w:pPr>
        <w:pStyle w:val="Tabletext"/>
        <w:spacing w:before="180" w:after="60" w:line="240" w:lineRule="auto"/>
        <w:rPr>
          <w:sz w:val="22"/>
          <w:szCs w:val="22"/>
        </w:rPr>
      </w:pPr>
      <w:r>
        <w:rPr>
          <w:sz w:val="22"/>
          <w:szCs w:val="22"/>
        </w:rPr>
        <w:t xml:space="preserve">To maximise opportunities for local suppliers, it is important </w:t>
      </w:r>
      <w:r w:rsidRPr="00C06E0B">
        <w:rPr>
          <w:sz w:val="22"/>
          <w:szCs w:val="22"/>
        </w:rPr>
        <w:t>that tender evaluation process</w:t>
      </w:r>
      <w:r>
        <w:rPr>
          <w:sz w:val="22"/>
          <w:szCs w:val="22"/>
        </w:rPr>
        <w:t>es focus</w:t>
      </w:r>
      <w:r w:rsidRPr="00C06E0B">
        <w:rPr>
          <w:sz w:val="22"/>
          <w:szCs w:val="22"/>
        </w:rPr>
        <w:t xml:space="preserve"> on all relevant factors</w:t>
      </w:r>
      <w:r>
        <w:rPr>
          <w:sz w:val="22"/>
          <w:szCs w:val="22"/>
        </w:rPr>
        <w:t>,</w:t>
      </w:r>
      <w:r w:rsidRPr="00C06E0B">
        <w:rPr>
          <w:sz w:val="22"/>
          <w:szCs w:val="22"/>
        </w:rPr>
        <w:t xml:space="preserve"> mean</w:t>
      </w:r>
      <w:r>
        <w:rPr>
          <w:sz w:val="22"/>
          <w:szCs w:val="22"/>
        </w:rPr>
        <w:t>ing</w:t>
      </w:r>
      <w:r w:rsidRPr="00C06E0B">
        <w:rPr>
          <w:sz w:val="22"/>
          <w:szCs w:val="22"/>
        </w:rPr>
        <w:t xml:space="preserve"> that you not only get the best value </w:t>
      </w:r>
      <w:r>
        <w:rPr>
          <w:sz w:val="22"/>
          <w:szCs w:val="22"/>
        </w:rPr>
        <w:t xml:space="preserve">for money outcome possible, but </w:t>
      </w:r>
      <w:r w:rsidRPr="00C06E0B">
        <w:rPr>
          <w:sz w:val="22"/>
          <w:szCs w:val="22"/>
        </w:rPr>
        <w:t xml:space="preserve">that the benefits that </w:t>
      </w:r>
      <w:r>
        <w:rPr>
          <w:sz w:val="22"/>
          <w:szCs w:val="22"/>
        </w:rPr>
        <w:t xml:space="preserve">local </w:t>
      </w:r>
      <w:r w:rsidRPr="00C06E0B">
        <w:rPr>
          <w:sz w:val="22"/>
          <w:szCs w:val="22"/>
        </w:rPr>
        <w:t>suppliers can bring (</w:t>
      </w:r>
      <w:r>
        <w:rPr>
          <w:sz w:val="22"/>
          <w:szCs w:val="22"/>
        </w:rPr>
        <w:t>e.g.</w:t>
      </w:r>
      <w:r w:rsidRPr="00C06E0B">
        <w:rPr>
          <w:sz w:val="22"/>
          <w:szCs w:val="22"/>
        </w:rPr>
        <w:t xml:space="preserve"> lower delivery costs</w:t>
      </w:r>
      <w:r>
        <w:rPr>
          <w:sz w:val="22"/>
          <w:szCs w:val="22"/>
        </w:rPr>
        <w:t>, localised support services</w:t>
      </w:r>
      <w:r w:rsidRPr="00C06E0B">
        <w:rPr>
          <w:sz w:val="22"/>
          <w:szCs w:val="22"/>
        </w:rPr>
        <w:t>) are also fully considered.</w:t>
      </w:r>
      <w:r w:rsidR="003B3C17">
        <w:rPr>
          <w:sz w:val="22"/>
          <w:szCs w:val="22"/>
        </w:rPr>
        <w:br/>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346"/>
      </w:tblGrid>
      <w:tr w:rsidR="00136F3A" w:rsidRPr="00972AE8" w14:paraId="5F9ACE1F" w14:textId="77777777" w:rsidTr="003B3C17">
        <w:tc>
          <w:tcPr>
            <w:tcW w:w="9346" w:type="dxa"/>
            <w:shd w:val="clear" w:color="auto" w:fill="808080" w:themeFill="background1" w:themeFillShade="80"/>
          </w:tcPr>
          <w:p w14:paraId="05A32A4F" w14:textId="77777777" w:rsidR="00136F3A" w:rsidRPr="00F84989" w:rsidRDefault="00136F3A" w:rsidP="007B583E">
            <w:pPr>
              <w:pStyle w:val="Tableheadings"/>
              <w:rPr>
                <w:sz w:val="22"/>
                <w:szCs w:val="22"/>
              </w:rPr>
            </w:pPr>
            <w:r w:rsidRPr="00F84989">
              <w:rPr>
                <w:sz w:val="22"/>
                <w:szCs w:val="22"/>
              </w:rPr>
              <w:t>Evaluation planning</w:t>
            </w:r>
          </w:p>
        </w:tc>
      </w:tr>
      <w:tr w:rsidR="00136F3A" w14:paraId="18D5D65E" w14:textId="77777777" w:rsidTr="003B3C17">
        <w:tc>
          <w:tcPr>
            <w:tcW w:w="9346"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50E268A8" w14:textId="77777777" w:rsidR="00136F3A" w:rsidRPr="00F84989" w:rsidRDefault="00136F3A" w:rsidP="007B583E">
            <w:pPr>
              <w:pStyle w:val="Tabletext"/>
              <w:spacing w:before="180" w:after="60"/>
            </w:pPr>
            <w:r w:rsidRPr="00F84989">
              <w:t xml:space="preserve">To help officers quantify the benefit one supplier brings over another, the local benefits criterion can be broken down into sub-criteria to help the evaluation panel score the local benefit in line with the government’s priorities. For more information on this refer to our guide </w:t>
            </w:r>
            <w:r w:rsidRPr="00256773">
              <w:t xml:space="preserve">on </w:t>
            </w:r>
            <w:r>
              <w:t xml:space="preserve">the </w:t>
            </w:r>
            <w:hyperlink r:id="rId29" w:history="1">
              <w:r>
                <w:rPr>
                  <w:rStyle w:val="Hyperlink"/>
                </w:rPr>
                <w:t>local benefits test</w:t>
              </w:r>
            </w:hyperlink>
            <w:r w:rsidRPr="00256773">
              <w:t>.</w:t>
            </w:r>
            <w:r w:rsidRPr="00F84989">
              <w:t xml:space="preserve"> </w:t>
            </w:r>
          </w:p>
        </w:tc>
      </w:tr>
    </w:tbl>
    <w:p w14:paraId="5E8D85C0" w14:textId="77777777" w:rsidR="00136F3A" w:rsidRPr="003B3C17" w:rsidRDefault="00136F3A" w:rsidP="00136F3A">
      <w:pPr>
        <w:pStyle w:val="Heading4"/>
        <w:spacing w:before="360"/>
        <w:rPr>
          <w:b/>
          <w:bCs/>
        </w:rPr>
      </w:pPr>
      <w:r w:rsidRPr="003B3C17">
        <w:rPr>
          <w:b/>
          <w:bCs/>
        </w:rPr>
        <w:t>Things you can do:</w:t>
      </w:r>
    </w:p>
    <w:p w14:paraId="7650FA07" w14:textId="77777777" w:rsidR="00136F3A" w:rsidRPr="004D2D68" w:rsidRDefault="00136F3A" w:rsidP="003B3C17">
      <w:pPr>
        <w:pStyle w:val="Tabletext"/>
        <w:numPr>
          <w:ilvl w:val="0"/>
          <w:numId w:val="14"/>
        </w:numPr>
        <w:spacing w:before="180" w:after="120" w:line="240" w:lineRule="auto"/>
        <w:ind w:left="714" w:hanging="357"/>
        <w:rPr>
          <w:b/>
          <w:sz w:val="22"/>
          <w:szCs w:val="22"/>
        </w:rPr>
      </w:pPr>
      <w:r w:rsidRPr="004D2D68">
        <w:rPr>
          <w:b/>
          <w:sz w:val="22"/>
          <w:szCs w:val="22"/>
        </w:rPr>
        <w:t>Ensure that the value for money assess</w:t>
      </w:r>
      <w:r>
        <w:rPr>
          <w:b/>
          <w:sz w:val="22"/>
          <w:szCs w:val="22"/>
        </w:rPr>
        <w:t xml:space="preserve">ment includes the following (where </w:t>
      </w:r>
      <w:r w:rsidRPr="004D2D68">
        <w:rPr>
          <w:b/>
          <w:sz w:val="22"/>
          <w:szCs w:val="22"/>
        </w:rPr>
        <w:t>appropriate):</w:t>
      </w:r>
    </w:p>
    <w:p w14:paraId="1B94D23C" w14:textId="77777777" w:rsidR="00136F3A" w:rsidRDefault="00136F3A" w:rsidP="003B3C17">
      <w:pPr>
        <w:pStyle w:val="Tabletext"/>
        <w:numPr>
          <w:ilvl w:val="0"/>
          <w:numId w:val="15"/>
        </w:numPr>
        <w:spacing w:before="0" w:after="60" w:line="240" w:lineRule="auto"/>
        <w:ind w:left="1208" w:hanging="357"/>
        <w:rPr>
          <w:sz w:val="22"/>
          <w:szCs w:val="22"/>
        </w:rPr>
      </w:pPr>
      <w:r w:rsidRPr="00B45242">
        <w:rPr>
          <w:sz w:val="22"/>
          <w:szCs w:val="22"/>
        </w:rPr>
        <w:t>whole of life cost</w:t>
      </w:r>
    </w:p>
    <w:p w14:paraId="37520CA8" w14:textId="77777777" w:rsidR="00136F3A" w:rsidRDefault="00136F3A" w:rsidP="003B3C17">
      <w:pPr>
        <w:pStyle w:val="Tabletext"/>
        <w:numPr>
          <w:ilvl w:val="0"/>
          <w:numId w:val="15"/>
        </w:numPr>
        <w:spacing w:before="0" w:after="60" w:line="240" w:lineRule="auto"/>
        <w:ind w:left="1208" w:hanging="357"/>
        <w:rPr>
          <w:sz w:val="22"/>
          <w:szCs w:val="22"/>
        </w:rPr>
      </w:pPr>
      <w:r>
        <w:rPr>
          <w:sz w:val="22"/>
          <w:szCs w:val="22"/>
        </w:rPr>
        <w:t>disposal costs</w:t>
      </w:r>
    </w:p>
    <w:p w14:paraId="61BC6019" w14:textId="77777777" w:rsidR="00136F3A" w:rsidRDefault="00136F3A" w:rsidP="003B3C17">
      <w:pPr>
        <w:pStyle w:val="Tabletext"/>
        <w:numPr>
          <w:ilvl w:val="0"/>
          <w:numId w:val="15"/>
        </w:numPr>
        <w:spacing w:before="0" w:after="60" w:line="240" w:lineRule="auto"/>
        <w:ind w:left="1208" w:hanging="357"/>
        <w:rPr>
          <w:sz w:val="22"/>
          <w:szCs w:val="22"/>
        </w:rPr>
      </w:pPr>
      <w:r w:rsidRPr="00B45242">
        <w:rPr>
          <w:sz w:val="22"/>
          <w:szCs w:val="22"/>
        </w:rPr>
        <w:t>environmental aspects</w:t>
      </w:r>
    </w:p>
    <w:p w14:paraId="12BF7B79" w14:textId="77777777" w:rsidR="00136F3A" w:rsidRDefault="00136F3A" w:rsidP="003B3C17">
      <w:pPr>
        <w:pStyle w:val="Tabletext"/>
        <w:numPr>
          <w:ilvl w:val="0"/>
          <w:numId w:val="15"/>
        </w:numPr>
        <w:spacing w:before="0" w:after="60" w:line="240" w:lineRule="auto"/>
        <w:ind w:left="1208" w:hanging="357"/>
        <w:rPr>
          <w:sz w:val="22"/>
          <w:szCs w:val="22"/>
        </w:rPr>
      </w:pPr>
      <w:r w:rsidRPr="00B45242">
        <w:rPr>
          <w:sz w:val="22"/>
          <w:szCs w:val="22"/>
        </w:rPr>
        <w:t xml:space="preserve">social </w:t>
      </w:r>
      <w:r>
        <w:rPr>
          <w:sz w:val="22"/>
          <w:szCs w:val="22"/>
        </w:rPr>
        <w:t>benefits</w:t>
      </w:r>
      <w:r w:rsidRPr="00B45242">
        <w:rPr>
          <w:sz w:val="22"/>
          <w:szCs w:val="22"/>
        </w:rPr>
        <w:t xml:space="preserve"> to local communities</w:t>
      </w:r>
    </w:p>
    <w:p w14:paraId="56F08302" w14:textId="77777777" w:rsidR="00136F3A" w:rsidRDefault="00136F3A" w:rsidP="003B3C17">
      <w:pPr>
        <w:pStyle w:val="Tabletext"/>
        <w:numPr>
          <w:ilvl w:val="0"/>
          <w:numId w:val="15"/>
        </w:numPr>
        <w:spacing w:before="0" w:after="60" w:line="240" w:lineRule="auto"/>
        <w:ind w:left="1208" w:hanging="357"/>
        <w:rPr>
          <w:sz w:val="22"/>
          <w:szCs w:val="22"/>
        </w:rPr>
      </w:pPr>
      <w:r>
        <w:rPr>
          <w:sz w:val="22"/>
          <w:szCs w:val="22"/>
        </w:rPr>
        <w:t>support</w:t>
      </w:r>
    </w:p>
    <w:p w14:paraId="63DECA74" w14:textId="77777777" w:rsidR="00136F3A" w:rsidRDefault="00136F3A" w:rsidP="003B3C17">
      <w:pPr>
        <w:pStyle w:val="Tabletext"/>
        <w:numPr>
          <w:ilvl w:val="0"/>
          <w:numId w:val="15"/>
        </w:numPr>
        <w:spacing w:before="0" w:after="60" w:line="240" w:lineRule="auto"/>
        <w:ind w:left="1208" w:hanging="357"/>
        <w:rPr>
          <w:sz w:val="22"/>
          <w:szCs w:val="22"/>
        </w:rPr>
      </w:pPr>
      <w:r>
        <w:rPr>
          <w:sz w:val="22"/>
          <w:szCs w:val="22"/>
        </w:rPr>
        <w:lastRenderedPageBreak/>
        <w:t>maintenance cost</w:t>
      </w:r>
    </w:p>
    <w:p w14:paraId="75099F1A" w14:textId="77777777" w:rsidR="00136F3A" w:rsidRDefault="00136F3A" w:rsidP="003B3C17">
      <w:pPr>
        <w:pStyle w:val="Tabletext"/>
        <w:numPr>
          <w:ilvl w:val="0"/>
          <w:numId w:val="15"/>
        </w:numPr>
        <w:spacing w:before="0" w:after="60" w:line="240" w:lineRule="auto"/>
        <w:ind w:left="1208" w:hanging="357"/>
        <w:rPr>
          <w:sz w:val="22"/>
          <w:szCs w:val="22"/>
        </w:rPr>
      </w:pPr>
      <w:r>
        <w:rPr>
          <w:sz w:val="22"/>
          <w:szCs w:val="22"/>
        </w:rPr>
        <w:t>supply chain cost and distance</w:t>
      </w:r>
    </w:p>
    <w:p w14:paraId="0D2995EB" w14:textId="77777777" w:rsidR="00136F3A" w:rsidRDefault="00136F3A" w:rsidP="003B3C17">
      <w:pPr>
        <w:pStyle w:val="Tabletext"/>
        <w:numPr>
          <w:ilvl w:val="0"/>
          <w:numId w:val="15"/>
        </w:numPr>
        <w:spacing w:before="0" w:after="60" w:line="240" w:lineRule="auto"/>
        <w:ind w:left="1208" w:hanging="357"/>
        <w:rPr>
          <w:sz w:val="22"/>
          <w:szCs w:val="22"/>
        </w:rPr>
      </w:pPr>
      <w:r w:rsidRPr="00B45242">
        <w:rPr>
          <w:sz w:val="22"/>
          <w:szCs w:val="22"/>
        </w:rPr>
        <w:t>st</w:t>
      </w:r>
      <w:r>
        <w:rPr>
          <w:sz w:val="22"/>
          <w:szCs w:val="22"/>
        </w:rPr>
        <w:t xml:space="preserve">orage </w:t>
      </w:r>
    </w:p>
    <w:p w14:paraId="0F691A63" w14:textId="77777777" w:rsidR="00136F3A" w:rsidRDefault="00136F3A" w:rsidP="003B3C17">
      <w:pPr>
        <w:pStyle w:val="Tabletext"/>
        <w:numPr>
          <w:ilvl w:val="0"/>
          <w:numId w:val="15"/>
        </w:numPr>
        <w:spacing w:before="0" w:after="60" w:line="240" w:lineRule="auto"/>
        <w:ind w:left="1208" w:hanging="357"/>
        <w:rPr>
          <w:sz w:val="22"/>
          <w:szCs w:val="22"/>
        </w:rPr>
      </w:pPr>
      <w:r w:rsidRPr="00B45242">
        <w:rPr>
          <w:sz w:val="22"/>
          <w:szCs w:val="22"/>
        </w:rPr>
        <w:t>delivery</w:t>
      </w:r>
    </w:p>
    <w:p w14:paraId="4E25FC6A" w14:textId="77777777" w:rsidR="00136F3A" w:rsidRDefault="00136F3A" w:rsidP="003B3C17">
      <w:pPr>
        <w:pStyle w:val="Tabletext"/>
        <w:numPr>
          <w:ilvl w:val="0"/>
          <w:numId w:val="15"/>
        </w:numPr>
        <w:spacing w:before="0" w:after="60" w:line="240" w:lineRule="auto"/>
        <w:ind w:left="1208" w:hanging="357"/>
        <w:rPr>
          <w:sz w:val="22"/>
          <w:szCs w:val="22"/>
        </w:rPr>
      </w:pPr>
      <w:r w:rsidRPr="00B45242">
        <w:rPr>
          <w:sz w:val="22"/>
          <w:szCs w:val="22"/>
        </w:rPr>
        <w:t>warrantees</w:t>
      </w:r>
      <w:r>
        <w:rPr>
          <w:sz w:val="22"/>
          <w:szCs w:val="22"/>
        </w:rPr>
        <w:t>.</w:t>
      </w:r>
    </w:p>
    <w:p w14:paraId="22514E0B" w14:textId="77777777" w:rsidR="00136F3A" w:rsidRDefault="00136F3A" w:rsidP="00136F3A">
      <w:pPr>
        <w:pStyle w:val="Tabletext"/>
        <w:numPr>
          <w:ilvl w:val="0"/>
          <w:numId w:val="14"/>
        </w:numPr>
        <w:spacing w:before="180" w:after="60" w:line="240" w:lineRule="auto"/>
        <w:rPr>
          <w:b/>
          <w:sz w:val="22"/>
          <w:szCs w:val="22"/>
        </w:rPr>
      </w:pPr>
      <w:r w:rsidRPr="004D2D68">
        <w:rPr>
          <w:b/>
          <w:sz w:val="22"/>
          <w:szCs w:val="22"/>
        </w:rPr>
        <w:t>Ensure that any supplier undertakings regarding local area benefits (e.g. use of local sub-contractors</w:t>
      </w:r>
      <w:r>
        <w:rPr>
          <w:b/>
          <w:sz w:val="22"/>
          <w:szCs w:val="22"/>
        </w:rPr>
        <w:t>, manufacturers</w:t>
      </w:r>
      <w:r w:rsidRPr="004D2D68">
        <w:rPr>
          <w:b/>
          <w:sz w:val="22"/>
          <w:szCs w:val="22"/>
        </w:rPr>
        <w:t>) are captured in the resulting contract and/or</w:t>
      </w:r>
      <w:r>
        <w:rPr>
          <w:b/>
          <w:sz w:val="22"/>
          <w:szCs w:val="22"/>
        </w:rPr>
        <w:t xml:space="preserve"> </w:t>
      </w:r>
      <w:r w:rsidRPr="004D2D68">
        <w:rPr>
          <w:b/>
          <w:sz w:val="22"/>
          <w:szCs w:val="22"/>
        </w:rPr>
        <w:t xml:space="preserve">key performance indicators. </w:t>
      </w:r>
    </w:p>
    <w:p w14:paraId="242BC62D" w14:textId="77777777" w:rsidR="00136F3A" w:rsidRDefault="00136F3A" w:rsidP="00136F3A">
      <w:pPr>
        <w:pStyle w:val="Tabletext"/>
        <w:rPr>
          <w:sz w:val="22"/>
          <w:szCs w:val="22"/>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1AEBFF" w:themeFill="accent2" w:themeFillTint="99"/>
        <w:tblCellMar>
          <w:top w:w="57" w:type="dxa"/>
          <w:left w:w="119" w:type="dxa"/>
          <w:bottom w:w="28" w:type="dxa"/>
          <w:right w:w="119" w:type="dxa"/>
        </w:tblCellMar>
        <w:tblLook w:val="01E0" w:firstRow="1" w:lastRow="1" w:firstColumn="1" w:lastColumn="1" w:noHBand="0" w:noVBand="0"/>
      </w:tblPr>
      <w:tblGrid>
        <w:gridCol w:w="9346"/>
      </w:tblGrid>
      <w:tr w:rsidR="00136F3A" w:rsidRPr="00972AE8" w14:paraId="4A4BFCC0" w14:textId="77777777" w:rsidTr="007B583E">
        <w:tc>
          <w:tcPr>
            <w:tcW w:w="9628" w:type="dxa"/>
            <w:shd w:val="clear" w:color="auto" w:fill="808080" w:themeFill="background1" w:themeFillShade="80"/>
          </w:tcPr>
          <w:p w14:paraId="3E5E7F72" w14:textId="77777777" w:rsidR="00136F3A" w:rsidRPr="00F84989" w:rsidRDefault="00136F3A" w:rsidP="007B583E">
            <w:pPr>
              <w:pStyle w:val="Tableheadings"/>
              <w:rPr>
                <w:sz w:val="22"/>
                <w:szCs w:val="22"/>
              </w:rPr>
            </w:pPr>
            <w:r w:rsidRPr="00F84989">
              <w:rPr>
                <w:sz w:val="22"/>
                <w:szCs w:val="22"/>
              </w:rPr>
              <w:t>Make sure you give suppliers feedback</w:t>
            </w:r>
          </w:p>
        </w:tc>
      </w:tr>
      <w:tr w:rsidR="00136F3A" w14:paraId="1797284B" w14:textId="77777777" w:rsidTr="007B583E">
        <w:tc>
          <w:tcPr>
            <w:tcW w:w="9628" w:type="dxa"/>
            <w:tcBorders>
              <w:top w:val="single" w:sz="4" w:space="0" w:color="C0C0C0"/>
              <w:left w:val="single" w:sz="4" w:space="0" w:color="C0C0C0"/>
              <w:bottom w:val="single" w:sz="12" w:space="0" w:color="C0C0C0"/>
              <w:right w:val="single" w:sz="4" w:space="0" w:color="C0C0C0"/>
              <w:tl2br w:val="nil"/>
              <w:tr2bl w:val="nil"/>
            </w:tcBorders>
            <w:shd w:val="clear" w:color="auto" w:fill="F2F2F2" w:themeFill="background1" w:themeFillShade="F2"/>
          </w:tcPr>
          <w:p w14:paraId="602C1E66" w14:textId="77777777" w:rsidR="00136F3A" w:rsidRPr="00F84989" w:rsidRDefault="00136F3A" w:rsidP="003B3C17">
            <w:pPr>
              <w:pStyle w:val="Tabletext"/>
              <w:spacing w:before="120" w:after="60"/>
            </w:pPr>
            <w:r w:rsidRPr="00F84989">
              <w:t>For suppliers, responding to government tenders can be difficult and time consuming. Make sure you provide helpful feedback to unsuccessful suppliers so that the supplier can improve future responses.</w:t>
            </w:r>
          </w:p>
        </w:tc>
      </w:tr>
    </w:tbl>
    <w:p w14:paraId="7615E9DC" w14:textId="77777777" w:rsidR="00136F3A" w:rsidRPr="0078275C" w:rsidRDefault="00136F3A" w:rsidP="003B3C17">
      <w:pPr>
        <w:pStyle w:val="Heading2"/>
        <w:spacing w:before="240"/>
      </w:pPr>
      <w:bookmarkStart w:id="55" w:name="_Toc514922000"/>
      <w:bookmarkStart w:id="56" w:name="_Toc4152017"/>
      <w:bookmarkStart w:id="57" w:name="_Toc77338097"/>
      <w:r>
        <w:t>Contract management</w:t>
      </w:r>
      <w:bookmarkEnd w:id="55"/>
      <w:bookmarkEnd w:id="56"/>
      <w:bookmarkEnd w:id="57"/>
    </w:p>
    <w:p w14:paraId="41B99508" w14:textId="77777777" w:rsidR="00136F3A" w:rsidRPr="003B3C17" w:rsidRDefault="00136F3A" w:rsidP="00136F3A">
      <w:pPr>
        <w:autoSpaceDE w:val="0"/>
        <w:autoSpaceDN w:val="0"/>
        <w:adjustRightInd w:val="0"/>
        <w:spacing w:line="240" w:lineRule="auto"/>
        <w:rPr>
          <w:rFonts w:cs="Arial"/>
          <w:color w:val="000000"/>
          <w:sz w:val="22"/>
        </w:rPr>
      </w:pPr>
      <w:r w:rsidRPr="003B3C17">
        <w:rPr>
          <w:rFonts w:cs="Arial"/>
          <w:color w:val="000000"/>
          <w:sz w:val="22"/>
        </w:rPr>
        <w:t>Effective contract management is integral to realising the value of good planning and procurement. As such, the main focus is to ensure that local benefits recognised in the planning stage, sought through tender, then reflected in the contract, are subsequently delivered during the term of the contract.</w:t>
      </w:r>
    </w:p>
    <w:p w14:paraId="07973458" w14:textId="77777777" w:rsidR="00136F3A" w:rsidRPr="003B3C17" w:rsidRDefault="00136F3A" w:rsidP="00136F3A">
      <w:pPr>
        <w:autoSpaceDE w:val="0"/>
        <w:autoSpaceDN w:val="0"/>
        <w:adjustRightInd w:val="0"/>
        <w:spacing w:line="240" w:lineRule="auto"/>
        <w:rPr>
          <w:rFonts w:cs="Arial"/>
          <w:color w:val="000000"/>
          <w:sz w:val="22"/>
        </w:rPr>
      </w:pPr>
      <w:r w:rsidRPr="003B3C17">
        <w:rPr>
          <w:rFonts w:cs="Arial"/>
          <w:color w:val="000000"/>
          <w:sz w:val="22"/>
        </w:rPr>
        <w:t>At the end of the contract, local engagement performance must be included as part of the overall contract review process. The information gathered as part of the contract review will assist in identifying areas for improvement and will form the basis for the decision as to whether the contract should be renewed or extended.</w:t>
      </w:r>
    </w:p>
    <w:p w14:paraId="4EBFBEAD" w14:textId="77777777" w:rsidR="00136F3A" w:rsidRPr="003B3C17" w:rsidRDefault="00136F3A" w:rsidP="00136F3A">
      <w:pPr>
        <w:autoSpaceDE w:val="0"/>
        <w:autoSpaceDN w:val="0"/>
        <w:adjustRightInd w:val="0"/>
        <w:spacing w:line="240" w:lineRule="auto"/>
        <w:rPr>
          <w:rFonts w:cs="Arial"/>
          <w:color w:val="000000"/>
          <w:sz w:val="22"/>
        </w:rPr>
      </w:pPr>
      <w:r w:rsidRPr="003B3C17">
        <w:rPr>
          <w:rFonts w:cs="Arial"/>
          <w:color w:val="000000"/>
          <w:sz w:val="22"/>
        </w:rPr>
        <w:t>Before deciding if the contract was a success, and should be renewed or extended, it is important to:</w:t>
      </w:r>
    </w:p>
    <w:p w14:paraId="2D02E138" w14:textId="77777777" w:rsidR="00136F3A" w:rsidRPr="003B3C17" w:rsidRDefault="00136F3A" w:rsidP="00136F3A">
      <w:pPr>
        <w:pStyle w:val="ListParagraph"/>
        <w:numPr>
          <w:ilvl w:val="0"/>
          <w:numId w:val="9"/>
        </w:numPr>
        <w:autoSpaceDE w:val="0"/>
        <w:autoSpaceDN w:val="0"/>
        <w:adjustRightInd w:val="0"/>
        <w:spacing w:before="180" w:line="240" w:lineRule="auto"/>
        <w:contextualSpacing/>
        <w:rPr>
          <w:rFonts w:cs="Arial"/>
          <w:color w:val="000000"/>
          <w:sz w:val="22"/>
        </w:rPr>
      </w:pPr>
      <w:r w:rsidRPr="003B3C17">
        <w:rPr>
          <w:rFonts w:cs="Arial"/>
          <w:color w:val="000000"/>
          <w:sz w:val="22"/>
        </w:rPr>
        <w:t>review performance against the agreed key performance indicators</w:t>
      </w:r>
      <w:r w:rsidRPr="003B3C17">
        <w:rPr>
          <w:rFonts w:cs="Arial"/>
          <w:color w:val="000000"/>
          <w:sz w:val="22"/>
        </w:rPr>
        <w:br/>
      </w:r>
    </w:p>
    <w:p w14:paraId="6286EA2C" w14:textId="77777777" w:rsidR="00136F3A" w:rsidRPr="003B3C17" w:rsidRDefault="00136F3A" w:rsidP="00136F3A">
      <w:pPr>
        <w:pStyle w:val="ListParagraph"/>
        <w:numPr>
          <w:ilvl w:val="0"/>
          <w:numId w:val="9"/>
        </w:numPr>
        <w:autoSpaceDE w:val="0"/>
        <w:autoSpaceDN w:val="0"/>
        <w:adjustRightInd w:val="0"/>
        <w:spacing w:before="180" w:line="240" w:lineRule="auto"/>
        <w:contextualSpacing/>
        <w:rPr>
          <w:rFonts w:cs="Arial"/>
          <w:color w:val="000000"/>
          <w:sz w:val="22"/>
        </w:rPr>
      </w:pPr>
      <w:r w:rsidRPr="003B3C17">
        <w:rPr>
          <w:rFonts w:cs="Arial"/>
          <w:color w:val="000000"/>
          <w:sz w:val="22"/>
        </w:rPr>
        <w:t>determine whether the desired local engagement objectives have been met</w:t>
      </w:r>
      <w:r w:rsidRPr="003B3C17">
        <w:rPr>
          <w:rFonts w:cs="Arial"/>
          <w:color w:val="000000"/>
          <w:sz w:val="22"/>
        </w:rPr>
        <w:br/>
      </w:r>
    </w:p>
    <w:p w14:paraId="6CD2891A" w14:textId="77777777" w:rsidR="00136F3A" w:rsidRPr="003B3C17" w:rsidRDefault="00136F3A" w:rsidP="00136F3A">
      <w:pPr>
        <w:pStyle w:val="ListParagraph"/>
        <w:numPr>
          <w:ilvl w:val="0"/>
          <w:numId w:val="9"/>
        </w:numPr>
        <w:autoSpaceDE w:val="0"/>
        <w:autoSpaceDN w:val="0"/>
        <w:adjustRightInd w:val="0"/>
        <w:spacing w:before="180" w:line="240" w:lineRule="auto"/>
        <w:contextualSpacing/>
        <w:rPr>
          <w:rFonts w:cs="Arial"/>
          <w:color w:val="000000"/>
          <w:sz w:val="22"/>
        </w:rPr>
      </w:pPr>
      <w:r w:rsidRPr="003B3C17">
        <w:rPr>
          <w:rFonts w:cs="Arial"/>
          <w:color w:val="000000"/>
          <w:sz w:val="22"/>
        </w:rPr>
        <w:t>find out whether the local engagement objectives may have changed from the original intent of the strategy</w:t>
      </w:r>
      <w:r w:rsidRPr="003B3C17">
        <w:rPr>
          <w:rFonts w:cs="Arial"/>
          <w:color w:val="000000"/>
          <w:sz w:val="22"/>
        </w:rPr>
        <w:br/>
      </w:r>
    </w:p>
    <w:p w14:paraId="63E29298" w14:textId="77777777" w:rsidR="00136F3A" w:rsidRPr="003B3C17" w:rsidRDefault="00136F3A" w:rsidP="00136F3A">
      <w:pPr>
        <w:pStyle w:val="ListParagraph"/>
        <w:numPr>
          <w:ilvl w:val="0"/>
          <w:numId w:val="9"/>
        </w:numPr>
        <w:autoSpaceDE w:val="0"/>
        <w:autoSpaceDN w:val="0"/>
        <w:adjustRightInd w:val="0"/>
        <w:spacing w:before="180" w:line="240" w:lineRule="auto"/>
        <w:contextualSpacing/>
        <w:rPr>
          <w:rFonts w:cs="Arial"/>
          <w:color w:val="000000"/>
          <w:sz w:val="22"/>
        </w:rPr>
      </w:pPr>
      <w:r w:rsidRPr="003B3C17">
        <w:rPr>
          <w:rFonts w:cs="Arial"/>
          <w:color w:val="000000"/>
          <w:sz w:val="22"/>
        </w:rPr>
        <w:t>document findings and lessons learned, as this information will be used in the planning stage for future procurement strategies.</w:t>
      </w:r>
      <w:r w:rsidRPr="003B3C17">
        <w:rPr>
          <w:rFonts w:cs="Arial"/>
          <w:color w:val="000000"/>
          <w:sz w:val="22"/>
        </w:rPr>
        <w:br/>
      </w:r>
    </w:p>
    <w:p w14:paraId="061EBDA5" w14:textId="77777777" w:rsidR="00136F3A" w:rsidRPr="003B3C17" w:rsidRDefault="00136F3A" w:rsidP="00136F3A">
      <w:pPr>
        <w:autoSpaceDE w:val="0"/>
        <w:autoSpaceDN w:val="0"/>
        <w:adjustRightInd w:val="0"/>
        <w:spacing w:line="240" w:lineRule="auto"/>
        <w:rPr>
          <w:rFonts w:cs="Arial"/>
          <w:bCs/>
          <w:sz w:val="22"/>
          <w:lang w:val="en-GB"/>
        </w:rPr>
      </w:pPr>
      <w:r w:rsidRPr="003B3C17">
        <w:rPr>
          <w:rFonts w:cs="Arial"/>
          <w:color w:val="000000"/>
          <w:sz w:val="22"/>
        </w:rPr>
        <w:t xml:space="preserve">For further guidance on contract management process and how to effectively manage contracts, refer to </w:t>
      </w:r>
      <w:hyperlink r:id="rId30" w:history="1">
        <w:r w:rsidRPr="003B3C17">
          <w:rPr>
            <w:rStyle w:val="Hyperlink"/>
            <w:rFonts w:cs="Arial"/>
            <w:sz w:val="22"/>
          </w:rPr>
          <w:t>Queensland Government Procurement Contract Management Framework</w:t>
        </w:r>
      </w:hyperlink>
      <w:r w:rsidRPr="003B3C17">
        <w:rPr>
          <w:rFonts w:cs="Arial"/>
          <w:sz w:val="22"/>
        </w:rPr>
        <w:t xml:space="preserve"> and agency specific documentation.</w:t>
      </w:r>
      <w:bookmarkEnd w:id="1"/>
    </w:p>
    <w:p w14:paraId="0815A45B" w14:textId="7714A34F" w:rsidR="002A5361" w:rsidRPr="003B3C17" w:rsidRDefault="002A5361" w:rsidP="003B3C17">
      <w:pPr>
        <w:ind w:left="360"/>
        <w:rPr>
          <w:rFonts w:cs="Arial"/>
          <w:sz w:val="22"/>
        </w:rPr>
      </w:pPr>
    </w:p>
    <w:sectPr w:rsidR="002A5361" w:rsidRPr="003B3C17" w:rsidSect="006330D6">
      <w:headerReference w:type="default" r:id="rId31"/>
      <w:footerReference w:type="default" r:id="rId32"/>
      <w:footerReference w:type="first" r:id="rId33"/>
      <w:pgSz w:w="11906" w:h="16838"/>
      <w:pgMar w:top="993" w:right="1274" w:bottom="851" w:left="1276"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362E" w14:textId="77777777" w:rsidR="00155B59" w:rsidRDefault="00155B59" w:rsidP="00F752DB">
      <w:pPr>
        <w:spacing w:after="0" w:line="240" w:lineRule="auto"/>
      </w:pPr>
      <w:r>
        <w:separator/>
      </w:r>
    </w:p>
  </w:endnote>
  <w:endnote w:type="continuationSeparator" w:id="0">
    <w:p w14:paraId="1F6B1325" w14:textId="77777777" w:rsidR="00155B59" w:rsidRDefault="00155B59"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B69E" w14:textId="21903E30" w:rsidR="007A7AD0" w:rsidRPr="00381F07" w:rsidRDefault="00136F3A" w:rsidP="008F6F3D">
    <w:pPr>
      <w:pStyle w:val="Footer"/>
      <w:pBdr>
        <w:top w:val="single" w:sz="4" w:space="8" w:color="A70240"/>
      </w:pBdr>
      <w:tabs>
        <w:tab w:val="clear" w:pos="9026"/>
        <w:tab w:val="right" w:pos="9356"/>
      </w:tabs>
      <w:spacing w:before="360"/>
      <w:contextualSpacing/>
      <w:rPr>
        <w:noProof/>
        <w:color w:val="404040" w:themeColor="text1" w:themeTint="BF"/>
      </w:rPr>
    </w:pPr>
    <w:r>
      <w:rPr>
        <w:noProof/>
        <w:color w:val="404040" w:themeColor="text1" w:themeTint="BF"/>
      </w:rPr>
      <w:t>Queensland Government Procurement</w:t>
    </w:r>
    <w:r w:rsidR="005A7EB2">
      <w:rPr>
        <w:noProof/>
        <w:color w:val="404040" w:themeColor="text1" w:themeTint="BF"/>
      </w:rPr>
      <w:tab/>
    </w:r>
    <w:r w:rsidR="005A7EB2">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p w14:paraId="716E2BA2" w14:textId="77777777" w:rsidR="00A80A1F" w:rsidRDefault="00A80A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2A7486F0" w:rsidR="000140F8" w:rsidRDefault="000140F8" w:rsidP="000140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14E50" w14:textId="77777777" w:rsidR="00155B59" w:rsidRDefault="00155B59" w:rsidP="00F752DB">
      <w:pPr>
        <w:spacing w:after="0" w:line="240" w:lineRule="auto"/>
      </w:pPr>
      <w:r>
        <w:separator/>
      </w:r>
    </w:p>
  </w:footnote>
  <w:footnote w:type="continuationSeparator" w:id="0">
    <w:p w14:paraId="1A1855DE" w14:textId="77777777" w:rsidR="00155B59" w:rsidRDefault="00155B59" w:rsidP="00F752DB">
      <w:pPr>
        <w:spacing w:after="0" w:line="240" w:lineRule="auto"/>
      </w:pPr>
      <w:r>
        <w:continuationSeparator/>
      </w:r>
    </w:p>
  </w:footnote>
  <w:footnote w:id="1">
    <w:p w14:paraId="76ED5B90" w14:textId="77777777" w:rsidR="00136F3A" w:rsidRDefault="00136F3A" w:rsidP="00136F3A">
      <w:pPr>
        <w:pStyle w:val="FootnoteText"/>
      </w:pPr>
      <w:r>
        <w:rPr>
          <w:rStyle w:val="FootnoteReference"/>
        </w:rPr>
        <w:footnoteRef/>
      </w:r>
      <w:r>
        <w:t xml:space="preserve"> https://icn.org.au/</w:t>
      </w:r>
    </w:p>
  </w:footnote>
  <w:footnote w:id="2">
    <w:p w14:paraId="0ADE9EB9" w14:textId="77777777" w:rsidR="00136F3A" w:rsidRDefault="00136F3A" w:rsidP="00136F3A">
      <w:pPr>
        <w:pStyle w:val="FootnoteText"/>
      </w:pPr>
      <w:r>
        <w:rPr>
          <w:rStyle w:val="FootnoteReference"/>
        </w:rPr>
        <w:footnoteRef/>
      </w:r>
      <w:r>
        <w:t xml:space="preserve"> In the case of the ‘best practice principles’ projects valued at below $100 million can as be declared as requiring application of the principles. Please refer to the </w:t>
      </w:r>
      <w:r w:rsidRPr="00264B41">
        <w:t>Best practice principles: Quality, safe workplaces</w:t>
      </w:r>
      <w:r>
        <w:t xml:space="preserve"> guide for further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5E9" w14:textId="601C1DD7" w:rsidR="00F752DB" w:rsidRPr="00AB0F2F" w:rsidRDefault="00AF680C" w:rsidP="00211A7F">
    <w:pPr>
      <w:pStyle w:val="Header"/>
      <w:pBdr>
        <w:bottom w:val="single" w:sz="4" w:space="8" w:color="A70240"/>
      </w:pBdr>
      <w:spacing w:after="360"/>
      <w:contextualSpacing/>
      <w:jc w:val="right"/>
      <w:rPr>
        <w:color w:val="404040" w:themeColor="text1" w:themeTint="BF"/>
        <w:sz w:val="16"/>
        <w:szCs w:val="16"/>
      </w:rPr>
    </w:pPr>
    <w:sdt>
      <w:sdtPr>
        <w:rPr>
          <w:color w:val="404040" w:themeColor="text1" w:themeTint="BF"/>
          <w:sz w:val="16"/>
          <w:szCs w:val="16"/>
        </w:rPr>
        <w:alias w:val="Title"/>
        <w:tag w:val=""/>
        <w:id w:val="1568223084"/>
        <w:placeholder>
          <w:docPart w:val="4D0BA81E14B948E4869F40BDA51A39BE"/>
        </w:placeholder>
        <w:dataBinding w:prefixMappings="xmlns:ns0='http://purl.org/dc/elements/1.1/' xmlns:ns1='http://schemas.openxmlformats.org/package/2006/metadata/core-properties' " w:xpath="/ns1:coreProperties[1]/ns0:title[1]" w:storeItemID="{6C3C8BC8-F283-45AE-878A-BAB7291924A1}"/>
        <w:text/>
      </w:sdtPr>
      <w:sdtEndPr/>
      <w:sdtContent>
        <w:r w:rsidR="00136F3A">
          <w:rPr>
            <w:color w:val="404040" w:themeColor="text1" w:themeTint="BF"/>
            <w:sz w:val="16"/>
            <w:szCs w:val="16"/>
          </w:rPr>
          <w:t>Optimising opportunities for local suppliers</w:t>
        </w:r>
      </w:sdtContent>
    </w:sdt>
  </w:p>
  <w:p w14:paraId="7E1A307E" w14:textId="77777777" w:rsidR="00F752DB" w:rsidRDefault="00F752DB">
    <w:pPr>
      <w:pStyle w:val="Header"/>
    </w:pPr>
  </w:p>
  <w:p w14:paraId="2D051A40" w14:textId="77777777" w:rsidR="007A7AD0" w:rsidRDefault="007A7A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DBF"/>
    <w:multiLevelType w:val="hybridMultilevel"/>
    <w:tmpl w:val="6C463D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B14EEF"/>
    <w:multiLevelType w:val="hybridMultilevel"/>
    <w:tmpl w:val="D1125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9C4127"/>
    <w:multiLevelType w:val="hybridMultilevel"/>
    <w:tmpl w:val="8FBA5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BB63FA"/>
    <w:multiLevelType w:val="hybridMultilevel"/>
    <w:tmpl w:val="A106F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AEC5BC5"/>
    <w:multiLevelType w:val="hybridMultilevel"/>
    <w:tmpl w:val="9D5417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3168D6"/>
    <w:multiLevelType w:val="hybridMultilevel"/>
    <w:tmpl w:val="5CF6E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A315D0"/>
    <w:multiLevelType w:val="hybridMultilevel"/>
    <w:tmpl w:val="E11457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E85516"/>
    <w:multiLevelType w:val="hybridMultilevel"/>
    <w:tmpl w:val="04A22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9A4B34"/>
    <w:multiLevelType w:val="hybridMultilevel"/>
    <w:tmpl w:val="E9A04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145660"/>
    <w:multiLevelType w:val="hybridMultilevel"/>
    <w:tmpl w:val="93549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31792D"/>
    <w:multiLevelType w:val="hybridMultilevel"/>
    <w:tmpl w:val="F8B84610"/>
    <w:lvl w:ilvl="0" w:tplc="49442D8C">
      <w:start w:val="1"/>
      <w:numFmt w:val="bullet"/>
      <w:lvlText w:val=""/>
      <w:lvlJc w:val="left"/>
      <w:pPr>
        <w:ind w:left="1210" w:hanging="360"/>
      </w:pPr>
      <w:rPr>
        <w:rFonts w:ascii="Symbol" w:hAnsi="Symbol"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8"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30814554">
    <w:abstractNumId w:val="2"/>
  </w:num>
  <w:num w:numId="2" w16cid:durableId="1689522951">
    <w:abstractNumId w:val="6"/>
  </w:num>
  <w:num w:numId="3" w16cid:durableId="869613144">
    <w:abstractNumId w:val="10"/>
  </w:num>
  <w:num w:numId="4" w16cid:durableId="1961958574">
    <w:abstractNumId w:val="18"/>
  </w:num>
  <w:num w:numId="5" w16cid:durableId="1337732383">
    <w:abstractNumId w:val="3"/>
  </w:num>
  <w:num w:numId="6" w16cid:durableId="977802954">
    <w:abstractNumId w:val="4"/>
  </w:num>
  <w:num w:numId="7" w16cid:durableId="1529904237">
    <w:abstractNumId w:val="7"/>
  </w:num>
  <w:num w:numId="8" w16cid:durableId="824588993">
    <w:abstractNumId w:val="9"/>
  </w:num>
  <w:num w:numId="9" w16cid:durableId="911082344">
    <w:abstractNumId w:val="12"/>
  </w:num>
  <w:num w:numId="10" w16cid:durableId="944457830">
    <w:abstractNumId w:val="11"/>
  </w:num>
  <w:num w:numId="11" w16cid:durableId="1872113619">
    <w:abstractNumId w:val="1"/>
  </w:num>
  <w:num w:numId="12" w16cid:durableId="735321622">
    <w:abstractNumId w:val="15"/>
  </w:num>
  <w:num w:numId="13" w16cid:durableId="1901672131">
    <w:abstractNumId w:val="13"/>
  </w:num>
  <w:num w:numId="14" w16cid:durableId="579945564">
    <w:abstractNumId w:val="8"/>
  </w:num>
  <w:num w:numId="15" w16cid:durableId="967049603">
    <w:abstractNumId w:val="17"/>
  </w:num>
  <w:num w:numId="16" w16cid:durableId="2117291642">
    <w:abstractNumId w:val="16"/>
  </w:num>
  <w:num w:numId="17" w16cid:durableId="1671635941">
    <w:abstractNumId w:val="14"/>
  </w:num>
  <w:num w:numId="18" w16cid:durableId="1230967063">
    <w:abstractNumId w:val="5"/>
  </w:num>
  <w:num w:numId="19" w16cid:durableId="31722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40F8"/>
    <w:rsid w:val="00052385"/>
    <w:rsid w:val="00071234"/>
    <w:rsid w:val="000923CD"/>
    <w:rsid w:val="000A184C"/>
    <w:rsid w:val="000C2896"/>
    <w:rsid w:val="000F4BE1"/>
    <w:rsid w:val="00105D9D"/>
    <w:rsid w:val="00135E89"/>
    <w:rsid w:val="00136F3A"/>
    <w:rsid w:val="00142FC9"/>
    <w:rsid w:val="00155B59"/>
    <w:rsid w:val="00172C66"/>
    <w:rsid w:val="001A454C"/>
    <w:rsid w:val="001B5456"/>
    <w:rsid w:val="001E7E00"/>
    <w:rsid w:val="0021152C"/>
    <w:rsid w:val="00211A7F"/>
    <w:rsid w:val="002262C6"/>
    <w:rsid w:val="0023125F"/>
    <w:rsid w:val="002A5361"/>
    <w:rsid w:val="00320C1A"/>
    <w:rsid w:val="0037294E"/>
    <w:rsid w:val="00381F07"/>
    <w:rsid w:val="00387FA3"/>
    <w:rsid w:val="003A1CD0"/>
    <w:rsid w:val="003B3C17"/>
    <w:rsid w:val="004761E0"/>
    <w:rsid w:val="00486583"/>
    <w:rsid w:val="004A0CF6"/>
    <w:rsid w:val="004B4AE7"/>
    <w:rsid w:val="00514250"/>
    <w:rsid w:val="00595C5C"/>
    <w:rsid w:val="005A7EB2"/>
    <w:rsid w:val="00607EAC"/>
    <w:rsid w:val="006100F9"/>
    <w:rsid w:val="006330D6"/>
    <w:rsid w:val="0066160F"/>
    <w:rsid w:val="00673C5E"/>
    <w:rsid w:val="00701011"/>
    <w:rsid w:val="00703FF1"/>
    <w:rsid w:val="007278E6"/>
    <w:rsid w:val="007927EC"/>
    <w:rsid w:val="007A7AD0"/>
    <w:rsid w:val="007B7968"/>
    <w:rsid w:val="007E06B5"/>
    <w:rsid w:val="00833BDC"/>
    <w:rsid w:val="00847102"/>
    <w:rsid w:val="008C7CAB"/>
    <w:rsid w:val="008F6F3D"/>
    <w:rsid w:val="009908A1"/>
    <w:rsid w:val="00A80A1F"/>
    <w:rsid w:val="00AB0F2F"/>
    <w:rsid w:val="00AF680C"/>
    <w:rsid w:val="00B018BF"/>
    <w:rsid w:val="00B33273"/>
    <w:rsid w:val="00B373CA"/>
    <w:rsid w:val="00C43DF5"/>
    <w:rsid w:val="00C54CF3"/>
    <w:rsid w:val="00CA138C"/>
    <w:rsid w:val="00DC642B"/>
    <w:rsid w:val="00DD5ABB"/>
    <w:rsid w:val="00DE1611"/>
    <w:rsid w:val="00ED0350"/>
    <w:rsid w:val="00ED698C"/>
    <w:rsid w:val="00F31440"/>
    <w:rsid w:val="00F752DB"/>
    <w:rsid w:val="00F81DE9"/>
    <w:rsid w:val="00F905BC"/>
    <w:rsid w:val="00FF5E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0C2896"/>
    <w:pPr>
      <w:keepNext/>
      <w:keepLines/>
      <w:spacing w:before="360" w:after="120" w:line="240" w:lineRule="auto"/>
      <w:outlineLvl w:val="0"/>
    </w:pPr>
    <w:rPr>
      <w:rFonts w:eastAsiaTheme="majorEastAsia" w:cstheme="majorBidi"/>
      <w:b/>
      <w:color w:val="A91D37"/>
      <w:sz w:val="32"/>
      <w:szCs w:val="32"/>
    </w:rPr>
  </w:style>
  <w:style w:type="paragraph" w:styleId="Heading2">
    <w:name w:val="heading 2"/>
    <w:basedOn w:val="Normal"/>
    <w:next w:val="Normal"/>
    <w:link w:val="Heading2Char"/>
    <w:uiPriority w:val="9"/>
    <w:unhideWhenUsed/>
    <w:qFormat/>
    <w:rsid w:val="00B373CA"/>
    <w:pPr>
      <w:keepNext/>
      <w:keepLines/>
      <w:spacing w:before="120" w:after="120" w:line="240" w:lineRule="auto"/>
      <w:outlineLvl w:val="1"/>
    </w:pPr>
    <w:rPr>
      <w:rFonts w:eastAsiaTheme="majorEastAsia" w:cstheme="majorBidi"/>
      <w:color w:val="60605D"/>
      <w:sz w:val="32"/>
      <w:szCs w:val="26"/>
    </w:rPr>
  </w:style>
  <w:style w:type="paragraph" w:styleId="Heading3">
    <w:name w:val="heading 3"/>
    <w:basedOn w:val="Normal"/>
    <w:next w:val="Normal"/>
    <w:link w:val="Heading3Char"/>
    <w:uiPriority w:val="9"/>
    <w:unhideWhenUsed/>
    <w:qFormat/>
    <w:rsid w:val="00DE1611"/>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0C2896"/>
    <w:pPr>
      <w:keepNext/>
      <w:keepLines/>
      <w:spacing w:before="120" w:after="120" w:line="240" w:lineRule="auto"/>
      <w:outlineLvl w:val="3"/>
    </w:pPr>
    <w:rPr>
      <w:rFonts w:eastAsiaTheme="majorEastAsia" w:cstheme="majorBidi"/>
      <w:iCs/>
      <w:color w:val="A91D37"/>
      <w:sz w:val="24"/>
    </w:rPr>
  </w:style>
  <w:style w:type="paragraph" w:styleId="Heading5">
    <w:name w:val="heading 5"/>
    <w:basedOn w:val="Normal"/>
    <w:next w:val="Normal"/>
    <w:link w:val="Heading5Char"/>
    <w:uiPriority w:val="9"/>
    <w:unhideWhenUsed/>
    <w:qFormat/>
    <w:rsid w:val="00B373CA"/>
    <w:pPr>
      <w:keepNext/>
      <w:keepLines/>
      <w:spacing w:before="120" w:after="120" w:line="240" w:lineRule="auto"/>
      <w:outlineLvl w:val="4"/>
    </w:pPr>
    <w:rPr>
      <w:rFonts w:eastAsiaTheme="majorEastAsia" w:cstheme="majorBidi"/>
      <w:b/>
      <w:color w:val="3736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C2896"/>
    <w:rPr>
      <w:rFonts w:ascii="Arial" w:eastAsiaTheme="majorEastAsia" w:hAnsi="Arial" w:cstheme="majorBidi"/>
      <w:b/>
      <w:color w:val="A91D37"/>
      <w:sz w:val="32"/>
      <w:szCs w:val="32"/>
    </w:rPr>
  </w:style>
  <w:style w:type="character" w:customStyle="1" w:styleId="Heading2Char">
    <w:name w:val="Heading 2 Char"/>
    <w:basedOn w:val="DefaultParagraphFont"/>
    <w:link w:val="Heading2"/>
    <w:uiPriority w:val="9"/>
    <w:rsid w:val="00B373CA"/>
    <w:rPr>
      <w:rFonts w:ascii="Arial" w:eastAsiaTheme="majorEastAsia" w:hAnsi="Arial" w:cstheme="majorBidi"/>
      <w:color w:val="60605D"/>
      <w:sz w:val="32"/>
      <w:szCs w:val="26"/>
    </w:rPr>
  </w:style>
  <w:style w:type="character" w:customStyle="1" w:styleId="Heading3Char">
    <w:name w:val="Heading 3 Char"/>
    <w:basedOn w:val="DefaultParagraphFont"/>
    <w:link w:val="Heading3"/>
    <w:uiPriority w:val="9"/>
    <w:rsid w:val="00DE1611"/>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0C2896"/>
    <w:rPr>
      <w:rFonts w:ascii="Arial" w:eastAsiaTheme="majorEastAsia" w:hAnsi="Arial" w:cstheme="majorBidi"/>
      <w:iCs/>
      <w:color w:val="A91D37"/>
      <w:sz w:val="24"/>
    </w:rPr>
  </w:style>
  <w:style w:type="character" w:customStyle="1" w:styleId="Heading5Char">
    <w:name w:val="Heading 5 Char"/>
    <w:basedOn w:val="DefaultParagraphFont"/>
    <w:link w:val="Heading5"/>
    <w:uiPriority w:val="9"/>
    <w:rsid w:val="00B373CA"/>
    <w:rPr>
      <w:rFonts w:ascii="Arial" w:eastAsiaTheme="majorEastAsia" w:hAnsi="Arial" w:cstheme="majorBidi"/>
      <w:b/>
      <w:color w:val="373636"/>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1E7E00"/>
    <w:pPr>
      <w:spacing w:after="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7E00"/>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uiPriority w:val="11"/>
    <w:qFormat/>
    <w:rsid w:val="001E7E00"/>
    <w:pPr>
      <w:numPr>
        <w:ilvl w:val="1"/>
      </w:numPr>
      <w:spacing w:before="240" w:after="240" w:line="380" w:lineRule="exact"/>
    </w:pPr>
    <w:rPr>
      <w:rFonts w:eastAsiaTheme="minorEastAsia"/>
      <w:color w:val="FFFFFF" w:themeColor="background1"/>
      <w:spacing w:val="15"/>
      <w:sz w:val="36"/>
    </w:rPr>
  </w:style>
  <w:style w:type="character" w:customStyle="1" w:styleId="SubtitleChar">
    <w:name w:val="Subtitle Char"/>
    <w:basedOn w:val="DefaultParagraphFont"/>
    <w:link w:val="Subtitle"/>
    <w:uiPriority w:val="11"/>
    <w:rsid w:val="001E7E00"/>
    <w:rPr>
      <w:rFonts w:ascii="Arial" w:eastAsiaTheme="minorEastAsia" w:hAnsi="Arial"/>
      <w:color w:val="FFFFFF" w:themeColor="background1"/>
      <w:spacing w:val="15"/>
      <w:sz w:val="36"/>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basedOn w:val="DefaultParagraphFont"/>
    <w:uiPriority w:val="99"/>
    <w:unhideWhenUsed/>
    <w:rsid w:val="002A5361"/>
    <w:rPr>
      <w:color w:val="007681" w:themeColor="hyperlink"/>
      <w:u w:val="single"/>
    </w:rPr>
  </w:style>
  <w:style w:type="character" w:styleId="UnresolvedMention">
    <w:name w:val="Unresolved Mention"/>
    <w:basedOn w:val="DefaultParagraphFont"/>
    <w:uiPriority w:val="99"/>
    <w:semiHidden/>
    <w:unhideWhenUsed/>
    <w:rsid w:val="002A5361"/>
    <w:rPr>
      <w:color w:val="605E5C"/>
      <w:shd w:val="clear" w:color="auto" w:fill="E1DFDD"/>
    </w:rPr>
  </w:style>
  <w:style w:type="paragraph" w:styleId="TOC2">
    <w:name w:val="toc 2"/>
    <w:basedOn w:val="Heading2"/>
    <w:next w:val="Normal"/>
    <w:uiPriority w:val="39"/>
    <w:rsid w:val="00136F3A"/>
    <w:pPr>
      <w:keepNext w:val="0"/>
      <w:keepLines w:val="0"/>
      <w:tabs>
        <w:tab w:val="right" w:pos="9639"/>
      </w:tabs>
      <w:autoSpaceDE w:val="0"/>
      <w:autoSpaceDN w:val="0"/>
      <w:adjustRightInd w:val="0"/>
      <w:spacing w:after="0" w:line="264" w:lineRule="auto"/>
      <w:ind w:left="340"/>
    </w:pPr>
    <w:rPr>
      <w:rFonts w:eastAsia="Times New Roman" w:cs="Arial"/>
      <w:b/>
      <w:bCs/>
      <w:color w:val="5D6771"/>
      <w:sz w:val="22"/>
      <w:szCs w:val="20"/>
      <w:lang w:eastAsia="en-AU"/>
    </w:rPr>
  </w:style>
  <w:style w:type="paragraph" w:styleId="TOC1">
    <w:name w:val="toc 1"/>
    <w:basedOn w:val="Heading1"/>
    <w:next w:val="Normal"/>
    <w:uiPriority w:val="39"/>
    <w:rsid w:val="00136F3A"/>
    <w:pPr>
      <w:keepNext w:val="0"/>
      <w:keepLines w:val="0"/>
      <w:tabs>
        <w:tab w:val="right" w:leader="dot" w:pos="9639"/>
      </w:tabs>
      <w:autoSpaceDE w:val="0"/>
      <w:autoSpaceDN w:val="0"/>
      <w:adjustRightInd w:val="0"/>
      <w:spacing w:before="240" w:after="0" w:line="264" w:lineRule="auto"/>
    </w:pPr>
    <w:rPr>
      <w:rFonts w:eastAsia="Times New Roman" w:cs="Arial"/>
      <w:bCs/>
      <w:color w:val="A70240"/>
      <w:sz w:val="22"/>
      <w:szCs w:val="20"/>
      <w:lang w:eastAsia="en-AU"/>
    </w:rPr>
  </w:style>
  <w:style w:type="paragraph" w:styleId="TOC3">
    <w:name w:val="toc 3"/>
    <w:basedOn w:val="Normal"/>
    <w:next w:val="Normal"/>
    <w:uiPriority w:val="39"/>
    <w:rsid w:val="00136F3A"/>
    <w:pPr>
      <w:tabs>
        <w:tab w:val="right" w:pos="9639"/>
      </w:tabs>
      <w:spacing w:before="60" w:after="60" w:line="264" w:lineRule="auto"/>
      <w:ind w:left="340"/>
    </w:pPr>
    <w:rPr>
      <w:rFonts w:eastAsia="Times New Roman" w:cs="Times New Roman"/>
      <w:sz w:val="22"/>
      <w:szCs w:val="24"/>
    </w:rPr>
  </w:style>
  <w:style w:type="paragraph" w:customStyle="1" w:styleId="Tabletext">
    <w:name w:val="Table text"/>
    <w:basedOn w:val="Normal"/>
    <w:rsid w:val="00136F3A"/>
    <w:pPr>
      <w:spacing w:before="20" w:after="20" w:line="264" w:lineRule="auto"/>
    </w:pPr>
    <w:rPr>
      <w:rFonts w:eastAsia="Times New Roman" w:cs="Times New Roman"/>
      <w:szCs w:val="20"/>
    </w:rPr>
  </w:style>
  <w:style w:type="paragraph" w:customStyle="1" w:styleId="Tableheadings">
    <w:name w:val="Table headings"/>
    <w:basedOn w:val="Normal"/>
    <w:rsid w:val="00136F3A"/>
    <w:pPr>
      <w:spacing w:after="0" w:line="264" w:lineRule="auto"/>
    </w:pPr>
    <w:rPr>
      <w:rFonts w:eastAsia="Times New Roman" w:cs="Times New Roman"/>
      <w:b/>
      <w:bCs/>
      <w:color w:val="FFFFFF"/>
      <w:sz w:val="24"/>
      <w:szCs w:val="20"/>
    </w:rPr>
  </w:style>
  <w:style w:type="paragraph" w:styleId="FootnoteText">
    <w:name w:val="footnote text"/>
    <w:basedOn w:val="Normal"/>
    <w:link w:val="FootnoteTextChar"/>
    <w:rsid w:val="00136F3A"/>
    <w:pPr>
      <w:spacing w:before="40" w:after="40" w:line="264" w:lineRule="auto"/>
    </w:pPr>
    <w:rPr>
      <w:rFonts w:eastAsia="Times New Roman" w:cs="Times New Roman"/>
      <w:sz w:val="18"/>
      <w:szCs w:val="20"/>
    </w:rPr>
  </w:style>
  <w:style w:type="character" w:customStyle="1" w:styleId="FootnoteTextChar">
    <w:name w:val="Footnote Text Char"/>
    <w:basedOn w:val="DefaultParagraphFont"/>
    <w:link w:val="FootnoteText"/>
    <w:rsid w:val="00136F3A"/>
    <w:rPr>
      <w:rFonts w:ascii="Arial" w:eastAsia="Times New Roman" w:hAnsi="Arial" w:cs="Times New Roman"/>
      <w:sz w:val="18"/>
      <w:szCs w:val="20"/>
    </w:rPr>
  </w:style>
  <w:style w:type="character" w:styleId="FootnoteReference">
    <w:name w:val="footnote reference"/>
    <w:rsid w:val="00136F3A"/>
    <w:rPr>
      <w:vertAlign w:val="superscript"/>
    </w:rPr>
  </w:style>
  <w:style w:type="paragraph" w:styleId="TOCHeading">
    <w:name w:val="TOC Heading"/>
    <w:basedOn w:val="Heading1"/>
    <w:next w:val="Normal"/>
    <w:autoRedefine/>
    <w:uiPriority w:val="39"/>
    <w:unhideWhenUsed/>
    <w:qFormat/>
    <w:rsid w:val="00136F3A"/>
    <w:pPr>
      <w:spacing w:before="240" w:after="0" w:line="259" w:lineRule="auto"/>
      <w:outlineLvl w:val="9"/>
    </w:pPr>
    <w:rPr>
      <w:rFonts w:eastAsia="Times New Roman" w:cs="Times New Roman"/>
      <w:color w:val="A70240"/>
      <w:sz w:val="36"/>
      <w:lang w:val="en-US"/>
    </w:rPr>
  </w:style>
  <w:style w:type="character" w:styleId="FollowedHyperlink">
    <w:name w:val="FollowedHyperlink"/>
    <w:basedOn w:val="DefaultParagraphFont"/>
    <w:uiPriority w:val="99"/>
    <w:semiHidden/>
    <w:unhideWhenUsed/>
    <w:rsid w:val="00387FA3"/>
    <w:rPr>
      <w:color w:val="44546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deed.en" TargetMode="External"/><Relationship Id="rId18" Type="http://schemas.openxmlformats.org/officeDocument/2006/relationships/hyperlink" Target="https://www.datsip.qld.gov.au/publications-governance-resources/policy-governance/queensland-indigenous-procurement-policy" TargetMode="External"/><Relationship Id="rId26" Type="http://schemas.openxmlformats.org/officeDocument/2006/relationships/hyperlink" Target="https://www.qgcio.qld.gov.au/products/qgea-documents/3212-ict-sme-participation-scheme-policy" TargetMode="External"/><Relationship Id="rId3" Type="http://schemas.openxmlformats.org/officeDocument/2006/relationships/customXml" Target="../customXml/item3.xml"/><Relationship Id="rId21" Type="http://schemas.openxmlformats.org/officeDocument/2006/relationships/hyperlink" Target="http://www.hpw.qld.gov.au/SiteCollectionDocuments/ProbityIntegrityProcurement.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yperlink" Target="http://qcd.govnet.qld.gov.au/Pages/Home.aspx" TargetMode="External"/><Relationship Id="rId25" Type="http://schemas.openxmlformats.org/officeDocument/2006/relationships/hyperlink" Target="http://www.hpw.qld.gov.au/SiteCollectionDocuments/LocalBenefitsTest.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qgso.qld.gov.au/products/maps/qld-sa4-asgs-2016/index.php" TargetMode="External"/><Relationship Id="rId20" Type="http://schemas.openxmlformats.org/officeDocument/2006/relationships/hyperlink" Target="https://www.forgov.qld.gov.au/opportunities-suppliers" TargetMode="External"/><Relationship Id="rId29" Type="http://schemas.openxmlformats.org/officeDocument/2006/relationships/hyperlink" Target="http://www.hpw.qld.gov.au/SiteCollectionDocuments/LocalBenefitsTest.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hpw.qld.gov.au/SiteCollectionDocuments/QualitySafeWorkplaces.pdf"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hyperlink" Target="http://www.dsdmip.qld.gov.au/industry-development/advanced-manufacturing.html" TargetMode="External"/><Relationship Id="rId28" Type="http://schemas.openxmlformats.org/officeDocument/2006/relationships/hyperlink" Target="http://www.hpw.qld.gov.au/SiteCollectionDocuments/SecuringValueforMoney.pdf"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www.datsip.qld.gov.au"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tterprocurement@epw.qld.gov.au" TargetMode="External"/><Relationship Id="rId22" Type="http://schemas.openxmlformats.org/officeDocument/2006/relationships/hyperlink" Target="http://www.hpw.qld.gov.au/SiteCollectionDocuments/LocalBenefitsTest.pdf" TargetMode="External"/><Relationship Id="rId27" Type="http://schemas.openxmlformats.org/officeDocument/2006/relationships/hyperlink" Target="http://www.business.qld.gov.au/tendering" TargetMode="External"/><Relationship Id="rId30" Type="http://schemas.openxmlformats.org/officeDocument/2006/relationships/hyperlink" Target="https://www.forgov.qld.gov.au/other-procurement-policies" TargetMode="External"/><Relationship Id="rId35" Type="http://schemas.openxmlformats.org/officeDocument/2006/relationships/glossaryDocument" Target="glossary/document.xml"/><Relationship Id="rId8"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0BA81E14B948E4869F40BDA51A39BE"/>
        <w:category>
          <w:name w:val="General"/>
          <w:gallery w:val="placeholder"/>
        </w:category>
        <w:types>
          <w:type w:val="bbPlcHdr"/>
        </w:types>
        <w:behaviors>
          <w:behavior w:val="content"/>
        </w:behaviors>
        <w:guid w:val="{4EB60580-1C12-42AD-A5C0-63A5B13F83F2}"/>
      </w:docPartPr>
      <w:docPartBody>
        <w:p w:rsidR="006737F5" w:rsidRDefault="00D0469A" w:rsidP="00D0469A">
          <w:pPr>
            <w:pStyle w:val="4D0BA81E14B948E4869F40BDA51A39BE"/>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NormalLF-Roman">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122C62"/>
    <w:rsid w:val="006737F5"/>
    <w:rsid w:val="00A9401E"/>
    <w:rsid w:val="00C90D56"/>
    <w:rsid w:val="00D0469A"/>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BA81E14B948E4869F40BDA51A39BE">
    <w:name w:val="4D0BA81E14B948E4869F40BDA51A39BE"/>
    <w:rsid w:val="00D04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962A190474894FA2824AB778B15E85" ma:contentTypeVersion="18" ma:contentTypeDescription="Create a new document." ma:contentTypeScope="" ma:versionID="a51d479573694f5a192bfedb22991caf">
  <xsd:schema xmlns:xsd="http://www.w3.org/2001/XMLSchema" xmlns:xs="http://www.w3.org/2001/XMLSchema" xmlns:p="http://schemas.microsoft.com/office/2006/metadata/properties" xmlns:ns2="5192d726-1e32-44e8-9081-c03320601323" xmlns:ns3="5e736d6a-2fd5-4515-adff-8bd02882a63e" targetNamespace="http://schemas.microsoft.com/office/2006/metadata/properties" ma:root="true" ma:fieldsID="40eecfb264bd3049e393e252cb5153cd" ns2:_="" ns3:_="">
    <xsd:import namespace="5192d726-1e32-44e8-9081-c03320601323"/>
    <xsd:import namespace="5e736d6a-2fd5-4515-adff-8bd02882a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_x002f_L" minOccurs="0"/>
                <xsd:element ref="ns2:_x0023_" minOccurs="0"/>
                <xsd:element ref="ns2:Consult" minOccurs="0"/>
                <xsd:element ref="ns2:MCreviewed" minOccurs="0"/>
                <xsd:element ref="ns2:SLReviewed"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2d726-1e32-44e8-9081-c03320601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_x002f_L" ma:index="14" nillable="true" ma:displayName="C/L" ma:description="Commencement/ Launch " ma:format="Dropdown" ma:internalName="C_x002f_L">
      <xsd:simpleType>
        <xsd:restriction base="dms:Text">
          <xsd:maxLength value="255"/>
        </xsd:restriction>
      </xsd:simpleType>
    </xsd:element>
    <xsd:element name="_x0023_" ma:index="15" nillable="true" ma:displayName="#" ma:format="Dropdown" ma:internalName="_x0023_" ma:percentage="FALSE">
      <xsd:simpleType>
        <xsd:restriction base="dms:Number"/>
      </xsd:simpleType>
    </xsd:element>
    <xsd:element name="Consult" ma:index="16" nillable="true" ma:displayName="Consult" ma:description="Person or organisation within EPW or other QG org. that either owns the  webpage or can answer a query." ma:format="Dropdown" ma:list="UserInfo" ma:SharePointGroup="0" ma:internalName="Consul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Creviewed" ma:index="17" nillable="true" ma:displayName="Reviewed by MC" ma:description="Has Megan Collins reviewed this content brief." ma:format="Dropdown" ma:internalName="MCreviewed">
      <xsd:simpleType>
        <xsd:restriction base="dms:Choice">
          <xsd:enumeration value="Yes"/>
          <xsd:enumeration value="No"/>
        </xsd:restriction>
      </xsd:simpleType>
    </xsd:element>
    <xsd:element name="SLReviewed" ma:index="18" nillable="true" ma:displayName="Reviewed by SL" ma:description="Has Sean Lim reviewed this content brief?" ma:format="Dropdown" ma:internalName="SLReviewed">
      <xsd:simpleType>
        <xsd:restriction base="dms:Choice">
          <xsd:enumeration value="Yes"/>
          <xsd:enumeration value="No"/>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736d6a-2fd5-4515-adff-8bd02882a63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9cf8a6-d962-4428-88e9-5cfcbb0e85c0}" ma:internalName="TaxCatchAll" ma:showField="CatchAllData" ma:web="5e736d6a-2fd5-4515-adff-8bd02882a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LReviewed xmlns="5192d726-1e32-44e8-9081-c03320601323" xsi:nil="true"/>
    <C_x002f_L xmlns="5192d726-1e32-44e8-9081-c03320601323" xsi:nil="true"/>
    <_x0023_ xmlns="5192d726-1e32-44e8-9081-c03320601323" xsi:nil="true"/>
    <lcf76f155ced4ddcb4097134ff3c332f xmlns="5192d726-1e32-44e8-9081-c03320601323">
      <Terms xmlns="http://schemas.microsoft.com/office/infopath/2007/PartnerControls"/>
    </lcf76f155ced4ddcb4097134ff3c332f>
    <Consult xmlns="5192d726-1e32-44e8-9081-c03320601323">
      <UserInfo>
        <DisplayName/>
        <AccountId xsi:nil="true"/>
        <AccountType/>
      </UserInfo>
    </Consult>
    <TaxCatchAll xmlns="5e736d6a-2fd5-4515-adff-8bd02882a63e" xsi:nil="true"/>
    <MCreviewed xmlns="5192d726-1e32-44e8-9081-c033206013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FAD4DE-434B-4D6D-8299-86F40CF4E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2d726-1e32-44e8-9081-c03320601323"/>
    <ds:schemaRef ds:uri="5e736d6a-2fd5-4515-adff-8bd02882a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4AFE6-BE6D-407F-9FC5-52F08CBADD28}">
  <ds:schemaRefs>
    <ds:schemaRef ds:uri="http://schemas.microsoft.com/office/infopath/2007/PartnerControls"/>
    <ds:schemaRef ds:uri="http://www.w3.org/XML/1998/namespac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5e736d6a-2fd5-4515-adff-8bd02882a63e"/>
    <ds:schemaRef ds:uri="5192d726-1e32-44e8-9081-c03320601323"/>
    <ds:schemaRef ds:uri="http://purl.org/dc/dcmitype/"/>
    <ds:schemaRef ds:uri="http://purl.org/dc/terms/"/>
  </ds:schemaRefs>
</ds:datastoreItem>
</file>

<file path=customXml/itemProps3.xml><?xml version="1.0" encoding="utf-8"?>
<ds:datastoreItem xmlns:ds="http://schemas.openxmlformats.org/officeDocument/2006/customXml" ds:itemID="{5E5890B4-98FD-4EFB-8D08-C172DC0519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4514</Words>
  <Characters>25731</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Optimising opportunities for local suppliers</vt:lpstr>
    </vt:vector>
  </TitlesOfParts>
  <Company>Department of Housing and Public Works</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Optimising opportunities for local suppliers</dc:title>
  <dc:subject/>
  <dc:creator>Department of Housing and Public Works</dc:creator>
  <cp:keywords>template, document, cover, A4</cp:keywords>
  <dc:description>A4 portrait template for HPW documents</dc:description>
  <cp:lastModifiedBy>Phil Vu</cp:lastModifiedBy>
  <cp:revision>2</cp:revision>
  <cp:lastPrinted>2023-05-22T21:28:00Z</cp:lastPrinted>
  <dcterms:created xsi:type="dcterms:W3CDTF">2023-05-26T03:53:00Z</dcterms:created>
  <dcterms:modified xsi:type="dcterms:W3CDTF">2023-05-26T03:53:00Z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0x01010080962A190474894FA2824AB778B15E85</vt:lpwstr>
  </property>
</Properties>
</file>