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1BB0FD16" w:rsidR="00AF090D" w:rsidRPr="0095759D" w:rsidRDefault="00A3603A" w:rsidP="0095759D">
      <w:pPr>
        <w:pStyle w:val="Title"/>
        <w:rPr>
          <w:rStyle w:val="SubtleEmphasis"/>
          <w:rFonts w:ascii="Arial Nova" w:hAnsi="Arial Nova"/>
          <w:b w:val="0"/>
          <w:i w:val="0"/>
          <w:color w:val="FFFFFF" w:themeColor="background1"/>
          <w:sz w:val="56"/>
        </w:rPr>
      </w:pPr>
      <w:r>
        <w:rPr>
          <w:rFonts w:ascii="Arial Nova" w:hAnsi="Arial Nova"/>
          <w:bCs/>
        </w:rPr>
        <w:t>Accessibility compliance in procurement</w:t>
      </w:r>
      <w:r w:rsidR="00A02E75">
        <w:rPr>
          <w:rFonts w:ascii="Arial Nova" w:hAnsi="Arial Nova"/>
          <w:bCs/>
        </w:rPr>
        <w:t>: Ensuring accessibility for people with disability guide</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6C7BD5B4" w14:textId="77777777" w:rsidR="001A236D" w:rsidRDefault="001A236D" w:rsidP="0035362A">
      <w:pPr>
        <w:rPr>
          <w:b/>
          <w:i/>
          <w:sz w:val="18"/>
        </w:rPr>
      </w:pPr>
    </w:p>
    <w:p w14:paraId="65C256C5" w14:textId="77777777" w:rsidR="001A236D" w:rsidRDefault="001A236D" w:rsidP="0035362A">
      <w:pPr>
        <w:rPr>
          <w:b/>
          <w:i/>
          <w:sz w:val="18"/>
        </w:rPr>
      </w:pPr>
    </w:p>
    <w:p w14:paraId="6B87B17C" w14:textId="77777777" w:rsidR="001A236D" w:rsidRDefault="001A236D" w:rsidP="0035362A">
      <w:pPr>
        <w:rPr>
          <w:b/>
          <w:i/>
          <w:sz w:val="18"/>
        </w:rPr>
      </w:pPr>
    </w:p>
    <w:p w14:paraId="4FB0CDCB" w14:textId="77777777" w:rsidR="001A236D" w:rsidRDefault="001A236D" w:rsidP="0035362A">
      <w:pPr>
        <w:rPr>
          <w:b/>
          <w:i/>
          <w:sz w:val="18"/>
        </w:rPr>
      </w:pPr>
    </w:p>
    <w:p w14:paraId="4CD3C661" w14:textId="77777777" w:rsidR="001A236D" w:rsidRDefault="001A236D" w:rsidP="0035362A">
      <w:pPr>
        <w:rPr>
          <w:b/>
          <w:i/>
          <w:sz w:val="18"/>
        </w:rPr>
      </w:pPr>
    </w:p>
    <w:p w14:paraId="736E44B6" w14:textId="77777777" w:rsidR="001A236D" w:rsidRDefault="001A236D" w:rsidP="0035362A">
      <w:pPr>
        <w:rPr>
          <w:b/>
          <w:i/>
          <w:sz w:val="18"/>
        </w:rPr>
      </w:pPr>
    </w:p>
    <w:p w14:paraId="684EF346" w14:textId="77777777" w:rsidR="001A236D" w:rsidRDefault="001A236D" w:rsidP="0035362A">
      <w:pPr>
        <w:rPr>
          <w:b/>
          <w:i/>
          <w:sz w:val="18"/>
        </w:rPr>
      </w:pPr>
    </w:p>
    <w:p w14:paraId="37D7B9B1" w14:textId="77777777" w:rsidR="001A236D" w:rsidRDefault="001A236D" w:rsidP="0035362A">
      <w:pPr>
        <w:rPr>
          <w:b/>
          <w:i/>
          <w:sz w:val="18"/>
        </w:rPr>
      </w:pPr>
    </w:p>
    <w:p w14:paraId="69FB9F67" w14:textId="77777777" w:rsidR="001A236D" w:rsidRDefault="001A236D" w:rsidP="0035362A">
      <w:pPr>
        <w:rPr>
          <w:b/>
          <w:i/>
          <w:sz w:val="18"/>
        </w:rPr>
      </w:pPr>
    </w:p>
    <w:p w14:paraId="751F2608" w14:textId="77777777" w:rsidR="001A236D" w:rsidRDefault="001A236D" w:rsidP="0035362A">
      <w:pPr>
        <w:rPr>
          <w:b/>
          <w:i/>
          <w:sz w:val="18"/>
        </w:rPr>
      </w:pPr>
    </w:p>
    <w:p w14:paraId="4702E529" w14:textId="77777777" w:rsidR="00F00CEA" w:rsidRPr="00385067" w:rsidRDefault="00F00CEA" w:rsidP="0035362A">
      <w:pPr>
        <w:rPr>
          <w:b/>
          <w:i/>
          <w:sz w:val="18"/>
        </w:rPr>
      </w:pPr>
      <w:r>
        <w:rPr>
          <w:b/>
          <w:i/>
          <w:sz w:val="18"/>
        </w:rPr>
        <w:t>Accessibility compliance in procurement</w:t>
      </w:r>
      <w:r w:rsidRPr="0039469C">
        <w:rPr>
          <w:b/>
          <w:i/>
          <w:sz w:val="18"/>
        </w:rPr>
        <w:t xml:space="preserve">: </w:t>
      </w:r>
      <w:r>
        <w:rPr>
          <w:b/>
          <w:i/>
          <w:sz w:val="18"/>
        </w:rPr>
        <w:t>Ensuring accessibility for people with disability</w:t>
      </w:r>
      <w:r w:rsidR="00A02E75">
        <w:rPr>
          <w:b/>
          <w:i/>
          <w:sz w:val="18"/>
        </w:rPr>
        <w:t xml:space="preserve">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F00CEA" w14:paraId="7EF94E53" w14:textId="77777777" w:rsidTr="002F660B">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51E313B" w14:textId="77777777" w:rsidR="00F00CEA" w:rsidRDefault="00F00CEA" w:rsidP="00844691">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02538E63" w14:textId="77777777" w:rsidR="00F00CEA" w:rsidRDefault="00F00CEA" w:rsidP="00844691">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A8A194C" w14:textId="77777777" w:rsidR="00F00CEA" w:rsidRDefault="00F00CEA" w:rsidP="00844691">
            <w:pPr>
              <w:jc w:val="center"/>
              <w:rPr>
                <w:rFonts w:cs="Arial"/>
              </w:rPr>
            </w:pPr>
            <w:r>
              <w:rPr>
                <w:rFonts w:cs="Arial"/>
                <w:b/>
                <w:bCs/>
                <w:color w:val="FFFFFF" w:themeColor="background1"/>
              </w:rPr>
              <w:t>Comments</w:t>
            </w:r>
          </w:p>
        </w:tc>
      </w:tr>
      <w:tr w:rsidR="00F00CEA" w:rsidRPr="00986344" w14:paraId="4E6FA052" w14:textId="77777777" w:rsidTr="0079446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D3ED591" w14:textId="77777777" w:rsidR="00F00CEA" w:rsidRPr="00CF48F4" w:rsidRDefault="00F00CEA" w:rsidP="00844691">
            <w:pPr>
              <w:rPr>
                <w:rFonts w:cs="Arial"/>
                <w:sz w:val="16"/>
                <w:szCs w:val="16"/>
              </w:rPr>
            </w:pPr>
            <w:r>
              <w:rPr>
                <w:rFonts w:cs="Arial"/>
                <w:sz w:val="16"/>
                <w:szCs w:val="16"/>
              </w:rPr>
              <w:t>v1.0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E93E8A1" w14:textId="77777777" w:rsidR="00F00CEA" w:rsidRPr="00CF48F4" w:rsidRDefault="00F00CEA" w:rsidP="00844691">
            <w:pPr>
              <w:rPr>
                <w:rFonts w:cs="Arial"/>
                <w:sz w:val="16"/>
                <w:szCs w:val="16"/>
              </w:rPr>
            </w:pPr>
            <w:r>
              <w:rPr>
                <w:rFonts w:cs="Arial"/>
                <w:sz w:val="16"/>
                <w:szCs w:val="16"/>
              </w:rPr>
              <w:t>September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B5030DE" w14:textId="77777777" w:rsidR="00F00CEA" w:rsidRPr="00CF48F4" w:rsidRDefault="00F00CEA" w:rsidP="00844691">
            <w:pPr>
              <w:rPr>
                <w:rFonts w:cs="Arial"/>
                <w:sz w:val="16"/>
                <w:szCs w:val="16"/>
              </w:rPr>
            </w:pPr>
            <w:r>
              <w:rPr>
                <w:rFonts w:cs="Arial"/>
                <w:sz w:val="16"/>
                <w:szCs w:val="16"/>
              </w:rPr>
              <w:t>Published.</w:t>
            </w:r>
          </w:p>
        </w:tc>
      </w:tr>
      <w:tr w:rsidR="00F00CEA" w14:paraId="4ACC57A8" w14:textId="77777777" w:rsidTr="002F660B">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B664461" w14:textId="77777777" w:rsidR="00F00CEA" w:rsidRPr="006B61ED" w:rsidRDefault="00F00CEA" w:rsidP="00844691">
            <w:pPr>
              <w:rPr>
                <w:rFonts w:cs="Arial"/>
                <w:sz w:val="16"/>
                <w:szCs w:val="16"/>
              </w:rPr>
            </w:pPr>
            <w:r>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D5A07DF" w14:textId="77777777" w:rsidR="00F00CEA" w:rsidRDefault="00F00CEA" w:rsidP="00844691">
            <w:pPr>
              <w:rPr>
                <w:rFonts w:cs="Arial"/>
                <w:sz w:val="16"/>
                <w:szCs w:val="16"/>
              </w:rPr>
            </w:pPr>
            <w:r>
              <w:rPr>
                <w:rFonts w:cs="Arial"/>
                <w:sz w:val="16"/>
                <w:szCs w:val="16"/>
              </w:rPr>
              <w:t>Ju</w:t>
            </w:r>
            <w:r w:rsidR="00591733">
              <w:rPr>
                <w:rFonts w:cs="Arial"/>
                <w:sz w:val="16"/>
                <w:szCs w:val="16"/>
              </w:rPr>
              <w:t>ly</w:t>
            </w:r>
            <w:r>
              <w:rPr>
                <w:rFonts w:cs="Arial"/>
                <w:sz w:val="16"/>
                <w:szCs w:val="16"/>
              </w:rPr>
              <w:t xml:space="preserv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1ECA631" w14:textId="77777777" w:rsidR="00F00CEA" w:rsidRDefault="00F00CEA" w:rsidP="00844691">
            <w:pPr>
              <w:rPr>
                <w:rFonts w:cs="Arial"/>
                <w:sz w:val="16"/>
                <w:szCs w:val="16"/>
              </w:rPr>
            </w:pPr>
            <w:r>
              <w:rPr>
                <w:rFonts w:cs="Arial"/>
                <w:sz w:val="16"/>
                <w:szCs w:val="16"/>
              </w:rPr>
              <w:t>Minor updates made – highlights:</w:t>
            </w:r>
          </w:p>
          <w:p w14:paraId="7EB077C5" w14:textId="77777777" w:rsidR="00F00CEA" w:rsidRDefault="00F00CEA" w:rsidP="00F00CEA">
            <w:pPr>
              <w:pStyle w:val="ListParagraph"/>
              <w:numPr>
                <w:ilvl w:val="0"/>
                <w:numId w:val="21"/>
              </w:numPr>
              <w:spacing w:after="0"/>
              <w:rPr>
                <w:rFonts w:cs="Arial"/>
                <w:sz w:val="16"/>
                <w:szCs w:val="16"/>
              </w:rPr>
            </w:pPr>
            <w:r>
              <w:rPr>
                <w:rFonts w:cs="Arial"/>
                <w:sz w:val="16"/>
                <w:szCs w:val="16"/>
              </w:rPr>
              <w:t>DHPW corporate branding</w:t>
            </w:r>
          </w:p>
          <w:p w14:paraId="52EFB5D4" w14:textId="77777777" w:rsidR="00F00CEA" w:rsidRDefault="00F00CEA" w:rsidP="00F00CEA">
            <w:pPr>
              <w:pStyle w:val="ListParagraph"/>
              <w:numPr>
                <w:ilvl w:val="0"/>
                <w:numId w:val="21"/>
              </w:numPr>
              <w:spacing w:after="0"/>
              <w:rPr>
                <w:rFonts w:cs="Arial"/>
                <w:sz w:val="16"/>
                <w:szCs w:val="16"/>
              </w:rPr>
            </w:pPr>
            <w:r>
              <w:rPr>
                <w:rFonts w:cs="Arial"/>
                <w:sz w:val="16"/>
                <w:szCs w:val="16"/>
              </w:rPr>
              <w:t>Machinery-of-government changes</w:t>
            </w:r>
          </w:p>
          <w:p w14:paraId="511F6A32" w14:textId="77777777" w:rsidR="00F00CEA" w:rsidRDefault="00F00CEA" w:rsidP="00F00CEA">
            <w:pPr>
              <w:pStyle w:val="ListParagraph"/>
              <w:numPr>
                <w:ilvl w:val="0"/>
                <w:numId w:val="21"/>
              </w:numPr>
              <w:spacing w:after="0"/>
              <w:rPr>
                <w:rFonts w:cs="Arial"/>
                <w:sz w:val="16"/>
                <w:szCs w:val="16"/>
              </w:rPr>
            </w:pPr>
            <w:r>
              <w:rPr>
                <w:rFonts w:cs="Arial"/>
                <w:sz w:val="16"/>
                <w:szCs w:val="16"/>
              </w:rPr>
              <w:t>Hyperlinks verified and updated or removed</w:t>
            </w:r>
          </w:p>
          <w:p w14:paraId="3D39D462" w14:textId="77777777" w:rsidR="00F00CEA" w:rsidRDefault="00F00CEA" w:rsidP="00F00CEA">
            <w:pPr>
              <w:pStyle w:val="ListParagraph"/>
              <w:numPr>
                <w:ilvl w:val="0"/>
                <w:numId w:val="21"/>
              </w:numPr>
              <w:spacing w:after="0"/>
              <w:rPr>
                <w:rFonts w:cs="Arial"/>
                <w:sz w:val="16"/>
                <w:szCs w:val="16"/>
              </w:rPr>
            </w:pPr>
            <w:r>
              <w:rPr>
                <w:rFonts w:cs="Arial"/>
                <w:sz w:val="16"/>
                <w:szCs w:val="16"/>
              </w:rPr>
              <w:t xml:space="preserve">Document date updated </w:t>
            </w:r>
          </w:p>
          <w:p w14:paraId="6E9593BB" w14:textId="77777777" w:rsidR="00F00CEA" w:rsidRDefault="00F00CEA" w:rsidP="00F00CEA">
            <w:pPr>
              <w:pStyle w:val="ListParagraph"/>
              <w:numPr>
                <w:ilvl w:val="0"/>
                <w:numId w:val="21"/>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7B516EDB" w14:textId="77777777" w:rsidR="00D64F00" w:rsidRDefault="00B83C2D" w:rsidP="00F00CEA">
            <w:pPr>
              <w:pStyle w:val="ListParagraph"/>
              <w:numPr>
                <w:ilvl w:val="0"/>
                <w:numId w:val="21"/>
              </w:numPr>
              <w:spacing w:after="0"/>
              <w:rPr>
                <w:rFonts w:cs="Arial"/>
                <w:sz w:val="16"/>
                <w:szCs w:val="16"/>
              </w:rPr>
            </w:pPr>
            <w:r>
              <w:rPr>
                <w:rFonts w:cs="Arial"/>
                <w:sz w:val="16"/>
                <w:szCs w:val="16"/>
              </w:rPr>
              <w:t>Document title</w:t>
            </w:r>
          </w:p>
          <w:p w14:paraId="7E16C68F" w14:textId="77777777" w:rsidR="00F00CEA" w:rsidRPr="00385067" w:rsidRDefault="00F00CEA" w:rsidP="00F00CEA">
            <w:pPr>
              <w:pStyle w:val="ListParagraph"/>
              <w:numPr>
                <w:ilvl w:val="0"/>
                <w:numId w:val="21"/>
              </w:numPr>
              <w:spacing w:after="0"/>
              <w:rPr>
                <w:rFonts w:cs="Arial"/>
                <w:sz w:val="16"/>
                <w:szCs w:val="16"/>
              </w:rPr>
            </w:pPr>
            <w:r>
              <w:rPr>
                <w:rFonts w:cs="Arial"/>
                <w:sz w:val="16"/>
                <w:szCs w:val="16"/>
              </w:rPr>
              <w:t>Removed contextual policy information</w:t>
            </w:r>
          </w:p>
        </w:tc>
      </w:tr>
      <w:tr w:rsidR="006B4D4F" w14:paraId="2039119A" w14:textId="77777777" w:rsidTr="002F660B">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C4B9DAD" w14:textId="77777777" w:rsidR="006B4D4F" w:rsidRDefault="006B4D4F" w:rsidP="00844691">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BECC0EE" w14:textId="77777777" w:rsidR="006B4D4F" w:rsidRDefault="006B4D4F" w:rsidP="00844691">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4B21E16" w14:textId="77777777" w:rsidR="006B4D4F" w:rsidRDefault="006B4D4F" w:rsidP="00844691">
            <w:pPr>
              <w:rPr>
                <w:rFonts w:cs="Arial"/>
                <w:sz w:val="16"/>
                <w:szCs w:val="16"/>
              </w:rPr>
            </w:pPr>
            <w:r w:rsidRPr="006B4D4F">
              <w:rPr>
                <w:rFonts w:cs="Arial"/>
                <w:sz w:val="16"/>
                <w:szCs w:val="16"/>
              </w:rPr>
              <w:t>Minor updates made - Queensland Government Corporate Branding</w:t>
            </w:r>
          </w:p>
        </w:tc>
      </w:tr>
      <w:bookmarkEnd w:id="0"/>
    </w:tbl>
    <w:p w14:paraId="48651218" w14:textId="77777777" w:rsidR="00F00CEA" w:rsidRDefault="00F00CEA" w:rsidP="0035362A">
      <w:pPr>
        <w:rPr>
          <w:b/>
          <w:sz w:val="18"/>
        </w:rPr>
      </w:pPr>
    </w:p>
    <w:p w14:paraId="6873F1B1" w14:textId="77777777" w:rsidR="00F00CEA" w:rsidRPr="0039469C" w:rsidRDefault="00F00CEA" w:rsidP="0035362A">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430BFE60" w14:textId="77777777" w:rsidR="00F00CEA" w:rsidRDefault="0095759D" w:rsidP="0035362A">
      <w:pPr>
        <w:rPr>
          <w:sz w:val="18"/>
        </w:rPr>
      </w:pPr>
      <w:r w:rsidRPr="00850C98">
        <w:rPr>
          <w:noProof/>
          <w:sz w:val="18"/>
          <w:lang w:eastAsia="en-AU"/>
        </w:rPr>
        <w:drawing>
          <wp:inline distT="0" distB="0" distL="0" distR="0" wp14:anchorId="57FA0BAE" wp14:editId="2E9EF1D2">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3E2A7201" w14:textId="77777777" w:rsidR="00F00CEA" w:rsidRPr="0039469C" w:rsidRDefault="00F00CEA" w:rsidP="0035362A">
      <w:pPr>
        <w:rPr>
          <w:sz w:val="18"/>
        </w:rPr>
      </w:pPr>
      <w:hyperlink r:id="rId12" w:history="1">
        <w:r w:rsidRPr="00210006">
          <w:rPr>
            <w:rStyle w:val="Hyperlink"/>
            <w:sz w:val="18"/>
          </w:rPr>
          <w:t>http://creativecommons.org/licenses/by/4.0/deed.en</w:t>
        </w:r>
      </w:hyperlink>
      <w:r>
        <w:rPr>
          <w:sz w:val="18"/>
        </w:rPr>
        <w:t xml:space="preserve"> </w:t>
      </w:r>
    </w:p>
    <w:p w14:paraId="7D6474FD" w14:textId="77777777" w:rsidR="00F00CEA" w:rsidRPr="0039469C" w:rsidRDefault="00F00CEA" w:rsidP="0035362A">
      <w:pPr>
        <w:rPr>
          <w:sz w:val="18"/>
        </w:rPr>
      </w:pP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Accessibility compliance in procurement: Ensuring accessibility for people with disability</w:t>
      </w:r>
      <w:r w:rsidR="00A02E75">
        <w:rPr>
          <w:sz w:val="18"/>
        </w:rPr>
        <w:t xml:space="preserve"> guide</w:t>
      </w:r>
      <w:r w:rsidRPr="0039469C">
        <w:rPr>
          <w:sz w:val="18"/>
        </w:rPr>
        <w:t xml:space="preserve">, State of Queensland (Department of Housing and Public Works) </w:t>
      </w:r>
      <w:r>
        <w:rPr>
          <w:sz w:val="18"/>
        </w:rPr>
        <w:t>2025</w:t>
      </w:r>
      <w:r w:rsidRPr="0039469C">
        <w:rPr>
          <w:sz w:val="18"/>
        </w:rPr>
        <w:t xml:space="preserve">’. </w:t>
      </w:r>
    </w:p>
    <w:p w14:paraId="11E90BF1" w14:textId="77777777" w:rsidR="00F00CEA" w:rsidRPr="0039469C" w:rsidRDefault="00F00CEA" w:rsidP="0035362A">
      <w:pPr>
        <w:rPr>
          <w:b/>
          <w:sz w:val="18"/>
        </w:rPr>
      </w:pPr>
      <w:r w:rsidRPr="0039469C">
        <w:rPr>
          <w:b/>
          <w:sz w:val="18"/>
        </w:rPr>
        <w:t xml:space="preserve">Contact us </w:t>
      </w:r>
    </w:p>
    <w:p w14:paraId="347BE41C" w14:textId="77777777" w:rsidR="00F00CEA" w:rsidRPr="0039469C" w:rsidRDefault="00F00CEA" w:rsidP="0035362A">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3" w:history="1">
        <w:r w:rsidRPr="00391D13">
          <w:rPr>
            <w:rStyle w:val="Hyperlink"/>
            <w:sz w:val="18"/>
          </w:rPr>
          <w:t>betterprocurement@hpw.qld.gov.au</w:t>
        </w:r>
      </w:hyperlink>
      <w:r w:rsidRPr="0039469C">
        <w:rPr>
          <w:sz w:val="18"/>
        </w:rPr>
        <w:t xml:space="preserve">. </w:t>
      </w:r>
    </w:p>
    <w:p w14:paraId="0FEACB8F" w14:textId="77777777" w:rsidR="00F00CEA" w:rsidRPr="0039469C" w:rsidRDefault="00F00CEA" w:rsidP="0035362A">
      <w:pPr>
        <w:rPr>
          <w:b/>
          <w:sz w:val="18"/>
        </w:rPr>
      </w:pPr>
      <w:r w:rsidRPr="0039469C">
        <w:rPr>
          <w:b/>
          <w:sz w:val="18"/>
        </w:rPr>
        <w:t xml:space="preserve">Disclaimer </w:t>
      </w:r>
    </w:p>
    <w:p w14:paraId="3D8FE811" w14:textId="77777777" w:rsidR="00F00CEA" w:rsidRPr="0039469C" w:rsidRDefault="00F00CEA" w:rsidP="0035362A">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54C6BA14" w14:textId="77777777" w:rsidR="00F00CEA" w:rsidRDefault="00F00CEA" w:rsidP="0035362A">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66DD6C4D" w14:textId="77777777" w:rsidR="00F00CEA" w:rsidRPr="002F660B" w:rsidRDefault="00F00CEA" w:rsidP="0035362A">
      <w:pPr>
        <w:rPr>
          <w:b/>
          <w:bCs/>
          <w:sz w:val="18"/>
        </w:rPr>
      </w:pPr>
      <w:r w:rsidRPr="002F660B">
        <w:rPr>
          <w:b/>
          <w:bCs/>
          <w:sz w:val="18"/>
        </w:rPr>
        <w:t>Administration</w:t>
      </w:r>
    </w:p>
    <w:p w14:paraId="5790BA69" w14:textId="77777777" w:rsidR="00500414" w:rsidRDefault="00F00CEA" w:rsidP="0035362A">
      <w:pPr>
        <w:rPr>
          <w:sz w:val="18"/>
        </w:rPr>
      </w:pPr>
      <w:r>
        <w:rPr>
          <w:sz w:val="18"/>
        </w:rPr>
        <w:t>Version 1.</w:t>
      </w:r>
      <w:r w:rsidR="006B4D4F">
        <w:rPr>
          <w:sz w:val="18"/>
        </w:rPr>
        <w:t>2</w:t>
      </w:r>
      <w:r>
        <w:rPr>
          <w:sz w:val="18"/>
        </w:rPr>
        <w:t xml:space="preserve"> of this document replaces all previous versions of this document and takes effect immediately.</w:t>
      </w:r>
    </w:p>
    <w:p w14:paraId="664C3252" w14:textId="77777777" w:rsidR="00500414" w:rsidRDefault="00500414">
      <w:pPr>
        <w:spacing w:line="259" w:lineRule="auto"/>
        <w:rPr>
          <w:sz w:val="18"/>
        </w:rPr>
      </w:pPr>
      <w:r>
        <w:rPr>
          <w:sz w:val="18"/>
        </w:rPr>
        <w:br w:type="page"/>
      </w:r>
    </w:p>
    <w:sdt>
      <w:sdtPr>
        <w:rPr>
          <w:rFonts w:ascii="Arial" w:eastAsiaTheme="minorEastAsia" w:hAnsi="Arial" w:cstheme="minorBidi"/>
          <w:color w:val="auto"/>
          <w:sz w:val="20"/>
          <w:szCs w:val="20"/>
          <w:lang w:val="en-AU"/>
        </w:rPr>
        <w:id w:val="887770077"/>
        <w:docPartObj>
          <w:docPartGallery w:val="Table of Contents"/>
          <w:docPartUnique/>
        </w:docPartObj>
      </w:sdtPr>
      <w:sdtEndPr>
        <w:rPr>
          <w:b/>
          <w:bCs/>
          <w:noProof/>
        </w:rPr>
      </w:sdtEndPr>
      <w:sdtContent>
        <w:p w14:paraId="14336E60" w14:textId="77777777" w:rsidR="00500414" w:rsidRPr="00500414" w:rsidRDefault="00500414">
          <w:pPr>
            <w:pStyle w:val="TOCHeading"/>
            <w:rPr>
              <w:rStyle w:val="Heading1Char"/>
            </w:rPr>
          </w:pPr>
          <w:r w:rsidRPr="00500414">
            <w:rPr>
              <w:rStyle w:val="Heading1Char"/>
            </w:rPr>
            <w:t>Table of Contents</w:t>
          </w:r>
        </w:p>
        <w:p w14:paraId="141E12A6" w14:textId="3C233715" w:rsidR="00364246" w:rsidRDefault="00364246">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"1-2" \h \z \u </w:instrText>
          </w:r>
          <w:r>
            <w:fldChar w:fldCharType="separate"/>
          </w:r>
          <w:hyperlink w:anchor="_Toc207030954" w:history="1">
            <w:r w:rsidRPr="000D1A6D">
              <w:rPr>
                <w:rStyle w:val="Hyperlink"/>
                <w:noProof/>
              </w:rPr>
              <w:t>Introduction</w:t>
            </w:r>
            <w:r>
              <w:rPr>
                <w:noProof/>
                <w:webHidden/>
              </w:rPr>
              <w:tab/>
            </w:r>
            <w:r>
              <w:rPr>
                <w:noProof/>
                <w:webHidden/>
              </w:rPr>
              <w:fldChar w:fldCharType="begin"/>
            </w:r>
            <w:r>
              <w:rPr>
                <w:noProof/>
                <w:webHidden/>
              </w:rPr>
              <w:instrText xml:space="preserve"> PAGEREF _Toc207030954 \h </w:instrText>
            </w:r>
            <w:r>
              <w:rPr>
                <w:noProof/>
                <w:webHidden/>
              </w:rPr>
            </w:r>
            <w:r>
              <w:rPr>
                <w:noProof/>
                <w:webHidden/>
              </w:rPr>
              <w:fldChar w:fldCharType="separate"/>
            </w:r>
            <w:r w:rsidR="00AC030A">
              <w:rPr>
                <w:noProof/>
                <w:webHidden/>
              </w:rPr>
              <w:t>4</w:t>
            </w:r>
            <w:r>
              <w:rPr>
                <w:noProof/>
                <w:webHidden/>
              </w:rPr>
              <w:fldChar w:fldCharType="end"/>
            </w:r>
          </w:hyperlink>
        </w:p>
        <w:p w14:paraId="60BE1F81" w14:textId="11D7C6F0" w:rsidR="00364246" w:rsidRDefault="00364246">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030955" w:history="1">
            <w:r w:rsidRPr="000D1A6D">
              <w:rPr>
                <w:rStyle w:val="Hyperlink"/>
                <w:noProof/>
              </w:rPr>
              <w:t>Why is accessibility important?</w:t>
            </w:r>
            <w:r>
              <w:rPr>
                <w:noProof/>
                <w:webHidden/>
              </w:rPr>
              <w:tab/>
            </w:r>
            <w:r>
              <w:rPr>
                <w:noProof/>
                <w:webHidden/>
              </w:rPr>
              <w:fldChar w:fldCharType="begin"/>
            </w:r>
            <w:r>
              <w:rPr>
                <w:noProof/>
                <w:webHidden/>
              </w:rPr>
              <w:instrText xml:space="preserve"> PAGEREF _Toc207030955 \h </w:instrText>
            </w:r>
            <w:r>
              <w:rPr>
                <w:noProof/>
                <w:webHidden/>
              </w:rPr>
            </w:r>
            <w:r>
              <w:rPr>
                <w:noProof/>
                <w:webHidden/>
              </w:rPr>
              <w:fldChar w:fldCharType="separate"/>
            </w:r>
            <w:r w:rsidR="00AC030A">
              <w:rPr>
                <w:noProof/>
                <w:webHidden/>
              </w:rPr>
              <w:t>4</w:t>
            </w:r>
            <w:r>
              <w:rPr>
                <w:noProof/>
                <w:webHidden/>
              </w:rPr>
              <w:fldChar w:fldCharType="end"/>
            </w:r>
          </w:hyperlink>
        </w:p>
        <w:p w14:paraId="78CB705A" w14:textId="40AB0C48" w:rsidR="00364246" w:rsidRDefault="00364246">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030956" w:history="1">
            <w:r w:rsidRPr="000D1A6D">
              <w:rPr>
                <w:rStyle w:val="Hyperlink"/>
                <w:noProof/>
              </w:rPr>
              <w:t>What is disability discrimination?</w:t>
            </w:r>
            <w:r>
              <w:rPr>
                <w:noProof/>
                <w:webHidden/>
              </w:rPr>
              <w:tab/>
            </w:r>
            <w:r>
              <w:rPr>
                <w:noProof/>
                <w:webHidden/>
              </w:rPr>
              <w:fldChar w:fldCharType="begin"/>
            </w:r>
            <w:r>
              <w:rPr>
                <w:noProof/>
                <w:webHidden/>
              </w:rPr>
              <w:instrText xml:space="preserve"> PAGEREF _Toc207030956 \h </w:instrText>
            </w:r>
            <w:r>
              <w:rPr>
                <w:noProof/>
                <w:webHidden/>
              </w:rPr>
            </w:r>
            <w:r>
              <w:rPr>
                <w:noProof/>
                <w:webHidden/>
              </w:rPr>
              <w:fldChar w:fldCharType="separate"/>
            </w:r>
            <w:r w:rsidR="00AC030A">
              <w:rPr>
                <w:noProof/>
                <w:webHidden/>
              </w:rPr>
              <w:t>4</w:t>
            </w:r>
            <w:r>
              <w:rPr>
                <w:noProof/>
                <w:webHidden/>
              </w:rPr>
              <w:fldChar w:fldCharType="end"/>
            </w:r>
          </w:hyperlink>
        </w:p>
        <w:p w14:paraId="2FA21A64" w14:textId="75C21B36" w:rsidR="00364246" w:rsidRDefault="00364246">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030957" w:history="1">
            <w:r w:rsidRPr="000D1A6D">
              <w:rPr>
                <w:rStyle w:val="Hyperlink"/>
                <w:noProof/>
              </w:rPr>
              <w:t>Your agency’s obligations</w:t>
            </w:r>
            <w:r>
              <w:rPr>
                <w:noProof/>
                <w:webHidden/>
              </w:rPr>
              <w:tab/>
            </w:r>
            <w:r>
              <w:rPr>
                <w:noProof/>
                <w:webHidden/>
              </w:rPr>
              <w:fldChar w:fldCharType="begin"/>
            </w:r>
            <w:r>
              <w:rPr>
                <w:noProof/>
                <w:webHidden/>
              </w:rPr>
              <w:instrText xml:space="preserve"> PAGEREF _Toc207030957 \h </w:instrText>
            </w:r>
            <w:r>
              <w:rPr>
                <w:noProof/>
                <w:webHidden/>
              </w:rPr>
            </w:r>
            <w:r>
              <w:rPr>
                <w:noProof/>
                <w:webHidden/>
              </w:rPr>
              <w:fldChar w:fldCharType="separate"/>
            </w:r>
            <w:r w:rsidR="00AC030A">
              <w:rPr>
                <w:noProof/>
                <w:webHidden/>
              </w:rPr>
              <w:t>5</w:t>
            </w:r>
            <w:r>
              <w:rPr>
                <w:noProof/>
                <w:webHidden/>
              </w:rPr>
              <w:fldChar w:fldCharType="end"/>
            </w:r>
          </w:hyperlink>
        </w:p>
        <w:p w14:paraId="78DB452B" w14:textId="7CC0CA95" w:rsidR="00364246" w:rsidRDefault="00364246">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7030958" w:history="1">
            <w:r w:rsidRPr="000D1A6D">
              <w:rPr>
                <w:rStyle w:val="Hyperlink"/>
                <w:noProof/>
              </w:rPr>
              <w:t>Integrating accessibility requirements into procurement</w:t>
            </w:r>
            <w:r>
              <w:rPr>
                <w:noProof/>
                <w:webHidden/>
              </w:rPr>
              <w:tab/>
            </w:r>
            <w:r>
              <w:rPr>
                <w:noProof/>
                <w:webHidden/>
              </w:rPr>
              <w:fldChar w:fldCharType="begin"/>
            </w:r>
            <w:r>
              <w:rPr>
                <w:noProof/>
                <w:webHidden/>
              </w:rPr>
              <w:instrText xml:space="preserve"> PAGEREF _Toc207030958 \h </w:instrText>
            </w:r>
            <w:r>
              <w:rPr>
                <w:noProof/>
                <w:webHidden/>
              </w:rPr>
            </w:r>
            <w:r>
              <w:rPr>
                <w:noProof/>
                <w:webHidden/>
              </w:rPr>
              <w:fldChar w:fldCharType="separate"/>
            </w:r>
            <w:r w:rsidR="00AC030A">
              <w:rPr>
                <w:noProof/>
                <w:webHidden/>
              </w:rPr>
              <w:t>5</w:t>
            </w:r>
            <w:r>
              <w:rPr>
                <w:noProof/>
                <w:webHidden/>
              </w:rPr>
              <w:fldChar w:fldCharType="end"/>
            </w:r>
          </w:hyperlink>
        </w:p>
        <w:p w14:paraId="0EF97078" w14:textId="33E4CCD5" w:rsidR="00364246" w:rsidRDefault="00364246">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030959" w:history="1">
            <w:r w:rsidRPr="000D1A6D">
              <w:rPr>
                <w:rStyle w:val="Hyperlink"/>
                <w:noProof/>
              </w:rPr>
              <w:t>Accessibility principles</w:t>
            </w:r>
            <w:r>
              <w:rPr>
                <w:noProof/>
                <w:webHidden/>
              </w:rPr>
              <w:tab/>
            </w:r>
            <w:r>
              <w:rPr>
                <w:noProof/>
                <w:webHidden/>
              </w:rPr>
              <w:fldChar w:fldCharType="begin"/>
            </w:r>
            <w:r>
              <w:rPr>
                <w:noProof/>
                <w:webHidden/>
              </w:rPr>
              <w:instrText xml:space="preserve"> PAGEREF _Toc207030959 \h </w:instrText>
            </w:r>
            <w:r>
              <w:rPr>
                <w:noProof/>
                <w:webHidden/>
              </w:rPr>
            </w:r>
            <w:r>
              <w:rPr>
                <w:noProof/>
                <w:webHidden/>
              </w:rPr>
              <w:fldChar w:fldCharType="separate"/>
            </w:r>
            <w:r w:rsidR="00AC030A">
              <w:rPr>
                <w:noProof/>
                <w:webHidden/>
              </w:rPr>
              <w:t>5</w:t>
            </w:r>
            <w:r>
              <w:rPr>
                <w:noProof/>
                <w:webHidden/>
              </w:rPr>
              <w:fldChar w:fldCharType="end"/>
            </w:r>
          </w:hyperlink>
        </w:p>
        <w:p w14:paraId="125C6A29" w14:textId="79BAB6D6" w:rsidR="00364246" w:rsidRDefault="00364246">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030960" w:history="1">
            <w:r w:rsidRPr="000D1A6D">
              <w:rPr>
                <w:rStyle w:val="Hyperlink"/>
                <w:noProof/>
              </w:rPr>
              <w:t>Applying an integrated approach to your procurement</w:t>
            </w:r>
            <w:r>
              <w:rPr>
                <w:noProof/>
                <w:webHidden/>
              </w:rPr>
              <w:tab/>
            </w:r>
            <w:r>
              <w:rPr>
                <w:noProof/>
                <w:webHidden/>
              </w:rPr>
              <w:fldChar w:fldCharType="begin"/>
            </w:r>
            <w:r>
              <w:rPr>
                <w:noProof/>
                <w:webHidden/>
              </w:rPr>
              <w:instrText xml:space="preserve"> PAGEREF _Toc207030960 \h </w:instrText>
            </w:r>
            <w:r>
              <w:rPr>
                <w:noProof/>
                <w:webHidden/>
              </w:rPr>
            </w:r>
            <w:r>
              <w:rPr>
                <w:noProof/>
                <w:webHidden/>
              </w:rPr>
              <w:fldChar w:fldCharType="separate"/>
            </w:r>
            <w:r w:rsidR="00AC030A">
              <w:rPr>
                <w:noProof/>
                <w:webHidden/>
              </w:rPr>
              <w:t>6</w:t>
            </w:r>
            <w:r>
              <w:rPr>
                <w:noProof/>
                <w:webHidden/>
              </w:rPr>
              <w:fldChar w:fldCharType="end"/>
            </w:r>
          </w:hyperlink>
        </w:p>
        <w:p w14:paraId="7E617411" w14:textId="5F977979" w:rsidR="00364246" w:rsidRDefault="00364246">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030961" w:history="1">
            <w:r w:rsidRPr="000D1A6D">
              <w:rPr>
                <w:rStyle w:val="Hyperlink"/>
                <w:noProof/>
              </w:rPr>
              <w:t>Areas to go for specialist advice</w:t>
            </w:r>
            <w:r>
              <w:rPr>
                <w:noProof/>
                <w:webHidden/>
              </w:rPr>
              <w:tab/>
            </w:r>
            <w:r>
              <w:rPr>
                <w:noProof/>
                <w:webHidden/>
              </w:rPr>
              <w:fldChar w:fldCharType="begin"/>
            </w:r>
            <w:r>
              <w:rPr>
                <w:noProof/>
                <w:webHidden/>
              </w:rPr>
              <w:instrText xml:space="preserve"> PAGEREF _Toc207030961 \h </w:instrText>
            </w:r>
            <w:r>
              <w:rPr>
                <w:noProof/>
                <w:webHidden/>
              </w:rPr>
            </w:r>
            <w:r>
              <w:rPr>
                <w:noProof/>
                <w:webHidden/>
              </w:rPr>
              <w:fldChar w:fldCharType="separate"/>
            </w:r>
            <w:r w:rsidR="00AC030A">
              <w:rPr>
                <w:noProof/>
                <w:webHidden/>
              </w:rPr>
              <w:t>8</w:t>
            </w:r>
            <w:r>
              <w:rPr>
                <w:noProof/>
                <w:webHidden/>
              </w:rPr>
              <w:fldChar w:fldCharType="end"/>
            </w:r>
          </w:hyperlink>
        </w:p>
        <w:p w14:paraId="7BAEB3D2" w14:textId="38B7EADC" w:rsidR="00364246" w:rsidRDefault="00364246">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7030962" w:history="1">
            <w:r w:rsidRPr="000D1A6D">
              <w:rPr>
                <w:rStyle w:val="Hyperlink"/>
                <w:noProof/>
              </w:rPr>
              <w:t>Consequences for non-compliance</w:t>
            </w:r>
            <w:r>
              <w:rPr>
                <w:noProof/>
                <w:webHidden/>
              </w:rPr>
              <w:tab/>
            </w:r>
            <w:r>
              <w:rPr>
                <w:noProof/>
                <w:webHidden/>
              </w:rPr>
              <w:fldChar w:fldCharType="begin"/>
            </w:r>
            <w:r>
              <w:rPr>
                <w:noProof/>
                <w:webHidden/>
              </w:rPr>
              <w:instrText xml:space="preserve"> PAGEREF _Toc207030962 \h </w:instrText>
            </w:r>
            <w:r>
              <w:rPr>
                <w:noProof/>
                <w:webHidden/>
              </w:rPr>
            </w:r>
            <w:r>
              <w:rPr>
                <w:noProof/>
                <w:webHidden/>
              </w:rPr>
              <w:fldChar w:fldCharType="separate"/>
            </w:r>
            <w:r w:rsidR="00AC030A">
              <w:rPr>
                <w:noProof/>
                <w:webHidden/>
              </w:rPr>
              <w:t>9</w:t>
            </w:r>
            <w:r>
              <w:rPr>
                <w:noProof/>
                <w:webHidden/>
              </w:rPr>
              <w:fldChar w:fldCharType="end"/>
            </w:r>
          </w:hyperlink>
        </w:p>
        <w:p w14:paraId="78358508" w14:textId="2B8DED94" w:rsidR="00364246" w:rsidRDefault="00364246">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030963" w:history="1">
            <w:r w:rsidRPr="000D1A6D">
              <w:rPr>
                <w:rStyle w:val="Hyperlink"/>
                <w:noProof/>
              </w:rPr>
              <w:t>Examples of issues raised in complaints</w:t>
            </w:r>
            <w:r>
              <w:rPr>
                <w:noProof/>
                <w:webHidden/>
              </w:rPr>
              <w:tab/>
            </w:r>
            <w:r>
              <w:rPr>
                <w:noProof/>
                <w:webHidden/>
              </w:rPr>
              <w:fldChar w:fldCharType="begin"/>
            </w:r>
            <w:r>
              <w:rPr>
                <w:noProof/>
                <w:webHidden/>
              </w:rPr>
              <w:instrText xml:space="preserve"> PAGEREF _Toc207030963 \h </w:instrText>
            </w:r>
            <w:r>
              <w:rPr>
                <w:noProof/>
                <w:webHidden/>
              </w:rPr>
            </w:r>
            <w:r>
              <w:rPr>
                <w:noProof/>
                <w:webHidden/>
              </w:rPr>
              <w:fldChar w:fldCharType="separate"/>
            </w:r>
            <w:r w:rsidR="00AC030A">
              <w:rPr>
                <w:noProof/>
                <w:webHidden/>
              </w:rPr>
              <w:t>10</w:t>
            </w:r>
            <w:r>
              <w:rPr>
                <w:noProof/>
                <w:webHidden/>
              </w:rPr>
              <w:fldChar w:fldCharType="end"/>
            </w:r>
          </w:hyperlink>
        </w:p>
        <w:p w14:paraId="383D8CF3" w14:textId="7347D169" w:rsidR="00364246" w:rsidRDefault="00364246">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7030964" w:history="1">
            <w:r w:rsidRPr="000D1A6D">
              <w:rPr>
                <w:rStyle w:val="Hyperlink"/>
                <w:noProof/>
              </w:rPr>
              <w:t>Building capability</w:t>
            </w:r>
            <w:r>
              <w:rPr>
                <w:noProof/>
                <w:webHidden/>
              </w:rPr>
              <w:tab/>
            </w:r>
            <w:r>
              <w:rPr>
                <w:noProof/>
                <w:webHidden/>
              </w:rPr>
              <w:fldChar w:fldCharType="begin"/>
            </w:r>
            <w:r>
              <w:rPr>
                <w:noProof/>
                <w:webHidden/>
              </w:rPr>
              <w:instrText xml:space="preserve"> PAGEREF _Toc207030964 \h </w:instrText>
            </w:r>
            <w:r>
              <w:rPr>
                <w:noProof/>
                <w:webHidden/>
              </w:rPr>
            </w:r>
            <w:r>
              <w:rPr>
                <w:noProof/>
                <w:webHidden/>
              </w:rPr>
              <w:fldChar w:fldCharType="separate"/>
            </w:r>
            <w:r w:rsidR="00AC030A">
              <w:rPr>
                <w:noProof/>
                <w:webHidden/>
              </w:rPr>
              <w:t>11</w:t>
            </w:r>
            <w:r>
              <w:rPr>
                <w:noProof/>
                <w:webHidden/>
              </w:rPr>
              <w:fldChar w:fldCharType="end"/>
            </w:r>
          </w:hyperlink>
        </w:p>
        <w:p w14:paraId="2C5528A9" w14:textId="2C3A3A16" w:rsidR="00364246" w:rsidRDefault="00364246">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030965" w:history="1">
            <w:r w:rsidRPr="000D1A6D">
              <w:rPr>
                <w:rStyle w:val="Hyperlink"/>
                <w:noProof/>
              </w:rPr>
              <w:t>Professionals in procurement</w:t>
            </w:r>
            <w:r>
              <w:rPr>
                <w:noProof/>
                <w:webHidden/>
              </w:rPr>
              <w:tab/>
            </w:r>
            <w:r>
              <w:rPr>
                <w:noProof/>
                <w:webHidden/>
              </w:rPr>
              <w:fldChar w:fldCharType="begin"/>
            </w:r>
            <w:r>
              <w:rPr>
                <w:noProof/>
                <w:webHidden/>
              </w:rPr>
              <w:instrText xml:space="preserve"> PAGEREF _Toc207030965 \h </w:instrText>
            </w:r>
            <w:r>
              <w:rPr>
                <w:noProof/>
                <w:webHidden/>
              </w:rPr>
            </w:r>
            <w:r>
              <w:rPr>
                <w:noProof/>
                <w:webHidden/>
              </w:rPr>
              <w:fldChar w:fldCharType="separate"/>
            </w:r>
            <w:r w:rsidR="00AC030A">
              <w:rPr>
                <w:noProof/>
                <w:webHidden/>
              </w:rPr>
              <w:t>11</w:t>
            </w:r>
            <w:r>
              <w:rPr>
                <w:noProof/>
                <w:webHidden/>
              </w:rPr>
              <w:fldChar w:fldCharType="end"/>
            </w:r>
          </w:hyperlink>
        </w:p>
        <w:p w14:paraId="5A05A1D3" w14:textId="4F7F75AA" w:rsidR="00364246" w:rsidRDefault="00364246">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030966" w:history="1">
            <w:r w:rsidRPr="000D1A6D">
              <w:rPr>
                <w:rStyle w:val="Hyperlink"/>
                <w:noProof/>
              </w:rPr>
              <w:t>Understanding inclusion</w:t>
            </w:r>
            <w:r>
              <w:rPr>
                <w:noProof/>
                <w:webHidden/>
              </w:rPr>
              <w:tab/>
            </w:r>
            <w:r>
              <w:rPr>
                <w:noProof/>
                <w:webHidden/>
              </w:rPr>
              <w:fldChar w:fldCharType="begin"/>
            </w:r>
            <w:r>
              <w:rPr>
                <w:noProof/>
                <w:webHidden/>
              </w:rPr>
              <w:instrText xml:space="preserve"> PAGEREF _Toc207030966 \h </w:instrText>
            </w:r>
            <w:r>
              <w:rPr>
                <w:noProof/>
                <w:webHidden/>
              </w:rPr>
            </w:r>
            <w:r>
              <w:rPr>
                <w:noProof/>
                <w:webHidden/>
              </w:rPr>
              <w:fldChar w:fldCharType="separate"/>
            </w:r>
            <w:r w:rsidR="00AC030A">
              <w:rPr>
                <w:noProof/>
                <w:webHidden/>
              </w:rPr>
              <w:t>11</w:t>
            </w:r>
            <w:r>
              <w:rPr>
                <w:noProof/>
                <w:webHidden/>
              </w:rPr>
              <w:fldChar w:fldCharType="end"/>
            </w:r>
          </w:hyperlink>
        </w:p>
        <w:p w14:paraId="251E11F7" w14:textId="7B36FC53" w:rsidR="00364246" w:rsidRDefault="00364246">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7030967" w:history="1">
            <w:r w:rsidRPr="000D1A6D">
              <w:rPr>
                <w:rStyle w:val="Hyperlink"/>
                <w:noProof/>
              </w:rPr>
              <w:t>Appendix 1: Disability sector organisations</w:t>
            </w:r>
            <w:r>
              <w:rPr>
                <w:noProof/>
                <w:webHidden/>
              </w:rPr>
              <w:tab/>
            </w:r>
            <w:r>
              <w:rPr>
                <w:noProof/>
                <w:webHidden/>
              </w:rPr>
              <w:fldChar w:fldCharType="begin"/>
            </w:r>
            <w:r>
              <w:rPr>
                <w:noProof/>
                <w:webHidden/>
              </w:rPr>
              <w:instrText xml:space="preserve"> PAGEREF _Toc207030967 \h </w:instrText>
            </w:r>
            <w:r>
              <w:rPr>
                <w:noProof/>
                <w:webHidden/>
              </w:rPr>
            </w:r>
            <w:r>
              <w:rPr>
                <w:noProof/>
                <w:webHidden/>
              </w:rPr>
              <w:fldChar w:fldCharType="separate"/>
            </w:r>
            <w:r w:rsidR="00AC030A">
              <w:rPr>
                <w:noProof/>
                <w:webHidden/>
              </w:rPr>
              <w:t>12</w:t>
            </w:r>
            <w:r>
              <w:rPr>
                <w:noProof/>
                <w:webHidden/>
              </w:rPr>
              <w:fldChar w:fldCharType="end"/>
            </w:r>
          </w:hyperlink>
        </w:p>
        <w:p w14:paraId="0DA4034E" w14:textId="123337C6" w:rsidR="00364246" w:rsidRDefault="00364246">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7030968" w:history="1">
            <w:r w:rsidRPr="000D1A6D">
              <w:rPr>
                <w:rStyle w:val="Hyperlink"/>
                <w:noProof/>
              </w:rPr>
              <w:t>Appendix 2: Disability awareness and accessibility resources</w:t>
            </w:r>
            <w:r>
              <w:rPr>
                <w:noProof/>
                <w:webHidden/>
              </w:rPr>
              <w:tab/>
            </w:r>
            <w:r>
              <w:rPr>
                <w:noProof/>
                <w:webHidden/>
              </w:rPr>
              <w:fldChar w:fldCharType="begin"/>
            </w:r>
            <w:r>
              <w:rPr>
                <w:noProof/>
                <w:webHidden/>
              </w:rPr>
              <w:instrText xml:space="preserve"> PAGEREF _Toc207030968 \h </w:instrText>
            </w:r>
            <w:r>
              <w:rPr>
                <w:noProof/>
                <w:webHidden/>
              </w:rPr>
            </w:r>
            <w:r>
              <w:rPr>
                <w:noProof/>
                <w:webHidden/>
              </w:rPr>
              <w:fldChar w:fldCharType="separate"/>
            </w:r>
            <w:r w:rsidR="00AC030A">
              <w:rPr>
                <w:noProof/>
                <w:webHidden/>
              </w:rPr>
              <w:t>14</w:t>
            </w:r>
            <w:r>
              <w:rPr>
                <w:noProof/>
                <w:webHidden/>
              </w:rPr>
              <w:fldChar w:fldCharType="end"/>
            </w:r>
          </w:hyperlink>
        </w:p>
        <w:p w14:paraId="681F8141" w14:textId="5A16B3DD" w:rsidR="00500414" w:rsidRDefault="00364246">
          <w:r>
            <w:fldChar w:fldCharType="end"/>
          </w:r>
        </w:p>
      </w:sdtContent>
    </w:sdt>
    <w:p w14:paraId="1BAE841D" w14:textId="77777777" w:rsidR="00F00CEA" w:rsidRDefault="00F00CEA" w:rsidP="0035362A">
      <w:pPr>
        <w:rPr>
          <w:sz w:val="18"/>
        </w:rPr>
      </w:pPr>
    </w:p>
    <w:p w14:paraId="110F1CC9" w14:textId="77777777" w:rsidR="00011F44" w:rsidRDefault="00011F44">
      <w:pPr>
        <w:spacing w:line="259" w:lineRule="auto"/>
        <w:rPr>
          <w:rFonts w:ascii="Arial Nova Light" w:eastAsiaTheme="majorEastAsia" w:hAnsi="Arial Nova Light" w:cstheme="majorBidi"/>
          <w:color w:val="09549F"/>
          <w:sz w:val="36"/>
          <w:szCs w:val="32"/>
        </w:rPr>
      </w:pPr>
      <w:bookmarkStart w:id="1" w:name="_Toc196742883"/>
      <w:bookmarkStart w:id="2" w:name="_Hlk4683078"/>
      <w:r>
        <w:br w:type="page"/>
      </w:r>
    </w:p>
    <w:p w14:paraId="0BD0131B" w14:textId="77777777" w:rsidR="00F00CEA" w:rsidRDefault="00F00CEA" w:rsidP="00217D4E">
      <w:pPr>
        <w:pStyle w:val="Heading1"/>
      </w:pPr>
      <w:bookmarkStart w:id="3" w:name="_Toc207030954"/>
      <w:r>
        <w:lastRenderedPageBreak/>
        <w:t>Introduction</w:t>
      </w:r>
      <w:bookmarkEnd w:id="1"/>
      <w:bookmarkEnd w:id="3"/>
    </w:p>
    <w:p w14:paraId="48799C3E" w14:textId="77777777" w:rsidR="00F00CEA" w:rsidRDefault="00F00CEA" w:rsidP="00217D4E">
      <w:pPr>
        <w:rPr>
          <w:lang w:eastAsia="en-AU"/>
        </w:rPr>
      </w:pPr>
      <w:r>
        <w:rPr>
          <w:lang w:eastAsia="en-AU"/>
        </w:rPr>
        <w:t xml:space="preserve">The </w:t>
      </w:r>
      <w:r w:rsidR="00FA4073">
        <w:rPr>
          <w:i/>
          <w:iCs/>
          <w:lang w:eastAsia="en-AU"/>
        </w:rPr>
        <w:t>Accessibility compliance in procurement: Ensuring accessibility for people with disability guide</w:t>
      </w:r>
      <w:r w:rsidR="00FA4073">
        <w:rPr>
          <w:lang w:eastAsia="en-AU"/>
        </w:rPr>
        <w:t xml:space="preserve"> aims</w:t>
      </w:r>
      <w:r>
        <w:rPr>
          <w:lang w:eastAsia="en-AU"/>
        </w:rPr>
        <w:t xml:space="preserve"> to assist Queensland Government agencies understand and implement their obligations under the </w:t>
      </w:r>
      <w:r w:rsidRPr="0052116B">
        <w:rPr>
          <w:i/>
          <w:lang w:eastAsia="en-AU"/>
        </w:rPr>
        <w:t>Disability Discrimination Act 1992</w:t>
      </w:r>
      <w:r>
        <w:rPr>
          <w:lang w:eastAsia="en-AU"/>
        </w:rPr>
        <w:t xml:space="preserve"> (</w:t>
      </w:r>
      <w:proofErr w:type="spellStart"/>
      <w:r>
        <w:rPr>
          <w:lang w:eastAsia="en-AU"/>
        </w:rPr>
        <w:t>Cth</w:t>
      </w:r>
      <w:proofErr w:type="spellEnd"/>
      <w:r>
        <w:rPr>
          <w:lang w:eastAsia="en-AU"/>
        </w:rPr>
        <w:t>) (</w:t>
      </w:r>
      <w:r w:rsidR="00F63324">
        <w:rPr>
          <w:lang w:eastAsia="en-AU"/>
        </w:rPr>
        <w:t xml:space="preserve">the </w:t>
      </w:r>
      <w:r>
        <w:rPr>
          <w:lang w:eastAsia="en-AU"/>
        </w:rPr>
        <w:t xml:space="preserve">DDA) and take responsibility for being inclusive of all abilities when designing, planning and delivering procurement outcomes.  </w:t>
      </w:r>
    </w:p>
    <w:p w14:paraId="7C6BE185" w14:textId="77777777" w:rsidR="00F00CEA" w:rsidRDefault="00F00CEA" w:rsidP="005E275B">
      <w:pPr>
        <w:rPr>
          <w:lang w:eastAsia="en-AU"/>
        </w:rPr>
      </w:pPr>
      <w:r>
        <w:rPr>
          <w:lang w:eastAsia="en-AU"/>
        </w:rPr>
        <w:t xml:space="preserve">The Queensland Government is committed to undertake procurement with integrity, ensuring probity and accountability for outcomes. </w:t>
      </w:r>
    </w:p>
    <w:p w14:paraId="51B793D7" w14:textId="77777777" w:rsidR="00F00CEA" w:rsidRDefault="00F00CEA" w:rsidP="00217D4E">
      <w:pPr>
        <w:rPr>
          <w:lang w:eastAsia="en-AU"/>
        </w:rPr>
      </w:pPr>
      <w:r>
        <w:rPr>
          <w:lang w:eastAsia="en-AU"/>
        </w:rPr>
        <w:t xml:space="preserve">Australia’s legislative and policy frameworks promote the inclusion of people with disability and provides legal provision for protection from discrimination </w:t>
      </w:r>
      <w:proofErr w:type="gramStart"/>
      <w:r>
        <w:rPr>
          <w:lang w:eastAsia="en-AU"/>
        </w:rPr>
        <w:t>on the basis of</w:t>
      </w:r>
      <w:proofErr w:type="gramEnd"/>
      <w:r>
        <w:rPr>
          <w:lang w:eastAsia="en-AU"/>
        </w:rPr>
        <w:t xml:space="preserve"> disability.</w:t>
      </w:r>
    </w:p>
    <w:p w14:paraId="0AAF87EF" w14:textId="77777777" w:rsidR="00F00CEA" w:rsidRDefault="00F00CEA" w:rsidP="00217D4E">
      <w:pPr>
        <w:rPr>
          <w:lang w:eastAsia="en-AU"/>
        </w:rPr>
      </w:pPr>
      <w:r>
        <w:rPr>
          <w:lang w:eastAsia="en-AU"/>
        </w:rPr>
        <w:t>T</w:t>
      </w:r>
      <w:r w:rsidRPr="00D93D5F">
        <w:rPr>
          <w:lang w:eastAsia="en-AU"/>
        </w:rPr>
        <w:t>he DDA is</w:t>
      </w:r>
      <w:r>
        <w:rPr>
          <w:lang w:eastAsia="en-AU"/>
        </w:rPr>
        <w:t xml:space="preserve"> the key legislative instrument which supports the rights of people with disability to live without discrimination. It provides discrimination protection across all areas of public life, including employment, education, public access and health. </w:t>
      </w:r>
    </w:p>
    <w:p w14:paraId="0AFE93B9" w14:textId="77777777" w:rsidR="00B07633" w:rsidRPr="002F660B" w:rsidRDefault="005B6FB1" w:rsidP="002F660B">
      <w:pPr>
        <w:pStyle w:val="IntenseQuote"/>
        <w:jc w:val="left"/>
        <w:rPr>
          <w:szCs w:val="20"/>
          <w:lang w:eastAsia="en-AU"/>
        </w:rPr>
      </w:pPr>
      <w:r w:rsidRPr="002F660B">
        <w:rPr>
          <w:sz w:val="20"/>
          <w:szCs w:val="20"/>
          <w:lang w:eastAsia="en-AU"/>
        </w:rPr>
        <w:t xml:space="preserve">Refer to </w:t>
      </w:r>
      <w:hyperlink r:id="rId14" w:history="1">
        <w:r w:rsidRPr="002F660B">
          <w:rPr>
            <w:rStyle w:val="Hyperlink"/>
            <w:sz w:val="20"/>
            <w:szCs w:val="20"/>
            <w:lang w:eastAsia="en-AU"/>
          </w:rPr>
          <w:t>section 4(1) of the DDA</w:t>
        </w:r>
      </w:hyperlink>
      <w:r w:rsidRPr="002F660B">
        <w:rPr>
          <w:sz w:val="20"/>
          <w:szCs w:val="20"/>
          <w:lang w:eastAsia="en-AU"/>
        </w:rPr>
        <w:t xml:space="preserve"> for the definition of </w:t>
      </w:r>
      <w:r w:rsidR="00834AC8" w:rsidRPr="002F660B">
        <w:rPr>
          <w:sz w:val="20"/>
          <w:szCs w:val="20"/>
          <w:lang w:eastAsia="en-AU"/>
        </w:rPr>
        <w:t>‘</w:t>
      </w:r>
      <w:r w:rsidRPr="002F660B">
        <w:rPr>
          <w:sz w:val="20"/>
          <w:szCs w:val="20"/>
          <w:lang w:eastAsia="en-AU"/>
        </w:rPr>
        <w:t>disability</w:t>
      </w:r>
      <w:r w:rsidR="00834AC8" w:rsidRPr="002F660B">
        <w:rPr>
          <w:sz w:val="20"/>
          <w:szCs w:val="20"/>
          <w:lang w:eastAsia="en-AU"/>
        </w:rPr>
        <w:t>’</w:t>
      </w:r>
      <w:r w:rsidRPr="002F660B">
        <w:rPr>
          <w:sz w:val="20"/>
          <w:szCs w:val="20"/>
          <w:lang w:eastAsia="en-AU"/>
        </w:rPr>
        <w:t>.</w:t>
      </w:r>
    </w:p>
    <w:p w14:paraId="6375E703" w14:textId="77777777" w:rsidR="00F00CEA" w:rsidRDefault="00F00CEA" w:rsidP="00217D4E">
      <w:pPr>
        <w:rPr>
          <w:lang w:eastAsia="en-AU"/>
        </w:rPr>
      </w:pPr>
      <w:r>
        <w:rPr>
          <w:lang w:eastAsia="en-AU"/>
        </w:rPr>
        <w:t>Disability standards support the implementation of the DDA for education, premises (i.e. buildings) and public transport.</w:t>
      </w:r>
    </w:p>
    <w:p w14:paraId="3D2C50E1" w14:textId="77777777" w:rsidR="00F00CEA" w:rsidRDefault="00F00CEA" w:rsidP="006D317C">
      <w:pPr>
        <w:pStyle w:val="Heading2"/>
      </w:pPr>
      <w:bookmarkStart w:id="4" w:name="_Toc196742884"/>
      <w:bookmarkStart w:id="5" w:name="_Toc207030955"/>
      <w:r w:rsidRPr="00D43C7F">
        <w:t>Why is accessibility important?</w:t>
      </w:r>
      <w:bookmarkEnd w:id="4"/>
      <w:bookmarkEnd w:id="5"/>
    </w:p>
    <w:p w14:paraId="6827AC11" w14:textId="77777777" w:rsidR="009C7AB2" w:rsidRDefault="00F00CEA" w:rsidP="00217D4E">
      <w:pPr>
        <w:rPr>
          <w:lang w:eastAsia="en-AU"/>
        </w:rPr>
      </w:pPr>
      <w:r>
        <w:rPr>
          <w:lang w:eastAsia="en-AU"/>
        </w:rPr>
        <w:t xml:space="preserve">When we think about accessibility we are thinking about a large portion of our population who are directly or indirectly impacted by systems, processes and attitudes that affect their ability to participate fully in our community. </w:t>
      </w:r>
    </w:p>
    <w:p w14:paraId="5500EA55" w14:textId="77777777" w:rsidR="00F00CEA" w:rsidRPr="00EA5A99" w:rsidRDefault="009C7AB2" w:rsidP="006E051E">
      <w:pPr>
        <w:pStyle w:val="IntenseQuote"/>
        <w:jc w:val="left"/>
        <w:rPr>
          <w:sz w:val="20"/>
          <w:szCs w:val="20"/>
          <w:lang w:eastAsia="en-AU"/>
        </w:rPr>
      </w:pPr>
      <w:r w:rsidRPr="00EA5A99">
        <w:rPr>
          <w:sz w:val="20"/>
          <w:szCs w:val="20"/>
          <w:lang w:eastAsia="en-AU"/>
        </w:rPr>
        <w:t xml:space="preserve">According to the </w:t>
      </w:r>
      <w:hyperlink r:id="rId15" w:history="1">
        <w:r w:rsidRPr="00EA5A99">
          <w:rPr>
            <w:rStyle w:val="Hyperlink"/>
            <w:sz w:val="20"/>
            <w:szCs w:val="20"/>
            <w:lang w:eastAsia="en-AU"/>
          </w:rPr>
          <w:t>2022 Survey of Disability, Ageing and Carers</w:t>
        </w:r>
      </w:hyperlink>
      <w:r w:rsidR="00E42533" w:rsidRPr="00EA5A99">
        <w:rPr>
          <w:sz w:val="20"/>
          <w:szCs w:val="20"/>
          <w:lang w:eastAsia="en-AU"/>
        </w:rPr>
        <w:t xml:space="preserve"> [https://www.abs.gov.au/statistics/health/disability/disability-ageing-and-carers-australia-summary-findings/latest-release]</w:t>
      </w:r>
      <w:r w:rsidRPr="00EA5A99">
        <w:rPr>
          <w:sz w:val="20"/>
          <w:szCs w:val="20"/>
          <w:lang w:eastAsia="en-AU"/>
        </w:rPr>
        <w:t>:</w:t>
      </w:r>
    </w:p>
    <w:p w14:paraId="1F2A96C6" w14:textId="77777777" w:rsidR="00F00CEA" w:rsidRPr="00EA5A99" w:rsidRDefault="00F00CEA" w:rsidP="006E051E">
      <w:pPr>
        <w:pStyle w:val="IntenseQuote"/>
        <w:numPr>
          <w:ilvl w:val="0"/>
          <w:numId w:val="26"/>
        </w:numPr>
        <w:jc w:val="left"/>
        <w:rPr>
          <w:sz w:val="20"/>
          <w:szCs w:val="20"/>
          <w:lang w:eastAsia="en-AU"/>
        </w:rPr>
      </w:pPr>
      <w:r w:rsidRPr="00EA5A99">
        <w:rPr>
          <w:sz w:val="20"/>
          <w:szCs w:val="20"/>
          <w:lang w:eastAsia="en-AU"/>
        </w:rPr>
        <w:t>5.5 million Australians (21.4%) had disability, up from 17.7% in 2018.</w:t>
      </w:r>
    </w:p>
    <w:p w14:paraId="3FE6DFE1" w14:textId="77777777" w:rsidR="006E051E" w:rsidRPr="00EA5A99" w:rsidRDefault="00F00CEA" w:rsidP="006E051E">
      <w:pPr>
        <w:pStyle w:val="IntenseQuote"/>
        <w:numPr>
          <w:ilvl w:val="0"/>
          <w:numId w:val="26"/>
        </w:numPr>
        <w:jc w:val="left"/>
        <w:rPr>
          <w:sz w:val="20"/>
          <w:szCs w:val="20"/>
          <w:lang w:eastAsia="en-AU"/>
        </w:rPr>
      </w:pPr>
      <w:r w:rsidRPr="00EA5A99">
        <w:rPr>
          <w:sz w:val="20"/>
          <w:szCs w:val="20"/>
          <w:lang w:eastAsia="en-AU"/>
        </w:rPr>
        <w:t>15.0% of people aged 0-64 years had disability, compared with 52.3% of people aged 65 years and over.</w:t>
      </w:r>
    </w:p>
    <w:p w14:paraId="17278C30" w14:textId="77777777" w:rsidR="006E051E" w:rsidRPr="00EA5A99" w:rsidRDefault="00F00CEA" w:rsidP="006E051E">
      <w:pPr>
        <w:pStyle w:val="IntenseQuote"/>
        <w:numPr>
          <w:ilvl w:val="0"/>
          <w:numId w:val="26"/>
        </w:numPr>
        <w:jc w:val="left"/>
        <w:rPr>
          <w:sz w:val="20"/>
          <w:szCs w:val="20"/>
          <w:lang w:eastAsia="en-AU"/>
        </w:rPr>
      </w:pPr>
      <w:r w:rsidRPr="00EA5A99">
        <w:rPr>
          <w:sz w:val="20"/>
          <w:szCs w:val="20"/>
          <w:lang w:eastAsia="en-AU"/>
        </w:rPr>
        <w:t>Disability prevalence was similar for males (21.0%) and females (21.8%).</w:t>
      </w:r>
    </w:p>
    <w:p w14:paraId="6339D1EC" w14:textId="77777777" w:rsidR="00F00CEA" w:rsidRPr="00EA5A99" w:rsidRDefault="00F00CEA" w:rsidP="006E051E">
      <w:pPr>
        <w:pStyle w:val="IntenseQuote"/>
        <w:numPr>
          <w:ilvl w:val="0"/>
          <w:numId w:val="26"/>
        </w:numPr>
        <w:jc w:val="left"/>
        <w:rPr>
          <w:sz w:val="20"/>
          <w:szCs w:val="20"/>
          <w:lang w:eastAsia="en-AU"/>
        </w:rPr>
      </w:pPr>
      <w:r w:rsidRPr="00EA5A99">
        <w:rPr>
          <w:sz w:val="20"/>
          <w:szCs w:val="20"/>
          <w:lang w:eastAsia="en-AU"/>
        </w:rPr>
        <w:t>7.9% of all Australians had a profound or severe disability.</w:t>
      </w:r>
    </w:p>
    <w:p w14:paraId="3C372553" w14:textId="77777777" w:rsidR="00F00CEA" w:rsidRPr="001870DD" w:rsidRDefault="00F00CEA" w:rsidP="002F660B">
      <w:pPr>
        <w:pStyle w:val="Heading2"/>
      </w:pPr>
      <w:bookmarkStart w:id="6" w:name="_Toc196742885"/>
      <w:bookmarkStart w:id="7" w:name="_Toc207030956"/>
      <w:r w:rsidRPr="001870DD">
        <w:t>What is disability discrimination?</w:t>
      </w:r>
      <w:bookmarkEnd w:id="6"/>
      <w:bookmarkEnd w:id="7"/>
    </w:p>
    <w:p w14:paraId="2A9FABC8" w14:textId="77777777" w:rsidR="00F00CEA" w:rsidRDefault="00F00CEA" w:rsidP="00217D4E">
      <w:r w:rsidRPr="00FE0A5E">
        <w:t xml:space="preserve">People </w:t>
      </w:r>
      <w:r>
        <w:t>with disability have a history of experiencing discrimination and prejudice based on a ‘perceived’ difference. The DDA clearly states that this discrimination is unlawful and protects individuals against both direct and indirect discrimination.</w:t>
      </w:r>
    </w:p>
    <w:p w14:paraId="4A8DEE33" w14:textId="77777777" w:rsidR="00F00CEA" w:rsidRDefault="00F00CEA" w:rsidP="00217D4E">
      <w:r w:rsidRPr="00FE0A5E">
        <w:rPr>
          <w:b/>
        </w:rPr>
        <w:t>Direct discrimination</w:t>
      </w:r>
      <w:r>
        <w:t xml:space="preserve"> occurs when a person is treated less favourably than a person without a disability would be treated under the same circumstances (e.g. procuring professional services or goods manufacturing).</w:t>
      </w:r>
    </w:p>
    <w:p w14:paraId="41F7EC80" w14:textId="77777777" w:rsidR="00F00CEA" w:rsidRPr="00CD0701" w:rsidRDefault="00F00CEA" w:rsidP="00217D4E">
      <w:r w:rsidRPr="00FE0A5E">
        <w:rPr>
          <w:b/>
        </w:rPr>
        <w:t>Indirect discrimination</w:t>
      </w:r>
      <w:r>
        <w:t xml:space="preserve"> occurs when a condition or requirement is imposed which is the same for </w:t>
      </w:r>
      <w:proofErr w:type="gramStart"/>
      <w:r>
        <w:t>everyone</w:t>
      </w:r>
      <w:proofErr w:type="gramEnd"/>
      <w:r>
        <w:t xml:space="preserve"> but which unfairly excludes or disadvantages a person with disability (e.g. accessing buildings, public transport, </w:t>
      </w:r>
      <w:r w:rsidRPr="00FC030A">
        <w:t>housing accommodation</w:t>
      </w:r>
      <w:r>
        <w:t xml:space="preserve"> or health and hospital services).</w:t>
      </w:r>
    </w:p>
    <w:p w14:paraId="5F38B966" w14:textId="77777777" w:rsidR="00F00CEA" w:rsidRDefault="00F00CEA" w:rsidP="00217D4E">
      <w:pPr>
        <w:rPr>
          <w:lang w:eastAsia="en-AU"/>
        </w:rPr>
      </w:pPr>
      <w:r w:rsidRPr="000C02B7">
        <w:rPr>
          <w:lang w:eastAsia="en-AU"/>
        </w:rPr>
        <w:t xml:space="preserve">To be disability compliant in </w:t>
      </w:r>
      <w:r>
        <w:rPr>
          <w:lang w:eastAsia="en-AU"/>
        </w:rPr>
        <w:t xml:space="preserve">all </w:t>
      </w:r>
      <w:r w:rsidRPr="000C02B7">
        <w:rPr>
          <w:lang w:eastAsia="en-AU"/>
        </w:rPr>
        <w:t>your procurement processes</w:t>
      </w:r>
      <w:r>
        <w:rPr>
          <w:lang w:eastAsia="en-AU"/>
        </w:rPr>
        <w:t>,</w:t>
      </w:r>
      <w:r w:rsidRPr="000C02B7">
        <w:rPr>
          <w:lang w:eastAsia="en-AU"/>
        </w:rPr>
        <w:t xml:space="preserve"> it</w:t>
      </w:r>
      <w:r>
        <w:rPr>
          <w:lang w:eastAsia="en-AU"/>
        </w:rPr>
        <w:t xml:space="preserve"> is</w:t>
      </w:r>
      <w:r w:rsidRPr="000C02B7">
        <w:rPr>
          <w:lang w:eastAsia="en-AU"/>
        </w:rPr>
        <w:t xml:space="preserve"> important to remember that disability discrimination can occur at any stage of the </w:t>
      </w:r>
      <w:r>
        <w:rPr>
          <w:lang w:eastAsia="en-AU"/>
        </w:rPr>
        <w:t xml:space="preserve">procurement </w:t>
      </w:r>
      <w:r w:rsidRPr="000C02B7">
        <w:rPr>
          <w:lang w:eastAsia="en-AU"/>
        </w:rPr>
        <w:t xml:space="preserve">process and extends to many aspects of government service delivery.  </w:t>
      </w:r>
    </w:p>
    <w:p w14:paraId="1E2D6229" w14:textId="77777777" w:rsidR="00F00CEA" w:rsidRDefault="00F00CEA" w:rsidP="00217D4E">
      <w:pPr>
        <w:rPr>
          <w:lang w:eastAsia="en-AU"/>
        </w:rPr>
      </w:pPr>
      <w:r>
        <w:rPr>
          <w:lang w:eastAsia="en-AU"/>
        </w:rPr>
        <w:lastRenderedPageBreak/>
        <w:t>Therefore, the agency approach to ensuring accessibility in procurement activities requires a combination of three key attributes:</w:t>
      </w:r>
    </w:p>
    <w:p w14:paraId="4E1B8C25" w14:textId="77777777" w:rsidR="00F00CEA" w:rsidRDefault="00F00CEA" w:rsidP="00F00CEA">
      <w:pPr>
        <w:pStyle w:val="ListParagraph"/>
        <w:numPr>
          <w:ilvl w:val="0"/>
          <w:numId w:val="19"/>
        </w:numPr>
        <w:spacing w:before="120" w:line="264" w:lineRule="auto"/>
        <w:contextualSpacing/>
      </w:pPr>
      <w:r>
        <w:rPr>
          <w:lang w:eastAsia="en-AU"/>
        </w:rPr>
        <w:t xml:space="preserve">Robust process – delivers </w:t>
      </w:r>
      <w:r w:rsidRPr="005C550B">
        <w:rPr>
          <w:b/>
          <w:bCs/>
          <w:lang w:eastAsia="en-AU"/>
        </w:rPr>
        <w:t>good procurement practice</w:t>
      </w:r>
      <w:r w:rsidRPr="005C550B">
        <w:rPr>
          <w:lang w:eastAsia="en-AU"/>
        </w:rPr>
        <w:t xml:space="preserve"> </w:t>
      </w:r>
      <w:r>
        <w:rPr>
          <w:lang w:eastAsia="en-AU"/>
        </w:rPr>
        <w:t>which can</w:t>
      </w:r>
      <w:r w:rsidRPr="005C550B">
        <w:rPr>
          <w:lang w:eastAsia="en-AU"/>
        </w:rPr>
        <w:t xml:space="preserve"> avoid non-compliance with accessibility requirements</w:t>
      </w:r>
      <w:r>
        <w:rPr>
          <w:lang w:eastAsia="en-AU"/>
        </w:rPr>
        <w:t xml:space="preserve">, </w:t>
      </w:r>
      <w:r>
        <w:t>m</w:t>
      </w:r>
      <w:r w:rsidRPr="007C3BAB">
        <w:t xml:space="preserve">aintain </w:t>
      </w:r>
      <w:r w:rsidRPr="007C3BAB">
        <w:rPr>
          <w:bCs/>
        </w:rPr>
        <w:t>probity, transparency and integrity of decision making</w:t>
      </w:r>
      <w:r>
        <w:t xml:space="preserve"> and enable </w:t>
      </w:r>
      <w:r w:rsidRPr="007C3BAB">
        <w:rPr>
          <w:b/>
          <w:bCs/>
        </w:rPr>
        <w:t>early and continuing engagement</w:t>
      </w:r>
      <w:r>
        <w:rPr>
          <w:b/>
          <w:bCs/>
        </w:rPr>
        <w:t>s</w:t>
      </w:r>
      <w:r w:rsidRPr="007C3BAB">
        <w:rPr>
          <w:b/>
          <w:bCs/>
        </w:rPr>
        <w:t xml:space="preserve"> </w:t>
      </w:r>
      <w:r w:rsidRPr="007C3BAB">
        <w:t>with relevant disability stakeholders</w:t>
      </w:r>
      <w:r>
        <w:t>.</w:t>
      </w:r>
    </w:p>
    <w:p w14:paraId="11DC4BB3" w14:textId="77777777" w:rsidR="00F00CEA" w:rsidRDefault="00F00CEA" w:rsidP="00F00CEA">
      <w:pPr>
        <w:pStyle w:val="ListParagraph"/>
        <w:numPr>
          <w:ilvl w:val="0"/>
          <w:numId w:val="19"/>
        </w:numPr>
        <w:spacing w:before="120" w:line="264" w:lineRule="auto"/>
        <w:contextualSpacing/>
        <w:rPr>
          <w:lang w:eastAsia="en-AU"/>
        </w:rPr>
      </w:pPr>
      <w:r>
        <w:rPr>
          <w:lang w:eastAsia="en-AU"/>
        </w:rPr>
        <w:t xml:space="preserve">Maturing capability – delivers </w:t>
      </w:r>
      <w:r w:rsidRPr="007C3BAB">
        <w:rPr>
          <w:lang w:eastAsia="en-AU"/>
        </w:rPr>
        <w:t>access</w:t>
      </w:r>
      <w:r>
        <w:rPr>
          <w:lang w:eastAsia="en-AU"/>
        </w:rPr>
        <w:t xml:space="preserve"> to</w:t>
      </w:r>
      <w:r w:rsidRPr="007C3BAB">
        <w:rPr>
          <w:lang w:eastAsia="en-AU"/>
        </w:rPr>
        <w:t xml:space="preserve"> </w:t>
      </w:r>
      <w:r w:rsidRPr="00F26183">
        <w:rPr>
          <w:b/>
          <w:lang w:eastAsia="en-AU"/>
        </w:rPr>
        <w:t>available training and resources</w:t>
      </w:r>
      <w:r>
        <w:rPr>
          <w:lang w:eastAsia="en-AU"/>
        </w:rPr>
        <w:t xml:space="preserve"> to develop procurement capability and professionalise the workforce.</w:t>
      </w:r>
    </w:p>
    <w:p w14:paraId="4B50C6DA" w14:textId="77777777" w:rsidR="00F00CEA" w:rsidRDefault="00F00CEA" w:rsidP="00F00CEA">
      <w:pPr>
        <w:pStyle w:val="ListParagraph"/>
        <w:numPr>
          <w:ilvl w:val="0"/>
          <w:numId w:val="19"/>
        </w:numPr>
        <w:spacing w:before="120" w:line="264" w:lineRule="auto"/>
        <w:contextualSpacing/>
        <w:rPr>
          <w:lang w:eastAsia="en-AU"/>
        </w:rPr>
      </w:pPr>
      <w:r>
        <w:rPr>
          <w:lang w:eastAsia="en-AU"/>
        </w:rPr>
        <w:t xml:space="preserve">Continued awareness – delivers </w:t>
      </w:r>
      <w:r w:rsidRPr="007C3BAB">
        <w:rPr>
          <w:b/>
          <w:bCs/>
          <w:lang w:eastAsia="en-AU"/>
        </w:rPr>
        <w:t>understan</w:t>
      </w:r>
      <w:r>
        <w:rPr>
          <w:b/>
          <w:bCs/>
          <w:lang w:eastAsia="en-AU"/>
        </w:rPr>
        <w:t>ding of</w:t>
      </w:r>
      <w:r w:rsidRPr="007C3BAB">
        <w:rPr>
          <w:b/>
          <w:bCs/>
          <w:lang w:eastAsia="en-AU"/>
        </w:rPr>
        <w:t xml:space="preserve"> responsibilities </w:t>
      </w:r>
      <w:r w:rsidRPr="007C3BAB">
        <w:rPr>
          <w:lang w:eastAsia="en-AU"/>
        </w:rPr>
        <w:t>under</w:t>
      </w:r>
      <w:r w:rsidRPr="00283DE8">
        <w:rPr>
          <w:lang w:eastAsia="en-AU"/>
        </w:rPr>
        <w:t xml:space="preserve"> the </w:t>
      </w:r>
      <w:r w:rsidRPr="007C1751">
        <w:rPr>
          <w:iCs/>
          <w:lang w:eastAsia="en-AU"/>
        </w:rPr>
        <w:t>DDA</w:t>
      </w:r>
      <w:r w:rsidRPr="007C3BAB">
        <w:rPr>
          <w:i/>
          <w:iCs/>
          <w:lang w:eastAsia="en-AU"/>
        </w:rPr>
        <w:t xml:space="preserve"> </w:t>
      </w:r>
      <w:r w:rsidRPr="007C3BAB">
        <w:rPr>
          <w:lang w:eastAsia="en-AU"/>
        </w:rPr>
        <w:t xml:space="preserve">and associated standards, </w:t>
      </w:r>
      <w:r>
        <w:rPr>
          <w:lang w:eastAsia="en-AU"/>
        </w:rPr>
        <w:t>to achieve</w:t>
      </w:r>
      <w:r w:rsidRPr="007C3BAB">
        <w:rPr>
          <w:lang w:eastAsia="en-AU"/>
        </w:rPr>
        <w:t xml:space="preserve"> fully accessible government services</w:t>
      </w:r>
      <w:r>
        <w:rPr>
          <w:lang w:eastAsia="en-AU"/>
        </w:rPr>
        <w:t>.</w:t>
      </w:r>
    </w:p>
    <w:p w14:paraId="74E97534" w14:textId="77777777" w:rsidR="00F00CEA" w:rsidRPr="00D72986" w:rsidRDefault="00F00CEA" w:rsidP="006D317C">
      <w:pPr>
        <w:pStyle w:val="Heading2"/>
      </w:pPr>
      <w:bookmarkStart w:id="8" w:name="_Toc196742886"/>
      <w:bookmarkStart w:id="9" w:name="_Toc207030957"/>
      <w:r w:rsidRPr="00D72986">
        <w:t>Your agency’s obligations</w:t>
      </w:r>
      <w:bookmarkEnd w:id="8"/>
      <w:bookmarkEnd w:id="9"/>
    </w:p>
    <w:p w14:paraId="3B424E31" w14:textId="77777777" w:rsidR="00F00CEA" w:rsidRDefault="00F00CEA" w:rsidP="00217D4E">
      <w:pPr>
        <w:rPr>
          <w:lang w:eastAsia="en-AU"/>
        </w:rPr>
      </w:pPr>
      <w:r>
        <w:rPr>
          <w:lang w:eastAsia="en-AU"/>
        </w:rPr>
        <w:t>To enable disability compliance, government agencies need to integrate accessibility requirements into procurement planning and decision making. However, ensuring compliance requires further knowledge, including:</w:t>
      </w:r>
    </w:p>
    <w:p w14:paraId="79BE82D7" w14:textId="77777777" w:rsidR="00F00CEA" w:rsidRDefault="00F00CEA" w:rsidP="00F00CEA">
      <w:pPr>
        <w:pStyle w:val="ListParagraph"/>
        <w:numPr>
          <w:ilvl w:val="0"/>
          <w:numId w:val="18"/>
        </w:numPr>
        <w:spacing w:before="120" w:line="264" w:lineRule="auto"/>
        <w:contextualSpacing/>
        <w:rPr>
          <w:lang w:eastAsia="en-AU"/>
        </w:rPr>
      </w:pPr>
      <w:r>
        <w:rPr>
          <w:lang w:eastAsia="en-AU"/>
        </w:rPr>
        <w:t>an understanding of the consequences of non-compliance</w:t>
      </w:r>
    </w:p>
    <w:p w14:paraId="1CAE7888" w14:textId="77777777" w:rsidR="00F00CEA" w:rsidRDefault="00F00CEA" w:rsidP="00F00CEA">
      <w:pPr>
        <w:pStyle w:val="ListParagraph"/>
        <w:numPr>
          <w:ilvl w:val="0"/>
          <w:numId w:val="18"/>
        </w:numPr>
        <w:spacing w:before="120" w:line="264" w:lineRule="auto"/>
        <w:contextualSpacing/>
        <w:rPr>
          <w:lang w:eastAsia="en-AU"/>
        </w:rPr>
      </w:pPr>
      <w:r>
        <w:rPr>
          <w:lang w:eastAsia="en-AU"/>
        </w:rPr>
        <w:t>knowing where to seek specialist advice as needed</w:t>
      </w:r>
    </w:p>
    <w:p w14:paraId="6C52A7C9" w14:textId="77777777" w:rsidR="00F00CEA" w:rsidRDefault="00F00CEA" w:rsidP="00F00CEA">
      <w:pPr>
        <w:pStyle w:val="ListParagraph"/>
        <w:numPr>
          <w:ilvl w:val="0"/>
          <w:numId w:val="18"/>
        </w:numPr>
        <w:spacing w:before="120" w:line="264" w:lineRule="auto"/>
        <w:contextualSpacing/>
        <w:rPr>
          <w:lang w:eastAsia="en-AU"/>
        </w:rPr>
      </w:pPr>
      <w:r>
        <w:rPr>
          <w:lang w:eastAsia="en-AU"/>
        </w:rPr>
        <w:t>well skilled procurement officers capable of advising the business and applying a robust process</w:t>
      </w:r>
    </w:p>
    <w:p w14:paraId="39FBB491" w14:textId="77777777" w:rsidR="00F00CEA" w:rsidRDefault="00F00CEA" w:rsidP="00F00CEA">
      <w:pPr>
        <w:pStyle w:val="ListParagraph"/>
        <w:numPr>
          <w:ilvl w:val="0"/>
          <w:numId w:val="18"/>
        </w:numPr>
        <w:spacing w:before="120" w:line="264" w:lineRule="auto"/>
        <w:contextualSpacing/>
        <w:rPr>
          <w:lang w:eastAsia="en-AU"/>
        </w:rPr>
      </w:pPr>
      <w:r>
        <w:rPr>
          <w:lang w:eastAsia="en-AU"/>
        </w:rPr>
        <w:t>internal and external stakeholder awareness regarding disability requirements.</w:t>
      </w:r>
    </w:p>
    <w:p w14:paraId="084B03E8" w14:textId="77777777" w:rsidR="00F00CEA" w:rsidRDefault="00F00CEA" w:rsidP="00217D4E">
      <w:pPr>
        <w:pStyle w:val="Heading1"/>
      </w:pPr>
      <w:bookmarkStart w:id="10" w:name="_Toc196742887"/>
      <w:bookmarkStart w:id="11" w:name="_Toc207030958"/>
      <w:bookmarkEnd w:id="2"/>
      <w:r>
        <w:t>Integrating accessibility requirements into procurement</w:t>
      </w:r>
      <w:bookmarkEnd w:id="10"/>
      <w:bookmarkEnd w:id="11"/>
    </w:p>
    <w:p w14:paraId="40E19DF8" w14:textId="77777777" w:rsidR="00F00CEA" w:rsidRDefault="00F00CEA" w:rsidP="00217D4E">
      <w:pPr>
        <w:pStyle w:val="Heading2"/>
      </w:pPr>
      <w:bookmarkStart w:id="12" w:name="_Toc196742888"/>
      <w:bookmarkStart w:id="13" w:name="_Toc207030959"/>
      <w:r>
        <w:t>Accessibility principles</w:t>
      </w:r>
      <w:bookmarkEnd w:id="12"/>
      <w:bookmarkEnd w:id="13"/>
    </w:p>
    <w:p w14:paraId="2A75FFE6" w14:textId="77777777" w:rsidR="00F00CEA" w:rsidRDefault="00F00CEA" w:rsidP="00217D4E">
      <w:r w:rsidRPr="007C1751">
        <w:t>Seven design principles</w:t>
      </w:r>
      <w:r>
        <w:t xml:space="preserve"> help to guide decisions around whether a product, service or environment is universally accessible. Agencies that incorporate these design principles into their procurement processes and evaluation frameworks can greatly reduce the risk of non-compliance with the DDA and standards. Think about the following, does the design allow for:</w:t>
      </w:r>
    </w:p>
    <w:p w14:paraId="0BE6D501" w14:textId="77777777" w:rsidR="00F00CEA" w:rsidRDefault="00F00CEA" w:rsidP="00F00CEA">
      <w:pPr>
        <w:pStyle w:val="ListParagraph"/>
        <w:numPr>
          <w:ilvl w:val="0"/>
          <w:numId w:val="20"/>
        </w:numPr>
        <w:spacing w:before="120" w:line="264" w:lineRule="auto"/>
        <w:contextualSpacing/>
      </w:pPr>
      <w:r w:rsidRPr="00514642">
        <w:rPr>
          <w:b/>
        </w:rPr>
        <w:t>equitable use</w:t>
      </w:r>
      <w:r>
        <w:t xml:space="preserve"> – is useful and marketable to people of all abilities (e.g. public transport)</w:t>
      </w:r>
    </w:p>
    <w:p w14:paraId="31862E8D" w14:textId="77777777" w:rsidR="00F00CEA" w:rsidRDefault="00F00CEA" w:rsidP="00F00CEA">
      <w:pPr>
        <w:pStyle w:val="ListParagraph"/>
        <w:numPr>
          <w:ilvl w:val="0"/>
          <w:numId w:val="20"/>
        </w:numPr>
        <w:spacing w:before="120" w:line="264" w:lineRule="auto"/>
        <w:contextualSpacing/>
      </w:pPr>
      <w:r w:rsidRPr="00514642">
        <w:rPr>
          <w:b/>
        </w:rPr>
        <w:t>flexibility in use</w:t>
      </w:r>
      <w:r>
        <w:t xml:space="preserve"> – accommodates a wide range of individual preferences and abilities (e.g. office </w:t>
      </w:r>
      <w:r w:rsidR="000359A0">
        <w:t>desks</w:t>
      </w:r>
      <w:r>
        <w:t>)</w:t>
      </w:r>
    </w:p>
    <w:p w14:paraId="03B4B0FE" w14:textId="77777777" w:rsidR="00F00CEA" w:rsidRDefault="00F00CEA" w:rsidP="00F00CEA">
      <w:pPr>
        <w:pStyle w:val="ListParagraph"/>
        <w:numPr>
          <w:ilvl w:val="0"/>
          <w:numId w:val="20"/>
        </w:numPr>
        <w:spacing w:before="120" w:line="264" w:lineRule="auto"/>
        <w:contextualSpacing/>
      </w:pPr>
      <w:r w:rsidRPr="00514642">
        <w:rPr>
          <w:b/>
        </w:rPr>
        <w:t>simple and intuitive use</w:t>
      </w:r>
      <w:r>
        <w:t xml:space="preserve"> – is easy to understand (e.g. visual vs written, plain English, multiple languages)</w:t>
      </w:r>
    </w:p>
    <w:p w14:paraId="45F6A49D" w14:textId="77777777" w:rsidR="00F00CEA" w:rsidRDefault="00F00CEA" w:rsidP="00F00CEA">
      <w:pPr>
        <w:pStyle w:val="ListParagraph"/>
        <w:numPr>
          <w:ilvl w:val="0"/>
          <w:numId w:val="20"/>
        </w:numPr>
        <w:spacing w:before="120" w:line="264" w:lineRule="auto"/>
        <w:contextualSpacing/>
      </w:pPr>
      <w:r w:rsidRPr="00514642">
        <w:rPr>
          <w:b/>
        </w:rPr>
        <w:t>perceptible information</w:t>
      </w:r>
      <w:r>
        <w:t xml:space="preserve"> – communicates necessary information effectively (e.g. signage, website colour contrasts)</w:t>
      </w:r>
    </w:p>
    <w:p w14:paraId="2215F88C" w14:textId="77777777" w:rsidR="00F00CEA" w:rsidRDefault="00F00CEA" w:rsidP="00F00CEA">
      <w:pPr>
        <w:pStyle w:val="ListParagraph"/>
        <w:numPr>
          <w:ilvl w:val="0"/>
          <w:numId w:val="20"/>
        </w:numPr>
        <w:spacing w:before="120" w:line="264" w:lineRule="auto"/>
        <w:contextualSpacing/>
      </w:pPr>
      <w:r w:rsidRPr="00514642">
        <w:rPr>
          <w:b/>
        </w:rPr>
        <w:t>tolerance of error</w:t>
      </w:r>
      <w:r>
        <w:t xml:space="preserve"> – minimises hazards and adverse consequences of accidental or unintended actions (e.g. flooring)</w:t>
      </w:r>
    </w:p>
    <w:p w14:paraId="3FECE0B6" w14:textId="77777777" w:rsidR="00F00CEA" w:rsidRDefault="00F00CEA" w:rsidP="00F00CEA">
      <w:pPr>
        <w:pStyle w:val="ListParagraph"/>
        <w:numPr>
          <w:ilvl w:val="0"/>
          <w:numId w:val="20"/>
        </w:numPr>
        <w:spacing w:before="120" w:line="264" w:lineRule="auto"/>
        <w:contextualSpacing/>
      </w:pPr>
      <w:r w:rsidRPr="00514642">
        <w:rPr>
          <w:b/>
        </w:rPr>
        <w:t>low physical effort</w:t>
      </w:r>
      <w:r>
        <w:t xml:space="preserve"> – can be used efficiently and effectively with ease (e.g. multi-latch, heavy doors)</w:t>
      </w:r>
    </w:p>
    <w:p w14:paraId="7D757563" w14:textId="77777777" w:rsidR="00F00CEA" w:rsidRDefault="00F00CEA" w:rsidP="00F00CEA">
      <w:pPr>
        <w:pStyle w:val="ListParagraph"/>
        <w:numPr>
          <w:ilvl w:val="0"/>
          <w:numId w:val="20"/>
        </w:numPr>
        <w:spacing w:before="120" w:line="264" w:lineRule="auto"/>
        <w:contextualSpacing/>
      </w:pPr>
      <w:r w:rsidRPr="00514642">
        <w:rPr>
          <w:b/>
        </w:rPr>
        <w:t>size and space for approach and use</w:t>
      </w:r>
      <w:r>
        <w:t xml:space="preserve"> – offers appropriate room for use and movement regardless of </w:t>
      </w:r>
      <w:r w:rsidR="000359A0">
        <w:t>spatial requirements</w:t>
      </w:r>
      <w:r>
        <w:t xml:space="preserve"> or mobility (e.g. building doorways, public toilets, libraries).</w:t>
      </w:r>
    </w:p>
    <w:p w14:paraId="1E255DEA" w14:textId="77777777" w:rsidR="00F00CEA" w:rsidRDefault="00F00CEA" w:rsidP="00217D4E">
      <w:r>
        <w:t>By referencing these design principles when planning a procurement, agencies will be more likely to meet the diverse needs of people who use and interact with government infrastructure, systems and services (both in the workplace and publicly).</w:t>
      </w:r>
    </w:p>
    <w:p w14:paraId="1A9092BB" w14:textId="77777777" w:rsidR="00F00CEA" w:rsidRPr="00EA5A99" w:rsidRDefault="00F00CEA" w:rsidP="006D317C">
      <w:pPr>
        <w:pStyle w:val="IntenseQuote"/>
        <w:jc w:val="left"/>
        <w:rPr>
          <w:sz w:val="20"/>
          <w:szCs w:val="20"/>
        </w:rPr>
      </w:pPr>
      <w:r w:rsidRPr="00EA5A99">
        <w:rPr>
          <w:sz w:val="20"/>
          <w:szCs w:val="20"/>
        </w:rPr>
        <w:t>Web accessibility is key to contemporary communicatio</w:t>
      </w:r>
      <w:r w:rsidR="006E051E" w:rsidRPr="00EA5A99">
        <w:rPr>
          <w:sz w:val="20"/>
          <w:szCs w:val="20"/>
        </w:rPr>
        <w:t>n:</w:t>
      </w:r>
    </w:p>
    <w:p w14:paraId="3759D6AB" w14:textId="77777777" w:rsidR="00F00CEA" w:rsidRPr="00EA5A99" w:rsidRDefault="00F00CEA" w:rsidP="006E051E">
      <w:pPr>
        <w:pStyle w:val="IntenseQuote"/>
        <w:numPr>
          <w:ilvl w:val="0"/>
          <w:numId w:val="25"/>
        </w:numPr>
        <w:jc w:val="left"/>
        <w:rPr>
          <w:sz w:val="20"/>
          <w:szCs w:val="20"/>
        </w:rPr>
      </w:pPr>
      <w:r w:rsidRPr="00EA5A99">
        <w:rPr>
          <w:sz w:val="20"/>
          <w:szCs w:val="20"/>
        </w:rPr>
        <w:t>Web Content Accessibility Guidelines (WCAG) are developed to provide a single shared standard for web content accessibility that meets the needs of individuals, organisations, and governments internationally.</w:t>
      </w:r>
    </w:p>
    <w:p w14:paraId="0C8D2395" w14:textId="77777777" w:rsidR="00F00CEA" w:rsidRPr="00EA5A99" w:rsidRDefault="00F00CEA" w:rsidP="006E051E">
      <w:pPr>
        <w:pStyle w:val="IntenseQuote"/>
        <w:numPr>
          <w:ilvl w:val="0"/>
          <w:numId w:val="25"/>
        </w:numPr>
        <w:jc w:val="left"/>
        <w:rPr>
          <w:sz w:val="20"/>
          <w:szCs w:val="20"/>
        </w:rPr>
      </w:pPr>
      <w:r w:rsidRPr="00EA5A99">
        <w:rPr>
          <w:b/>
          <w:sz w:val="20"/>
          <w:szCs w:val="20"/>
        </w:rPr>
        <w:t>WCAG 2.1</w:t>
      </w:r>
      <w:r w:rsidRPr="00EA5A99">
        <w:rPr>
          <w:sz w:val="20"/>
          <w:szCs w:val="20"/>
        </w:rPr>
        <w:t xml:space="preserve"> was published on 5 June 2018.</w:t>
      </w:r>
    </w:p>
    <w:p w14:paraId="1D9ACD38" w14:textId="77777777" w:rsidR="00F00CEA" w:rsidRPr="00EA5A99" w:rsidRDefault="00F00CEA" w:rsidP="006E051E">
      <w:pPr>
        <w:pStyle w:val="IntenseQuote"/>
        <w:numPr>
          <w:ilvl w:val="0"/>
          <w:numId w:val="25"/>
        </w:numPr>
        <w:jc w:val="left"/>
        <w:rPr>
          <w:sz w:val="20"/>
          <w:szCs w:val="20"/>
        </w:rPr>
      </w:pPr>
      <w:r w:rsidRPr="00EA5A99">
        <w:rPr>
          <w:sz w:val="20"/>
          <w:szCs w:val="20"/>
        </w:rPr>
        <w:lastRenderedPageBreak/>
        <w:t>You are encouraged to use the most recent version of the WCAG when developing or updating content for use on the web.</w:t>
      </w:r>
    </w:p>
    <w:p w14:paraId="56BF98C3" w14:textId="77777777" w:rsidR="00F00CEA" w:rsidRDefault="00F00CEA" w:rsidP="00217D4E">
      <w:pPr>
        <w:pStyle w:val="Heading2"/>
      </w:pPr>
      <w:bookmarkStart w:id="14" w:name="_Toc196742889"/>
      <w:bookmarkStart w:id="15" w:name="_Toc207030960"/>
      <w:r>
        <w:t>Applying an integrated approach to your procurement</w:t>
      </w:r>
      <w:bookmarkEnd w:id="14"/>
      <w:bookmarkEnd w:id="15"/>
    </w:p>
    <w:p w14:paraId="0F544C41" w14:textId="77777777" w:rsidR="00F00CEA" w:rsidRDefault="00F00CEA" w:rsidP="00217D4E">
      <w:r>
        <w:t>Accessibility needs to be a part of all procurement planning and decision making, regardless of the assessed level of risk or value. The approach taken to integrate accessibility requirements into your procurement process will vary from activity to activity. However, action can be undertaken at all stages of the procurement process to ensure universal access to goods, services and infrastructure. This includes:</w:t>
      </w:r>
    </w:p>
    <w:p w14:paraId="2FFE242B" w14:textId="77777777" w:rsidR="00F00CEA" w:rsidRDefault="00F00CEA" w:rsidP="00F00CEA">
      <w:pPr>
        <w:pStyle w:val="ListParagraph"/>
        <w:numPr>
          <w:ilvl w:val="0"/>
          <w:numId w:val="10"/>
        </w:numPr>
        <w:spacing w:before="120" w:line="264" w:lineRule="auto"/>
        <w:contextualSpacing/>
      </w:pPr>
      <w:r>
        <w:t>procurement p</w:t>
      </w:r>
      <w:r w:rsidRPr="00C0501D">
        <w:t>lanning</w:t>
      </w:r>
    </w:p>
    <w:p w14:paraId="43BE5532" w14:textId="77777777" w:rsidR="00F00CEA" w:rsidRPr="00C0501D" w:rsidRDefault="00F00CEA" w:rsidP="00F00CEA">
      <w:pPr>
        <w:pStyle w:val="ListParagraph"/>
        <w:numPr>
          <w:ilvl w:val="0"/>
          <w:numId w:val="10"/>
        </w:numPr>
        <w:spacing w:before="120" w:line="264" w:lineRule="auto"/>
        <w:contextualSpacing/>
      </w:pPr>
      <w:r>
        <w:t>tender specifications</w:t>
      </w:r>
    </w:p>
    <w:p w14:paraId="77D73541" w14:textId="77777777" w:rsidR="00F00CEA" w:rsidRDefault="00F00CEA" w:rsidP="00F00CEA">
      <w:pPr>
        <w:pStyle w:val="ListParagraph"/>
        <w:numPr>
          <w:ilvl w:val="0"/>
          <w:numId w:val="10"/>
        </w:numPr>
        <w:spacing w:before="120" w:line="264" w:lineRule="auto"/>
        <w:contextualSpacing/>
      </w:pPr>
      <w:r w:rsidRPr="00C0501D">
        <w:t>go</w:t>
      </w:r>
      <w:r>
        <w:t>ing</w:t>
      </w:r>
      <w:r w:rsidRPr="00C0501D">
        <w:t xml:space="preserve"> to market</w:t>
      </w:r>
      <w:r>
        <w:t xml:space="preserve"> documentation</w:t>
      </w:r>
    </w:p>
    <w:p w14:paraId="1622F381" w14:textId="77777777" w:rsidR="00F00CEA" w:rsidRPr="00C0501D" w:rsidRDefault="00F00CEA" w:rsidP="00F00CEA">
      <w:pPr>
        <w:pStyle w:val="ListParagraph"/>
        <w:numPr>
          <w:ilvl w:val="0"/>
          <w:numId w:val="10"/>
        </w:numPr>
        <w:spacing w:before="120" w:line="264" w:lineRule="auto"/>
        <w:contextualSpacing/>
      </w:pPr>
      <w:r>
        <w:t>evaluation criteria</w:t>
      </w:r>
    </w:p>
    <w:p w14:paraId="55E45D20" w14:textId="77777777" w:rsidR="00F00CEA" w:rsidRDefault="00F00CEA" w:rsidP="00F00CEA">
      <w:pPr>
        <w:pStyle w:val="ListParagraph"/>
        <w:numPr>
          <w:ilvl w:val="0"/>
          <w:numId w:val="10"/>
        </w:numPr>
        <w:spacing w:before="120" w:line="264" w:lineRule="auto"/>
        <w:contextualSpacing/>
      </w:pPr>
      <w:r w:rsidRPr="00C0501D">
        <w:t>contract formation</w:t>
      </w:r>
      <w:r>
        <w:t xml:space="preserve"> and</w:t>
      </w:r>
      <w:r w:rsidRPr="00C0501D">
        <w:t xml:space="preserve"> management</w:t>
      </w:r>
      <w:r>
        <w:t>.</w:t>
      </w:r>
    </w:p>
    <w:p w14:paraId="34D5767B" w14:textId="77777777" w:rsidR="00F00CEA" w:rsidRDefault="00F00CEA" w:rsidP="00217D4E">
      <w:pPr>
        <w:pStyle w:val="ListParagraph"/>
      </w:pPr>
    </w:p>
    <w:p w14:paraId="3AB91EC0" w14:textId="77777777" w:rsidR="00BB2EE5" w:rsidRDefault="00BB2EE5" w:rsidP="00217D4E">
      <w:pPr>
        <w:pStyle w:val="ListParagraph"/>
      </w:pPr>
    </w:p>
    <w:p w14:paraId="4E2FD0FA" w14:textId="77777777" w:rsidR="00BB2EE5" w:rsidRDefault="00BB2EE5" w:rsidP="00217D4E">
      <w:pPr>
        <w:pStyle w:val="ListParagraph"/>
      </w:pPr>
    </w:p>
    <w:p w14:paraId="762B7FCF" w14:textId="77777777" w:rsidR="00BB2EE5" w:rsidRDefault="00BB2EE5" w:rsidP="00217D4E">
      <w:pPr>
        <w:pStyle w:val="ListParagraph"/>
      </w:pPr>
    </w:p>
    <w:p w14:paraId="69E8D14A" w14:textId="77777777" w:rsidR="00BB2EE5" w:rsidRDefault="00BB2EE5" w:rsidP="00217D4E">
      <w:pPr>
        <w:pStyle w:val="ListParagraph"/>
      </w:pPr>
    </w:p>
    <w:p w14:paraId="626834A9" w14:textId="77777777" w:rsidR="00BB2EE5" w:rsidRDefault="00BB2EE5" w:rsidP="00217D4E">
      <w:pPr>
        <w:pStyle w:val="ListParagraph"/>
      </w:pPr>
    </w:p>
    <w:p w14:paraId="05278357" w14:textId="77777777" w:rsidR="00BB2EE5" w:rsidRDefault="00BB2EE5" w:rsidP="00217D4E">
      <w:pPr>
        <w:pStyle w:val="ListParagraph"/>
      </w:pPr>
    </w:p>
    <w:p w14:paraId="681626CB" w14:textId="77777777" w:rsidR="00BB2EE5" w:rsidRDefault="00BB2EE5" w:rsidP="00217D4E">
      <w:pPr>
        <w:pStyle w:val="ListParagraph"/>
      </w:pPr>
    </w:p>
    <w:p w14:paraId="5E8DD8CE" w14:textId="77777777" w:rsidR="00BB2EE5" w:rsidRDefault="00BB2EE5" w:rsidP="00217D4E">
      <w:pPr>
        <w:pStyle w:val="ListParagraph"/>
      </w:pPr>
    </w:p>
    <w:p w14:paraId="41B3B130" w14:textId="77777777" w:rsidR="00BB2EE5" w:rsidRDefault="00BB2EE5" w:rsidP="00217D4E">
      <w:pPr>
        <w:pStyle w:val="ListParagraph"/>
      </w:pPr>
    </w:p>
    <w:p w14:paraId="214B2869" w14:textId="77777777" w:rsidR="00BB2EE5" w:rsidRDefault="00BB2EE5" w:rsidP="00217D4E">
      <w:pPr>
        <w:pStyle w:val="ListParagraph"/>
      </w:pPr>
    </w:p>
    <w:p w14:paraId="2C701225" w14:textId="77777777" w:rsidR="00BB2EE5" w:rsidRDefault="00BB2EE5" w:rsidP="00217D4E">
      <w:pPr>
        <w:pStyle w:val="ListParagraph"/>
      </w:pPr>
    </w:p>
    <w:p w14:paraId="6059D515" w14:textId="77777777" w:rsidR="00BB2EE5" w:rsidRDefault="00BB2EE5" w:rsidP="00217D4E">
      <w:pPr>
        <w:pStyle w:val="ListParagraph"/>
      </w:pPr>
    </w:p>
    <w:p w14:paraId="2BED0A08" w14:textId="77777777" w:rsidR="00BB2EE5" w:rsidRDefault="00BB2EE5" w:rsidP="00217D4E">
      <w:pPr>
        <w:pStyle w:val="ListParagraph"/>
      </w:pPr>
    </w:p>
    <w:p w14:paraId="4066A9D8" w14:textId="77777777" w:rsidR="00BB2EE5" w:rsidRDefault="00BB2EE5" w:rsidP="00217D4E">
      <w:pPr>
        <w:pStyle w:val="ListParagraph"/>
      </w:pPr>
    </w:p>
    <w:p w14:paraId="6ED4B0FE" w14:textId="77777777" w:rsidR="00BB2EE5" w:rsidRDefault="00BB2EE5" w:rsidP="00217D4E">
      <w:pPr>
        <w:pStyle w:val="ListParagraph"/>
      </w:pPr>
    </w:p>
    <w:p w14:paraId="5855D1B0" w14:textId="77777777" w:rsidR="00BB2EE5" w:rsidRDefault="00BB2EE5" w:rsidP="00217D4E">
      <w:pPr>
        <w:pStyle w:val="ListParagraph"/>
      </w:pPr>
    </w:p>
    <w:p w14:paraId="3AB99D29" w14:textId="77777777" w:rsidR="00BB2EE5" w:rsidRDefault="00BB2EE5" w:rsidP="00217D4E">
      <w:pPr>
        <w:pStyle w:val="ListParagraph"/>
      </w:pPr>
    </w:p>
    <w:p w14:paraId="55D3C008" w14:textId="77777777" w:rsidR="00BB2EE5" w:rsidRDefault="00BB2EE5" w:rsidP="00217D4E">
      <w:pPr>
        <w:pStyle w:val="ListParagraph"/>
      </w:pPr>
    </w:p>
    <w:p w14:paraId="2F95720B" w14:textId="77777777" w:rsidR="00BB2EE5" w:rsidRDefault="00BB2EE5" w:rsidP="00217D4E">
      <w:pPr>
        <w:pStyle w:val="ListParagraph"/>
      </w:pPr>
    </w:p>
    <w:p w14:paraId="1111F7BF" w14:textId="77777777" w:rsidR="00BB2EE5" w:rsidRDefault="00BB2EE5" w:rsidP="00217D4E">
      <w:pPr>
        <w:pStyle w:val="ListParagraph"/>
      </w:pPr>
    </w:p>
    <w:p w14:paraId="2D915F97" w14:textId="77777777" w:rsidR="00BB2EE5" w:rsidRDefault="00BB2EE5" w:rsidP="00217D4E">
      <w:pPr>
        <w:pStyle w:val="ListParagraph"/>
      </w:pPr>
    </w:p>
    <w:p w14:paraId="2735A7ED" w14:textId="77777777" w:rsidR="00BB2EE5" w:rsidRDefault="00BB2EE5" w:rsidP="00217D4E">
      <w:pPr>
        <w:pStyle w:val="ListParagraph"/>
      </w:pPr>
    </w:p>
    <w:p w14:paraId="16BF3119" w14:textId="77777777" w:rsidR="00BB2EE5" w:rsidRDefault="00BB2EE5" w:rsidP="00217D4E">
      <w:pPr>
        <w:pStyle w:val="ListParagraph"/>
      </w:pPr>
    </w:p>
    <w:p w14:paraId="5F8D2BC6" w14:textId="77777777" w:rsidR="00BB2EE5" w:rsidRDefault="00BB2EE5" w:rsidP="00217D4E">
      <w:pPr>
        <w:pStyle w:val="ListParagraph"/>
      </w:pPr>
    </w:p>
    <w:p w14:paraId="4F0117B8" w14:textId="77777777" w:rsidR="00BB2EE5" w:rsidRDefault="00BB2EE5" w:rsidP="00217D4E">
      <w:pPr>
        <w:pStyle w:val="ListParagraph"/>
      </w:pPr>
    </w:p>
    <w:p w14:paraId="2B934D1D" w14:textId="77777777" w:rsidR="00BB2EE5" w:rsidRDefault="00BB2EE5" w:rsidP="00217D4E">
      <w:pPr>
        <w:pStyle w:val="ListParagraph"/>
      </w:pPr>
    </w:p>
    <w:p w14:paraId="38C90D82" w14:textId="77777777" w:rsidR="00BB2EE5" w:rsidRDefault="00BB2EE5" w:rsidP="00217D4E">
      <w:pPr>
        <w:pStyle w:val="ListParagraph"/>
      </w:pPr>
    </w:p>
    <w:p w14:paraId="1B3C48B4" w14:textId="77777777" w:rsidR="00BB2EE5" w:rsidRDefault="00BB2EE5" w:rsidP="00217D4E">
      <w:pPr>
        <w:pStyle w:val="ListParagraph"/>
      </w:pPr>
    </w:p>
    <w:p w14:paraId="2F80B6D6" w14:textId="77777777" w:rsidR="00BB2EE5" w:rsidRDefault="00BB2EE5" w:rsidP="00217D4E">
      <w:pPr>
        <w:pStyle w:val="ListParagraph"/>
      </w:pPr>
    </w:p>
    <w:tbl>
      <w:tblPr>
        <w:tblStyle w:val="TableGrid"/>
        <w:tblW w:w="0" w:type="auto"/>
        <w:tblLook w:val="04A0" w:firstRow="1" w:lastRow="0" w:firstColumn="1" w:lastColumn="0" w:noHBand="0" w:noVBand="1"/>
      </w:tblPr>
      <w:tblGrid>
        <w:gridCol w:w="1681"/>
        <w:gridCol w:w="7335"/>
      </w:tblGrid>
      <w:tr w:rsidR="00F00CEA" w:rsidRPr="001D2B01" w14:paraId="1D9FE19F" w14:textId="77777777" w:rsidTr="007A7610">
        <w:trPr>
          <w:cantSplit/>
          <w:trHeight w:val="466"/>
          <w:tblHeader/>
        </w:trPr>
        <w:tc>
          <w:tcPr>
            <w:tcW w:w="1696" w:type="dxa"/>
            <w:shd w:val="clear" w:color="auto" w:fill="0070C0"/>
            <w:vAlign w:val="center"/>
          </w:tcPr>
          <w:p w14:paraId="7C2F2F10" w14:textId="77777777" w:rsidR="00F00CEA" w:rsidRPr="00FB4EC3" w:rsidRDefault="00F00CEA" w:rsidP="007A7610">
            <w:pPr>
              <w:rPr>
                <w:rFonts w:cs="Arial"/>
                <w:b/>
                <w:bCs/>
                <w:color w:val="FFFFFF" w:themeColor="background1"/>
                <w:szCs w:val="20"/>
              </w:rPr>
            </w:pPr>
            <w:bookmarkStart w:id="16" w:name="_Toc196742890"/>
            <w:bookmarkStart w:id="17" w:name="_Toc201757245"/>
            <w:r w:rsidRPr="007A7610">
              <w:rPr>
                <w:b/>
                <w:color w:val="FFFFFF" w:themeColor="background1"/>
              </w:rPr>
              <w:lastRenderedPageBreak/>
              <w:t>Stage</w:t>
            </w:r>
            <w:bookmarkEnd w:id="16"/>
            <w:bookmarkEnd w:id="17"/>
          </w:p>
        </w:tc>
        <w:tc>
          <w:tcPr>
            <w:tcW w:w="7932" w:type="dxa"/>
            <w:shd w:val="clear" w:color="auto" w:fill="0070C0"/>
            <w:vAlign w:val="center"/>
          </w:tcPr>
          <w:p w14:paraId="392D659C" w14:textId="77777777" w:rsidR="00F00CEA" w:rsidRPr="007A7610" w:rsidRDefault="00F00CEA" w:rsidP="00844691">
            <w:pPr>
              <w:rPr>
                <w:b/>
                <w:color w:val="FFFFFF" w:themeColor="background1"/>
                <w:lang w:eastAsia="en-AU"/>
              </w:rPr>
            </w:pPr>
            <w:r w:rsidRPr="007A7610">
              <w:rPr>
                <w:b/>
                <w:color w:val="FFFFFF" w:themeColor="background1"/>
                <w:lang w:eastAsia="en-AU"/>
              </w:rPr>
              <w:t>Recommended actions</w:t>
            </w:r>
          </w:p>
        </w:tc>
      </w:tr>
      <w:tr w:rsidR="00F00CEA" w:rsidRPr="001D2B01" w14:paraId="0795ACE4" w14:textId="77777777" w:rsidTr="00FB4EC3">
        <w:tc>
          <w:tcPr>
            <w:tcW w:w="1696" w:type="dxa"/>
            <w:shd w:val="clear" w:color="auto" w:fill="A6A6A6" w:themeFill="background1" w:themeFillShade="A6"/>
          </w:tcPr>
          <w:p w14:paraId="199F6356" w14:textId="77777777" w:rsidR="00F00CEA" w:rsidRPr="002F660B" w:rsidRDefault="00F00CEA" w:rsidP="007A7610">
            <w:pPr>
              <w:rPr>
                <w:rFonts w:cs="Arial"/>
                <w:b/>
                <w:bCs/>
                <w:szCs w:val="20"/>
              </w:rPr>
            </w:pPr>
            <w:bookmarkStart w:id="18" w:name="_Toc196742891"/>
            <w:bookmarkStart w:id="19" w:name="_Toc201757246"/>
            <w:bookmarkStart w:id="20" w:name="_Hlk485901593"/>
            <w:r w:rsidRPr="007A7610">
              <w:rPr>
                <w:b/>
              </w:rPr>
              <w:t>Planning</w:t>
            </w:r>
            <w:bookmarkEnd w:id="18"/>
            <w:bookmarkEnd w:id="19"/>
            <w:r w:rsidRPr="007A7610">
              <w:rPr>
                <w:b/>
              </w:rPr>
              <w:t xml:space="preserve"> </w:t>
            </w:r>
          </w:p>
        </w:tc>
        <w:tc>
          <w:tcPr>
            <w:tcW w:w="7932" w:type="dxa"/>
          </w:tcPr>
          <w:p w14:paraId="12B2942A" w14:textId="77777777" w:rsidR="00F00CEA" w:rsidRPr="00427AC9" w:rsidRDefault="00F00CEA" w:rsidP="00D24F6D">
            <w:pPr>
              <w:spacing w:line="276" w:lineRule="auto"/>
              <w:rPr>
                <w:lang w:eastAsia="en-AU"/>
              </w:rPr>
            </w:pPr>
            <w:r w:rsidRPr="00427AC9">
              <w:rPr>
                <w:lang w:eastAsia="en-AU"/>
              </w:rPr>
              <w:t xml:space="preserve">Planning may take the form of either: (1) inclusion in the significant procurement plan; and/or (2) </w:t>
            </w:r>
            <w:r>
              <w:rPr>
                <w:lang w:eastAsia="en-AU"/>
              </w:rPr>
              <w:t xml:space="preserve">representation of </w:t>
            </w:r>
            <w:r w:rsidRPr="00427AC9">
              <w:rPr>
                <w:lang w:eastAsia="en-AU"/>
              </w:rPr>
              <w:t xml:space="preserve">a </w:t>
            </w:r>
            <w:r>
              <w:rPr>
                <w:lang w:eastAsia="en-AU"/>
              </w:rPr>
              <w:t xml:space="preserve">person with </w:t>
            </w:r>
            <w:r w:rsidRPr="00427AC9">
              <w:rPr>
                <w:lang w:eastAsia="en-AU"/>
              </w:rPr>
              <w:t>disability</w:t>
            </w:r>
            <w:r>
              <w:rPr>
                <w:lang w:eastAsia="en-AU"/>
              </w:rPr>
              <w:t xml:space="preserve"> on the procurement or project team, or both.</w:t>
            </w:r>
          </w:p>
          <w:p w14:paraId="67EAD264" w14:textId="77777777" w:rsidR="00F00CEA" w:rsidRPr="008D66EB" w:rsidRDefault="00F00CEA" w:rsidP="00D24F6D">
            <w:pPr>
              <w:spacing w:line="276" w:lineRule="auto"/>
              <w:rPr>
                <w:b/>
                <w:bCs/>
                <w:lang w:eastAsia="en-AU"/>
              </w:rPr>
            </w:pPr>
            <w:r w:rsidRPr="008D66EB">
              <w:rPr>
                <w:b/>
                <w:bCs/>
                <w:lang w:eastAsia="en-AU"/>
              </w:rPr>
              <w:t>Planning needs to:</w:t>
            </w:r>
          </w:p>
          <w:p w14:paraId="36963CF1" w14:textId="77777777" w:rsidR="00F00CEA" w:rsidRPr="008D66EB" w:rsidRDefault="00F00CEA" w:rsidP="00D24F6D">
            <w:pPr>
              <w:pStyle w:val="ListParagraph"/>
              <w:numPr>
                <w:ilvl w:val="0"/>
                <w:numId w:val="34"/>
              </w:numPr>
              <w:spacing w:after="0" w:line="276" w:lineRule="auto"/>
            </w:pPr>
            <w:r w:rsidRPr="008D66EB">
              <w:t xml:space="preserve">identify relevant legislation and any applicable standards </w:t>
            </w:r>
          </w:p>
          <w:p w14:paraId="3CACB1A2" w14:textId="77777777" w:rsidR="00F00CEA" w:rsidRPr="008D66EB" w:rsidRDefault="00F00CEA" w:rsidP="00D24F6D">
            <w:pPr>
              <w:pStyle w:val="ListParagraph"/>
              <w:numPr>
                <w:ilvl w:val="0"/>
                <w:numId w:val="34"/>
              </w:numPr>
              <w:spacing w:after="0" w:line="276" w:lineRule="auto"/>
            </w:pPr>
            <w:r w:rsidRPr="008D66EB">
              <w:t>assess the best approach for early and/or continual engagement with the disability sector in the pre-planning phase</w:t>
            </w:r>
          </w:p>
          <w:p w14:paraId="482763A6" w14:textId="77777777" w:rsidR="00F00CEA" w:rsidRPr="008D66EB" w:rsidRDefault="00F00CEA" w:rsidP="00D24F6D">
            <w:pPr>
              <w:pStyle w:val="ListParagraph"/>
              <w:numPr>
                <w:ilvl w:val="0"/>
                <w:numId w:val="34"/>
              </w:numPr>
              <w:spacing w:after="0" w:line="276" w:lineRule="auto"/>
            </w:pPr>
            <w:r w:rsidRPr="008D66EB">
              <w:t xml:space="preserve">establish a co-design engagement approach with the disability sector including level of participation and frequency (in major public infrastructure projects and all other projects determined to be applicable) </w:t>
            </w:r>
          </w:p>
          <w:p w14:paraId="2A26C24E" w14:textId="77777777" w:rsidR="00F00CEA" w:rsidRPr="008D66EB" w:rsidRDefault="00F00CEA" w:rsidP="00D24F6D">
            <w:pPr>
              <w:pStyle w:val="ListParagraph"/>
              <w:numPr>
                <w:ilvl w:val="0"/>
                <w:numId w:val="34"/>
              </w:numPr>
              <w:spacing w:after="0" w:line="276" w:lineRule="auto"/>
            </w:pPr>
            <w:r w:rsidRPr="008D66EB">
              <w:t>include disability compliance as part of the risk assessment process – identify any mitigation measures that may be needed (e.g. multiple touch points with the sector by engaging early, initial planning, evaluation of tenders, product testing phase).</w:t>
            </w:r>
          </w:p>
          <w:p w14:paraId="2BF8EC80" w14:textId="77777777" w:rsidR="00F00CEA" w:rsidRPr="00B11BC7" w:rsidRDefault="00F00CEA" w:rsidP="00D24F6D">
            <w:pPr>
              <w:spacing w:line="276" w:lineRule="auto"/>
            </w:pPr>
            <w:r w:rsidRPr="00427AC9">
              <w:t>The planning process should be used to inform specification development</w:t>
            </w:r>
            <w:r>
              <w:t>, evaluation criteria and subsequent measures to afford relevant rigor around DDA compliance in the evaluation of tender submissions.</w:t>
            </w:r>
            <w:r w:rsidRPr="00427AC9">
              <w:t xml:space="preserve"> </w:t>
            </w:r>
          </w:p>
        </w:tc>
      </w:tr>
      <w:tr w:rsidR="00F00CEA" w:rsidRPr="001D2B01" w14:paraId="71CDF465" w14:textId="77777777" w:rsidTr="00FB4EC3">
        <w:trPr>
          <w:trHeight w:val="70"/>
        </w:trPr>
        <w:tc>
          <w:tcPr>
            <w:tcW w:w="1696" w:type="dxa"/>
            <w:shd w:val="clear" w:color="auto" w:fill="A6A6A6" w:themeFill="background1" w:themeFillShade="A6"/>
          </w:tcPr>
          <w:p w14:paraId="141657C2" w14:textId="77777777" w:rsidR="00F00CEA" w:rsidRPr="002F660B" w:rsidRDefault="00F00CEA" w:rsidP="007A7610">
            <w:pPr>
              <w:rPr>
                <w:rFonts w:cs="Arial"/>
                <w:b/>
                <w:bCs/>
                <w:szCs w:val="20"/>
              </w:rPr>
            </w:pPr>
            <w:bookmarkStart w:id="21" w:name="_Toc196742892"/>
            <w:bookmarkStart w:id="22" w:name="_Toc201757247"/>
            <w:r w:rsidRPr="007A7610">
              <w:rPr>
                <w:b/>
              </w:rPr>
              <w:t>Tender specifications</w:t>
            </w:r>
            <w:bookmarkEnd w:id="21"/>
            <w:bookmarkEnd w:id="22"/>
          </w:p>
        </w:tc>
        <w:tc>
          <w:tcPr>
            <w:tcW w:w="7932" w:type="dxa"/>
          </w:tcPr>
          <w:p w14:paraId="38317868" w14:textId="77777777" w:rsidR="00F00CEA" w:rsidRPr="008D66EB" w:rsidRDefault="00F00CEA" w:rsidP="00D24F6D">
            <w:pPr>
              <w:spacing w:line="276" w:lineRule="auto"/>
              <w:rPr>
                <w:b/>
                <w:bCs/>
              </w:rPr>
            </w:pPr>
            <w:r w:rsidRPr="008D66EB">
              <w:rPr>
                <w:b/>
                <w:bCs/>
              </w:rPr>
              <w:t>The specification needs to be:</w:t>
            </w:r>
          </w:p>
          <w:p w14:paraId="5CE4F9D5" w14:textId="77777777" w:rsidR="00F00CEA" w:rsidRPr="008D66EB" w:rsidRDefault="00F00CEA" w:rsidP="00D24F6D">
            <w:pPr>
              <w:pStyle w:val="ListParagraph"/>
              <w:numPr>
                <w:ilvl w:val="0"/>
                <w:numId w:val="35"/>
              </w:numPr>
              <w:spacing w:after="0" w:line="276" w:lineRule="auto"/>
            </w:pPr>
            <w:r w:rsidRPr="008D66EB">
              <w:t xml:space="preserve">based on, and require compliance with, relevant legislation and disability standards </w:t>
            </w:r>
          </w:p>
          <w:p w14:paraId="5751483A" w14:textId="77777777" w:rsidR="00F00CEA" w:rsidRPr="008D66EB" w:rsidRDefault="00F00CEA" w:rsidP="00D24F6D">
            <w:pPr>
              <w:pStyle w:val="ListParagraph"/>
              <w:numPr>
                <w:ilvl w:val="0"/>
                <w:numId w:val="35"/>
              </w:numPr>
              <w:spacing w:after="0" w:line="276" w:lineRule="auto"/>
            </w:pPr>
            <w:r w:rsidRPr="008D66EB">
              <w:t xml:space="preserve">consulted with the disability sector as appropriate with user-testing </w:t>
            </w:r>
          </w:p>
          <w:p w14:paraId="644CCFD4" w14:textId="77777777" w:rsidR="00F00CEA" w:rsidRPr="008D66EB" w:rsidRDefault="00F00CEA" w:rsidP="00D24F6D">
            <w:pPr>
              <w:pStyle w:val="ListParagraph"/>
              <w:numPr>
                <w:ilvl w:val="0"/>
                <w:numId w:val="35"/>
              </w:numPr>
              <w:spacing w:after="0" w:line="276" w:lineRule="auto"/>
            </w:pPr>
            <w:r w:rsidRPr="008D66EB">
              <w:t xml:space="preserve">signed off as compliant with the applicable legislation </w:t>
            </w:r>
            <w:r w:rsidR="000C73EB" w:rsidRPr="008D66EB">
              <w:t xml:space="preserve">including the DDA </w:t>
            </w:r>
            <w:r w:rsidRPr="008D66EB">
              <w:t xml:space="preserve">and </w:t>
            </w:r>
            <w:r w:rsidR="000C73EB" w:rsidRPr="008D66EB">
              <w:t>D</w:t>
            </w:r>
            <w:r w:rsidRPr="008D66EB">
              <w:t xml:space="preserve">isability </w:t>
            </w:r>
            <w:r w:rsidR="000C73EB" w:rsidRPr="008D66EB">
              <w:t>S</w:t>
            </w:r>
            <w:r w:rsidRPr="008D66EB">
              <w:t>tandards.</w:t>
            </w:r>
          </w:p>
        </w:tc>
      </w:tr>
      <w:tr w:rsidR="00F00CEA" w:rsidRPr="001D2B01" w14:paraId="27B5A1D5" w14:textId="77777777" w:rsidTr="00FB4EC3">
        <w:trPr>
          <w:trHeight w:val="70"/>
        </w:trPr>
        <w:tc>
          <w:tcPr>
            <w:tcW w:w="1696" w:type="dxa"/>
            <w:shd w:val="clear" w:color="auto" w:fill="A6A6A6" w:themeFill="background1" w:themeFillShade="A6"/>
          </w:tcPr>
          <w:p w14:paraId="0525B49D" w14:textId="77777777" w:rsidR="00F00CEA" w:rsidRPr="002F660B" w:rsidRDefault="00F00CEA" w:rsidP="007A7610">
            <w:pPr>
              <w:rPr>
                <w:rFonts w:cs="Arial"/>
                <w:b/>
                <w:bCs/>
                <w:szCs w:val="20"/>
              </w:rPr>
            </w:pPr>
            <w:bookmarkStart w:id="23" w:name="_Toc196742893"/>
            <w:bookmarkStart w:id="24" w:name="_Toc201757248"/>
            <w:r w:rsidRPr="007A7610">
              <w:rPr>
                <w:b/>
              </w:rPr>
              <w:t>Go to market</w:t>
            </w:r>
            <w:bookmarkEnd w:id="23"/>
            <w:bookmarkEnd w:id="24"/>
          </w:p>
          <w:p w14:paraId="128EB07F" w14:textId="77777777" w:rsidR="00F00CEA" w:rsidRPr="007A7610" w:rsidRDefault="00F00CEA" w:rsidP="00844691">
            <w:pPr>
              <w:rPr>
                <w:b/>
                <w:lang w:eastAsia="en-AU"/>
              </w:rPr>
            </w:pPr>
          </w:p>
        </w:tc>
        <w:tc>
          <w:tcPr>
            <w:tcW w:w="7932" w:type="dxa"/>
          </w:tcPr>
          <w:p w14:paraId="0715BA3A" w14:textId="77777777" w:rsidR="00F00CEA" w:rsidRPr="008D66EB" w:rsidRDefault="00F00CEA" w:rsidP="00D24F6D">
            <w:pPr>
              <w:spacing w:line="276" w:lineRule="auto"/>
              <w:rPr>
                <w:b/>
                <w:bCs/>
              </w:rPr>
            </w:pPr>
            <w:r w:rsidRPr="008D66EB">
              <w:rPr>
                <w:b/>
                <w:bCs/>
              </w:rPr>
              <w:t>Tender documentation should include:</w:t>
            </w:r>
          </w:p>
          <w:p w14:paraId="6795FE7D" w14:textId="77777777" w:rsidR="00F00CEA" w:rsidRPr="008D66EB" w:rsidRDefault="00F00CEA" w:rsidP="00D24F6D">
            <w:pPr>
              <w:pStyle w:val="ListParagraph"/>
              <w:numPr>
                <w:ilvl w:val="0"/>
                <w:numId w:val="36"/>
              </w:numPr>
              <w:spacing w:after="0" w:line="276" w:lineRule="auto"/>
            </w:pPr>
            <w:r w:rsidRPr="008D66EB">
              <w:t>a specification which is compliant with relevant legislation and standards</w:t>
            </w:r>
          </w:p>
          <w:p w14:paraId="0050DCD4" w14:textId="77777777" w:rsidR="00F00CEA" w:rsidRPr="008D66EB" w:rsidRDefault="00F00CEA" w:rsidP="00D24F6D">
            <w:pPr>
              <w:pStyle w:val="ListParagraph"/>
              <w:numPr>
                <w:ilvl w:val="0"/>
                <w:numId w:val="36"/>
              </w:numPr>
              <w:spacing w:after="0" w:line="276" w:lineRule="auto"/>
            </w:pPr>
            <w:r w:rsidRPr="008D66EB">
              <w:t xml:space="preserve">an explicit statement that compliance is required and offerors are to provide either a demonstration of </w:t>
            </w:r>
            <w:proofErr w:type="gramStart"/>
            <w:r w:rsidRPr="008D66EB">
              <w:t>compliance</w:t>
            </w:r>
            <w:proofErr w:type="gramEnd"/>
            <w:r w:rsidRPr="008D66EB">
              <w:t xml:space="preserve"> or a demonstration of how equivalent access will be achieved (where applicable)</w:t>
            </w:r>
          </w:p>
          <w:p w14:paraId="39345535" w14:textId="77777777" w:rsidR="00F00CEA" w:rsidRPr="008D66EB" w:rsidRDefault="00F00CEA" w:rsidP="00D24F6D">
            <w:pPr>
              <w:pStyle w:val="ListParagraph"/>
              <w:numPr>
                <w:ilvl w:val="0"/>
                <w:numId w:val="36"/>
              </w:numPr>
              <w:spacing w:after="0" w:line="276" w:lineRule="auto"/>
            </w:pPr>
            <w:r w:rsidRPr="008D66EB">
              <w:t>demonstration of how minimum standards have been exceeded to achieve greater accessibility (e.g. records of user-testing prototypes).</w:t>
            </w:r>
          </w:p>
        </w:tc>
      </w:tr>
      <w:tr w:rsidR="00F00CEA" w:rsidRPr="001D2B01" w14:paraId="25B200A9" w14:textId="77777777" w:rsidTr="00FB4EC3">
        <w:trPr>
          <w:trHeight w:val="70"/>
        </w:trPr>
        <w:tc>
          <w:tcPr>
            <w:tcW w:w="1696" w:type="dxa"/>
            <w:shd w:val="clear" w:color="auto" w:fill="A6A6A6" w:themeFill="background1" w:themeFillShade="A6"/>
          </w:tcPr>
          <w:p w14:paraId="7E0E267E" w14:textId="77777777" w:rsidR="00F00CEA" w:rsidRPr="002F660B" w:rsidRDefault="00F00CEA" w:rsidP="007A7610">
            <w:pPr>
              <w:rPr>
                <w:rFonts w:cs="Arial"/>
                <w:b/>
                <w:bCs/>
                <w:szCs w:val="20"/>
              </w:rPr>
            </w:pPr>
            <w:bookmarkStart w:id="25" w:name="_Toc196742894"/>
            <w:bookmarkStart w:id="26" w:name="_Toc201757249"/>
            <w:r w:rsidRPr="007A7610">
              <w:rPr>
                <w:b/>
              </w:rPr>
              <w:t>Evaluation</w:t>
            </w:r>
            <w:bookmarkEnd w:id="25"/>
            <w:bookmarkEnd w:id="26"/>
          </w:p>
        </w:tc>
        <w:tc>
          <w:tcPr>
            <w:tcW w:w="7932" w:type="dxa"/>
          </w:tcPr>
          <w:p w14:paraId="7FE79FDD" w14:textId="77777777" w:rsidR="00F00CEA" w:rsidRPr="008D66EB" w:rsidRDefault="00F00CEA" w:rsidP="00D24F6D">
            <w:pPr>
              <w:spacing w:line="276" w:lineRule="auto"/>
              <w:rPr>
                <w:b/>
                <w:bCs/>
              </w:rPr>
            </w:pPr>
            <w:r w:rsidRPr="008D66EB">
              <w:rPr>
                <w:b/>
                <w:bCs/>
              </w:rPr>
              <w:t>Evaluation of tenders should include:</w:t>
            </w:r>
          </w:p>
          <w:p w14:paraId="73ECD74B" w14:textId="77777777" w:rsidR="00F00CEA" w:rsidRPr="008D66EB" w:rsidRDefault="00F00CEA" w:rsidP="00D24F6D">
            <w:pPr>
              <w:pStyle w:val="ListParagraph"/>
              <w:numPr>
                <w:ilvl w:val="0"/>
                <w:numId w:val="38"/>
              </w:numPr>
              <w:spacing w:after="0" w:line="276" w:lineRule="auto"/>
            </w:pPr>
            <w:r w:rsidRPr="008D66EB">
              <w:t xml:space="preserve">making it a mandatory criterion (e.g. a yes or no response) that accessibility compliance is achieved (e.g. demonstrating use of universal design, </w:t>
            </w:r>
            <w:r w:rsidR="00B66D90" w:rsidRPr="008D66EB">
              <w:t>the DDA</w:t>
            </w:r>
            <w:r w:rsidRPr="008D66EB">
              <w:t xml:space="preserve"> and </w:t>
            </w:r>
            <w:r w:rsidR="00ED52ED" w:rsidRPr="008D66EB">
              <w:t>Disability S</w:t>
            </w:r>
            <w:r w:rsidRPr="008D66EB">
              <w:t>tandards compliance has been met, additional accessibility measures)</w:t>
            </w:r>
          </w:p>
          <w:p w14:paraId="600C5BBE" w14:textId="77777777" w:rsidR="00F00CEA" w:rsidRPr="008D66EB" w:rsidRDefault="00F00CEA" w:rsidP="00D24F6D">
            <w:pPr>
              <w:pStyle w:val="ListParagraph"/>
              <w:numPr>
                <w:ilvl w:val="0"/>
                <w:numId w:val="38"/>
              </w:numPr>
              <w:spacing w:after="0" w:line="276" w:lineRule="auto"/>
            </w:pPr>
            <w:proofErr w:type="gramStart"/>
            <w:r w:rsidRPr="008D66EB">
              <w:t>an</w:t>
            </w:r>
            <w:proofErr w:type="gramEnd"/>
            <w:r w:rsidRPr="008D66EB">
              <w:t xml:space="preserve"> outline of how compliance will be evaluated, including how equivalent access will be evaluated (e.g. records of disability consultation by tenderers)</w:t>
            </w:r>
          </w:p>
          <w:p w14:paraId="55287FD5" w14:textId="77777777" w:rsidR="00F00CEA" w:rsidRPr="008D66EB" w:rsidRDefault="00F00CEA" w:rsidP="00D24F6D">
            <w:pPr>
              <w:pStyle w:val="ListParagraph"/>
              <w:numPr>
                <w:ilvl w:val="0"/>
                <w:numId w:val="38"/>
              </w:numPr>
              <w:spacing w:after="0" w:line="276" w:lineRule="auto"/>
            </w:pPr>
            <w:r w:rsidRPr="008D66EB">
              <w:t>inclusion of a person/s with disability when evaluating tender submissions for accessibility compliance.</w:t>
            </w:r>
          </w:p>
          <w:p w14:paraId="0DBCF93B" w14:textId="77777777" w:rsidR="00F00CEA" w:rsidRPr="008D66EB" w:rsidRDefault="00F00CEA" w:rsidP="00D24F6D">
            <w:pPr>
              <w:spacing w:line="276" w:lineRule="auto"/>
            </w:pPr>
            <w:r w:rsidRPr="008D66EB">
              <w:t>The subsequent evaluation report should specifically cover disability compliance and the assessment undertaken. Where approvals are subsequently sought, explicit mention of the procurement solution’s compliance with disability legislation needs to be made.</w:t>
            </w:r>
          </w:p>
        </w:tc>
      </w:tr>
      <w:tr w:rsidR="00F00CEA" w:rsidRPr="001D2B01" w14:paraId="68FED78B" w14:textId="77777777" w:rsidTr="00FB4EC3">
        <w:tc>
          <w:tcPr>
            <w:tcW w:w="1696" w:type="dxa"/>
            <w:shd w:val="clear" w:color="auto" w:fill="A6A6A6" w:themeFill="background1" w:themeFillShade="A6"/>
          </w:tcPr>
          <w:p w14:paraId="38D01E06" w14:textId="77777777" w:rsidR="00F00CEA" w:rsidRPr="002F660B" w:rsidRDefault="00F00CEA" w:rsidP="007A7610">
            <w:pPr>
              <w:rPr>
                <w:rFonts w:cs="Arial"/>
                <w:b/>
                <w:bCs/>
                <w:szCs w:val="20"/>
              </w:rPr>
            </w:pPr>
            <w:bookmarkStart w:id="27" w:name="_Toc196742895"/>
            <w:bookmarkStart w:id="28" w:name="_Toc201757250"/>
            <w:r w:rsidRPr="007A7610">
              <w:rPr>
                <w:b/>
              </w:rPr>
              <w:t>Contract formation</w:t>
            </w:r>
            <w:bookmarkEnd w:id="27"/>
            <w:bookmarkEnd w:id="28"/>
          </w:p>
        </w:tc>
        <w:tc>
          <w:tcPr>
            <w:tcW w:w="7932" w:type="dxa"/>
          </w:tcPr>
          <w:p w14:paraId="231CA2B9" w14:textId="77777777" w:rsidR="00F00CEA" w:rsidRPr="008D66EB" w:rsidRDefault="00F00CEA" w:rsidP="00D24F6D">
            <w:pPr>
              <w:spacing w:line="276" w:lineRule="auto"/>
              <w:rPr>
                <w:b/>
                <w:bCs/>
              </w:rPr>
            </w:pPr>
            <w:r w:rsidRPr="008D66EB">
              <w:rPr>
                <w:b/>
                <w:bCs/>
              </w:rPr>
              <w:t>The resulting contract should:</w:t>
            </w:r>
          </w:p>
          <w:p w14:paraId="1C9B652E" w14:textId="77777777" w:rsidR="00F00CEA" w:rsidRPr="008D66EB" w:rsidRDefault="00F00CEA" w:rsidP="00D24F6D">
            <w:pPr>
              <w:pStyle w:val="ListParagraph"/>
              <w:numPr>
                <w:ilvl w:val="0"/>
                <w:numId w:val="39"/>
              </w:numPr>
              <w:spacing w:after="0" w:line="276" w:lineRule="auto"/>
            </w:pPr>
            <w:r w:rsidRPr="008D66EB">
              <w:t xml:space="preserve">include all relevant compliance undertakings made in the tender phase </w:t>
            </w:r>
          </w:p>
          <w:p w14:paraId="1085649D" w14:textId="77777777" w:rsidR="00F00CEA" w:rsidRPr="008D66EB" w:rsidRDefault="00F00CEA" w:rsidP="00D24F6D">
            <w:pPr>
              <w:pStyle w:val="ListParagraph"/>
              <w:numPr>
                <w:ilvl w:val="0"/>
                <w:numId w:val="39"/>
              </w:numPr>
              <w:spacing w:after="0" w:line="276" w:lineRule="auto"/>
            </w:pPr>
            <w:r w:rsidRPr="008D66EB">
              <w:t>be clear on how disability compliance will be assessed and any decision ‘gates’ during any construction or build processes</w:t>
            </w:r>
          </w:p>
          <w:p w14:paraId="687198C6" w14:textId="77777777" w:rsidR="00F00CEA" w:rsidRPr="008D66EB" w:rsidRDefault="00F00CEA" w:rsidP="00D24F6D">
            <w:pPr>
              <w:pStyle w:val="ListParagraph"/>
              <w:numPr>
                <w:ilvl w:val="0"/>
                <w:numId w:val="39"/>
              </w:numPr>
              <w:spacing w:after="0" w:line="276" w:lineRule="auto"/>
            </w:pPr>
            <w:r w:rsidRPr="008D66EB">
              <w:lastRenderedPageBreak/>
              <w:t xml:space="preserve">ensure, where possible, that a single agreed specification is used by the successful offeror (which is DDA compliant). </w:t>
            </w:r>
            <w:r w:rsidRPr="008D66EB">
              <w:rPr>
                <w:lang w:eastAsia="en-AU"/>
              </w:rPr>
              <w:t xml:space="preserve"> </w:t>
            </w:r>
          </w:p>
        </w:tc>
      </w:tr>
      <w:tr w:rsidR="00F00CEA" w:rsidRPr="001D2B01" w14:paraId="6EDE3846" w14:textId="77777777" w:rsidTr="00FB4EC3">
        <w:tc>
          <w:tcPr>
            <w:tcW w:w="1696" w:type="dxa"/>
            <w:shd w:val="clear" w:color="auto" w:fill="A6A6A6" w:themeFill="background1" w:themeFillShade="A6"/>
          </w:tcPr>
          <w:p w14:paraId="139FD3C1" w14:textId="77777777" w:rsidR="00F00CEA" w:rsidRPr="002F660B" w:rsidRDefault="00F00CEA" w:rsidP="007A7610">
            <w:pPr>
              <w:rPr>
                <w:rFonts w:cs="Arial"/>
                <w:b/>
                <w:bCs/>
                <w:szCs w:val="20"/>
              </w:rPr>
            </w:pPr>
            <w:bookmarkStart w:id="29" w:name="_Toc196742896"/>
            <w:bookmarkStart w:id="30" w:name="_Toc201757251"/>
            <w:r w:rsidRPr="007A7610">
              <w:rPr>
                <w:b/>
              </w:rPr>
              <w:lastRenderedPageBreak/>
              <w:t>Contract management</w:t>
            </w:r>
            <w:bookmarkEnd w:id="29"/>
            <w:bookmarkEnd w:id="30"/>
          </w:p>
        </w:tc>
        <w:tc>
          <w:tcPr>
            <w:tcW w:w="7932" w:type="dxa"/>
          </w:tcPr>
          <w:p w14:paraId="758B47EF" w14:textId="77777777" w:rsidR="00F00CEA" w:rsidRPr="008D66EB" w:rsidRDefault="00F00CEA" w:rsidP="00D24F6D">
            <w:pPr>
              <w:spacing w:line="276" w:lineRule="auto"/>
              <w:rPr>
                <w:b/>
                <w:bCs/>
              </w:rPr>
            </w:pPr>
            <w:r w:rsidRPr="008D66EB">
              <w:rPr>
                <w:b/>
                <w:bCs/>
              </w:rPr>
              <w:t>In this stage:</w:t>
            </w:r>
          </w:p>
          <w:p w14:paraId="7B539E32" w14:textId="77777777" w:rsidR="00F00CEA" w:rsidRPr="008D66EB" w:rsidRDefault="00F00CEA" w:rsidP="00D24F6D">
            <w:pPr>
              <w:pStyle w:val="ListParagraph"/>
              <w:numPr>
                <w:ilvl w:val="0"/>
                <w:numId w:val="40"/>
              </w:numPr>
              <w:spacing w:after="0" w:line="276" w:lineRule="auto"/>
            </w:pPr>
            <w:proofErr w:type="gramStart"/>
            <w:r w:rsidRPr="008D66EB">
              <w:t>the</w:t>
            </w:r>
            <w:proofErr w:type="gramEnd"/>
            <w:r w:rsidRPr="008D66EB">
              <w:t xml:space="preserve"> contract needs to be proactively managed with checks done at each decision ‘gate’</w:t>
            </w:r>
          </w:p>
          <w:p w14:paraId="51E8E677" w14:textId="77777777" w:rsidR="00F00CEA" w:rsidRPr="008D66EB" w:rsidRDefault="00F00CEA" w:rsidP="00D24F6D">
            <w:pPr>
              <w:pStyle w:val="ListParagraph"/>
              <w:numPr>
                <w:ilvl w:val="0"/>
                <w:numId w:val="40"/>
              </w:numPr>
              <w:spacing w:after="0" w:line="276" w:lineRule="auto"/>
            </w:pPr>
            <w:r w:rsidRPr="008D66EB">
              <w:t xml:space="preserve">acceptance of any good or service needs to verify that compliance (or equivalent access) has been obtained. Acceptance of goods or </w:t>
            </w:r>
            <w:proofErr w:type="gramStart"/>
            <w:r w:rsidRPr="008D66EB">
              <w:t>service</w:t>
            </w:r>
            <w:proofErr w:type="gramEnd"/>
            <w:r w:rsidRPr="008D66EB">
              <w:t xml:space="preserve"> should not occur until verification is provided.</w:t>
            </w:r>
          </w:p>
        </w:tc>
      </w:tr>
      <w:bookmarkEnd w:id="20"/>
    </w:tbl>
    <w:p w14:paraId="5E21B57C" w14:textId="77777777" w:rsidR="00F00CEA" w:rsidRDefault="00F00CEA" w:rsidP="00217D4E">
      <w:pPr>
        <w:spacing w:after="0"/>
        <w:rPr>
          <w:color w:val="FF0000"/>
        </w:rPr>
      </w:pPr>
    </w:p>
    <w:p w14:paraId="4E3C5127" w14:textId="77777777" w:rsidR="00F00CEA" w:rsidRDefault="00F00CEA" w:rsidP="00217D4E">
      <w:pPr>
        <w:spacing w:after="0"/>
      </w:pPr>
      <w:r w:rsidRPr="00B85DA8">
        <w:t xml:space="preserve">Refer to the suite of </w:t>
      </w:r>
      <w:hyperlink r:id="rId16" w:history="1">
        <w:r w:rsidRPr="00B85DA8">
          <w:rPr>
            <w:rStyle w:val="Hyperlink"/>
          </w:rPr>
          <w:t>procurement guidance</w:t>
        </w:r>
      </w:hyperlink>
      <w:r>
        <w:t xml:space="preserve"> </w:t>
      </w:r>
      <w:r w:rsidR="00ED25A4">
        <w:t>[</w:t>
      </w:r>
      <w:r w:rsidR="00ED25A4" w:rsidRPr="00ED25A4">
        <w:t>https://www.forgov.qld.gov.au/finance-procurement-and-travel/procurement/procurement-resources/procurement-guidance</w:t>
      </w:r>
      <w:r w:rsidR="00ED25A4">
        <w:t xml:space="preserve">] </w:t>
      </w:r>
      <w:r w:rsidRPr="00B85DA8">
        <w:t>for detailed processes relating to these stages.</w:t>
      </w:r>
    </w:p>
    <w:p w14:paraId="7B022FB6" w14:textId="77777777" w:rsidR="00F00CEA" w:rsidRDefault="00F00CEA" w:rsidP="00217D4E">
      <w:pPr>
        <w:spacing w:after="0"/>
        <w:rPr>
          <w:color w:val="FF0000"/>
        </w:rPr>
      </w:pPr>
    </w:p>
    <w:p w14:paraId="1DED6490" w14:textId="77777777" w:rsidR="00F00CEA" w:rsidRDefault="00F00CEA" w:rsidP="00217D4E">
      <w:pPr>
        <w:pStyle w:val="Heading2"/>
      </w:pPr>
      <w:bookmarkStart w:id="31" w:name="_Toc196742897"/>
      <w:bookmarkStart w:id="32" w:name="_Toc207030961"/>
      <w:r>
        <w:t>Areas to go for specialist advice</w:t>
      </w:r>
      <w:bookmarkEnd w:id="31"/>
      <w:bookmarkEnd w:id="32"/>
    </w:p>
    <w:p w14:paraId="37379D23" w14:textId="77777777" w:rsidR="00F00CEA" w:rsidRPr="00DE372A" w:rsidRDefault="00F00CEA" w:rsidP="00DE372A">
      <w:pPr>
        <w:pStyle w:val="Heading3"/>
      </w:pPr>
      <w:bookmarkStart w:id="33" w:name="_Toc196742898"/>
      <w:r w:rsidRPr="00DE372A">
        <w:t>Category council leads</w:t>
      </w:r>
      <w:bookmarkEnd w:id="33"/>
    </w:p>
    <w:p w14:paraId="6B9423B9" w14:textId="77777777" w:rsidR="00F00CEA" w:rsidRPr="00F27D91" w:rsidRDefault="00F00CEA" w:rsidP="00217D4E">
      <w:pPr>
        <w:pStyle w:val="NormalWeb"/>
        <w:shd w:val="clear" w:color="auto" w:fill="FFFFFF"/>
        <w:spacing w:before="0" w:beforeAutospacing="0" w:after="0" w:afterAutospacing="0"/>
        <w:rPr>
          <w:rFonts w:ascii="Arial" w:hAnsi="Arial" w:cs="Arial"/>
          <w:color w:val="212529"/>
          <w:sz w:val="20"/>
          <w:szCs w:val="20"/>
        </w:rPr>
      </w:pPr>
      <w:r w:rsidRPr="00F27D91">
        <w:rPr>
          <w:rFonts w:ascii="Arial" w:hAnsi="Arial" w:cs="Arial"/>
          <w:color w:val="212529"/>
          <w:sz w:val="20"/>
          <w:szCs w:val="20"/>
        </w:rPr>
        <w:t>Agency-led category councils oversee and direct procurement activities for each category group (e.g. ICT, Medical). The category council governs the category strategy for the spend profile and endorses related category plans.</w:t>
      </w:r>
    </w:p>
    <w:p w14:paraId="2D2B7282" w14:textId="77777777" w:rsidR="00F00CEA" w:rsidRDefault="00F00CEA" w:rsidP="00217D4E">
      <w:pPr>
        <w:pStyle w:val="NormalWeb"/>
        <w:shd w:val="clear" w:color="auto" w:fill="FFFFFF"/>
        <w:spacing w:before="0" w:beforeAutospacing="0" w:after="0" w:afterAutospacing="0"/>
        <w:rPr>
          <w:rFonts w:ascii="Arial" w:hAnsi="Arial" w:cs="Arial"/>
          <w:color w:val="212529"/>
          <w:sz w:val="22"/>
          <w:szCs w:val="22"/>
        </w:rPr>
      </w:pPr>
    </w:p>
    <w:p w14:paraId="76D4BA44" w14:textId="77777777" w:rsidR="00F00CEA" w:rsidRPr="00483333" w:rsidRDefault="00F00CEA" w:rsidP="00217D4E">
      <w:pPr>
        <w:pStyle w:val="NormalWeb"/>
        <w:shd w:val="clear" w:color="auto" w:fill="FFFFFF"/>
        <w:spacing w:before="0" w:beforeAutospacing="0" w:after="0" w:afterAutospacing="0"/>
        <w:rPr>
          <w:rFonts w:ascii="Arial" w:hAnsi="Arial" w:cs="Arial"/>
          <w:b/>
          <w:color w:val="212529"/>
          <w:sz w:val="22"/>
          <w:szCs w:val="22"/>
        </w:rPr>
      </w:pPr>
      <w:r w:rsidRPr="00483333">
        <w:rPr>
          <w:rFonts w:ascii="Arial" w:hAnsi="Arial" w:cs="Arial"/>
          <w:b/>
          <w:color w:val="212529"/>
          <w:sz w:val="22"/>
          <w:szCs w:val="22"/>
        </w:rPr>
        <w:t>Category councils:</w:t>
      </w:r>
      <w:r w:rsidRPr="00483333">
        <w:rPr>
          <w:rFonts w:ascii="Arial" w:hAnsi="Arial" w:cs="Arial"/>
          <w:b/>
          <w:sz w:val="22"/>
          <w:szCs w:val="22"/>
        </w:rPr>
        <w:t xml:space="preserve"> </w:t>
      </w:r>
    </w:p>
    <w:p w14:paraId="59FAC920" w14:textId="77777777" w:rsidR="00F00CEA" w:rsidRDefault="00F00CEA" w:rsidP="00F00CEA">
      <w:pPr>
        <w:pStyle w:val="ListParagraph"/>
        <w:numPr>
          <w:ilvl w:val="0"/>
          <w:numId w:val="16"/>
        </w:numPr>
        <w:spacing w:before="120" w:line="264" w:lineRule="auto"/>
        <w:contextualSpacing/>
      </w:pPr>
      <w:r>
        <w:t>Building Construction and Maintenance – Department of Housing and Public Works</w:t>
      </w:r>
    </w:p>
    <w:p w14:paraId="0502A55F" w14:textId="77777777" w:rsidR="00F00CEA" w:rsidRDefault="00F00CEA" w:rsidP="00F00CEA">
      <w:pPr>
        <w:pStyle w:val="ListParagraph"/>
        <w:numPr>
          <w:ilvl w:val="0"/>
          <w:numId w:val="16"/>
        </w:numPr>
        <w:spacing w:before="120" w:line="264" w:lineRule="auto"/>
        <w:contextualSpacing/>
      </w:pPr>
      <w:r>
        <w:t>General Goods and Services – Department of Housing and Public Works</w:t>
      </w:r>
    </w:p>
    <w:p w14:paraId="518EF1B2" w14:textId="77777777" w:rsidR="00F00CEA" w:rsidRDefault="00F00CEA" w:rsidP="00F00CEA">
      <w:pPr>
        <w:pStyle w:val="ListParagraph"/>
        <w:numPr>
          <w:ilvl w:val="0"/>
          <w:numId w:val="16"/>
        </w:numPr>
        <w:spacing w:before="120" w:line="264" w:lineRule="auto"/>
        <w:contextualSpacing/>
      </w:pPr>
      <w:r>
        <w:t>Information and Communication Technology – Department of Customer Services, Open Data and Small and Family Business</w:t>
      </w:r>
    </w:p>
    <w:p w14:paraId="73DB1EBD" w14:textId="77777777" w:rsidR="00F00CEA" w:rsidRDefault="00F00CEA" w:rsidP="00F00CEA">
      <w:pPr>
        <w:pStyle w:val="ListParagraph"/>
        <w:numPr>
          <w:ilvl w:val="0"/>
          <w:numId w:val="16"/>
        </w:numPr>
        <w:spacing w:before="120" w:line="264" w:lineRule="auto"/>
        <w:contextualSpacing/>
      </w:pPr>
      <w:r>
        <w:t>Medical Goods and Services – Queensland Health</w:t>
      </w:r>
    </w:p>
    <w:p w14:paraId="38373A23" w14:textId="77777777" w:rsidR="00F00CEA" w:rsidRDefault="00F00CEA" w:rsidP="00F00CEA">
      <w:pPr>
        <w:pStyle w:val="ListParagraph"/>
        <w:numPr>
          <w:ilvl w:val="0"/>
          <w:numId w:val="16"/>
        </w:numPr>
        <w:spacing w:before="120" w:line="264" w:lineRule="auto"/>
        <w:contextualSpacing/>
      </w:pPr>
      <w:r>
        <w:t>Social Services – Department of Families, Seniors, Disability Services and Child Safety</w:t>
      </w:r>
    </w:p>
    <w:p w14:paraId="39BE25C2" w14:textId="77777777" w:rsidR="00F00CEA" w:rsidRDefault="00F00CEA" w:rsidP="00F00CEA">
      <w:pPr>
        <w:pStyle w:val="ListParagraph"/>
        <w:numPr>
          <w:ilvl w:val="0"/>
          <w:numId w:val="16"/>
        </w:numPr>
        <w:spacing w:before="120" w:line="264" w:lineRule="auto"/>
        <w:contextualSpacing/>
      </w:pPr>
      <w:r>
        <w:t>Transport Infrastructure and Services – Department of Transport and Main Roads.</w:t>
      </w:r>
    </w:p>
    <w:p w14:paraId="4EBB6389" w14:textId="77777777" w:rsidR="00F00CEA" w:rsidRDefault="00F00CEA" w:rsidP="00217D4E">
      <w:pPr>
        <w:pStyle w:val="Heading3"/>
      </w:pPr>
      <w:bookmarkStart w:id="34" w:name="_Toc196742899"/>
      <w:r w:rsidRPr="00663390">
        <w:t>Industry Reference Group disability representatives</w:t>
      </w:r>
      <w:bookmarkEnd w:id="34"/>
    </w:p>
    <w:p w14:paraId="05E6535E" w14:textId="77777777" w:rsidR="00F00CEA" w:rsidRPr="00220AC2" w:rsidRDefault="00F00CEA" w:rsidP="00217D4E">
      <w:r>
        <w:t>Each</w:t>
      </w:r>
      <w:r w:rsidR="00F176F9">
        <w:t xml:space="preserve"> category</w:t>
      </w:r>
      <w:r>
        <w:t xml:space="preserve"> council has an associated Industry Reference Group (IRG) to facilitate a coordinated and consultative approach when dealing with industry. IRGs have disability representatives appointed to ensure perspectives and input from the disability sector are included. </w:t>
      </w:r>
    </w:p>
    <w:p w14:paraId="7018F365" w14:textId="77777777" w:rsidR="00F00CEA" w:rsidRDefault="00F00CEA" w:rsidP="00217D4E">
      <w:r>
        <w:t xml:space="preserve">The </w:t>
      </w:r>
      <w:r w:rsidR="009534B0">
        <w:t xml:space="preserve">disability representative on the relevant </w:t>
      </w:r>
      <w:r>
        <w:t>IRG will be your initial contact in the pre-planning stage to seek advice on early engagement with a disability specialist for your desired procurement activity. You can contact the appropriate IRG member through the category council lead agency.</w:t>
      </w:r>
    </w:p>
    <w:p w14:paraId="083E5704" w14:textId="77777777" w:rsidR="00F00CEA" w:rsidRDefault="00F00CEA" w:rsidP="00217D4E">
      <w:pPr>
        <w:pStyle w:val="Heading3"/>
      </w:pPr>
      <w:bookmarkStart w:id="35" w:name="_Toc196742900"/>
      <w:r>
        <w:t>Disability sector organisations</w:t>
      </w:r>
      <w:bookmarkEnd w:id="35"/>
    </w:p>
    <w:p w14:paraId="5A9CE887" w14:textId="77777777" w:rsidR="00F00CEA" w:rsidRDefault="00F00CEA" w:rsidP="00217D4E">
      <w:pPr>
        <w:rPr>
          <w:rFonts w:cs="Arial"/>
          <w:b/>
          <w:bCs/>
          <w:color w:val="A70236"/>
          <w:sz w:val="32"/>
          <w:szCs w:val="20"/>
          <w:lang w:eastAsia="en-AU"/>
        </w:rPr>
      </w:pPr>
      <w:r>
        <w:t xml:space="preserve">After consideration of category council lead or IRG member advice, you may wish to obtain additional sector input or be connected to specific technical expertise. </w:t>
      </w:r>
      <w:proofErr w:type="gramStart"/>
      <w:r>
        <w:t>A number of</w:t>
      </w:r>
      <w:proofErr w:type="gramEnd"/>
      <w:r>
        <w:t xml:space="preserve"> organisations exist in Queensland to support individual, systems and legal advocacy (refer to </w:t>
      </w:r>
      <w:r w:rsidRPr="005C3451">
        <w:rPr>
          <w:b/>
        </w:rPr>
        <w:t>Appendix 1</w:t>
      </w:r>
      <w:r>
        <w:t xml:space="preserve"> for a list of organisations)</w:t>
      </w:r>
      <w:r w:rsidR="00A77AC6">
        <w:rPr>
          <w:rStyle w:val="FootnoteReference"/>
        </w:rPr>
        <w:footnoteReference w:customMarkFollows="1" w:id="1"/>
        <w:t>1</w:t>
      </w:r>
      <w:r>
        <w:t xml:space="preserve">. The capacity of these organisations can be </w:t>
      </w:r>
      <w:proofErr w:type="gramStart"/>
      <w:r>
        <w:t>limited</w:t>
      </w:r>
      <w:proofErr w:type="gramEnd"/>
      <w:r>
        <w:t xml:space="preserve"> and consultation services may attract a fee, which should be factored into your planning. </w:t>
      </w:r>
    </w:p>
    <w:p w14:paraId="50916619" w14:textId="77777777" w:rsidR="00F00CEA" w:rsidRDefault="00F00CEA" w:rsidP="00217D4E">
      <w:pPr>
        <w:pStyle w:val="Heading1"/>
      </w:pPr>
      <w:bookmarkStart w:id="36" w:name="_Toc196742901"/>
      <w:bookmarkStart w:id="37" w:name="_Toc207030962"/>
      <w:r>
        <w:lastRenderedPageBreak/>
        <w:t>Consequences for non-compliance</w:t>
      </w:r>
      <w:bookmarkEnd w:id="36"/>
      <w:bookmarkEnd w:id="37"/>
    </w:p>
    <w:p w14:paraId="7506ABDD" w14:textId="77777777" w:rsidR="00F00CEA" w:rsidRDefault="00F00CEA" w:rsidP="00217D4E">
      <w:pPr>
        <w:rPr>
          <w:lang w:eastAsia="en-AU"/>
        </w:rPr>
      </w:pPr>
      <w:r>
        <w:rPr>
          <w:lang w:eastAsia="en-AU"/>
        </w:rPr>
        <w:t xml:space="preserve">As a government buyer, non-compliance with discrimination legislation or associated standards can result in poor procurement outcomes and wasted resources. This can be avoided by understanding the significance of actions undertaken that directly contribute to DDA non-compliance. </w:t>
      </w:r>
    </w:p>
    <w:p w14:paraId="1BFC34E0" w14:textId="77777777" w:rsidR="00F00CEA" w:rsidRDefault="00F00CEA" w:rsidP="00217D4E">
      <w:pPr>
        <w:rPr>
          <w:lang w:eastAsia="en-AU"/>
        </w:rPr>
      </w:pPr>
      <w:r>
        <w:rPr>
          <w:lang w:eastAsia="en-AU"/>
        </w:rPr>
        <w:t xml:space="preserve">There are </w:t>
      </w:r>
      <w:r w:rsidR="00564BC5">
        <w:rPr>
          <w:lang w:eastAsia="en-AU"/>
        </w:rPr>
        <w:t>several</w:t>
      </w:r>
      <w:r>
        <w:rPr>
          <w:lang w:eastAsia="en-AU"/>
        </w:rPr>
        <w:t xml:space="preserve"> mechanisms established to investigate and respond to complaints regarding disability discrimination </w:t>
      </w:r>
      <w:proofErr w:type="gramStart"/>
      <w:r>
        <w:rPr>
          <w:lang w:eastAsia="en-AU"/>
        </w:rPr>
        <w:t>as a result of</w:t>
      </w:r>
      <w:proofErr w:type="gramEnd"/>
      <w:r>
        <w:rPr>
          <w:lang w:eastAsia="en-AU"/>
        </w:rPr>
        <w:t xml:space="preserve"> a procurement process.</w:t>
      </w:r>
    </w:p>
    <w:p w14:paraId="358524F5" w14:textId="77777777" w:rsidR="00F00CEA" w:rsidRPr="00F26183" w:rsidRDefault="00F00CEA" w:rsidP="00217D4E">
      <w:pPr>
        <w:rPr>
          <w:rFonts w:cs="Tahoma"/>
        </w:rPr>
      </w:pPr>
      <w:r>
        <w:rPr>
          <w:rFonts w:cs="Tahoma"/>
        </w:rPr>
        <w:t>Complaints</w:t>
      </w:r>
      <w:r w:rsidRPr="00420CCE">
        <w:rPr>
          <w:rFonts w:cs="Tahoma"/>
        </w:rPr>
        <w:t xml:space="preserve"> are encouraged to be resolved with the procuring agency</w:t>
      </w:r>
      <w:r>
        <w:rPr>
          <w:rFonts w:cs="Tahoma"/>
        </w:rPr>
        <w:t xml:space="preserve"> first</w:t>
      </w:r>
      <w:r w:rsidRPr="00420CCE">
        <w:rPr>
          <w:rFonts w:cs="Tahoma"/>
        </w:rPr>
        <w:t xml:space="preserve">. </w:t>
      </w:r>
      <w:r>
        <w:rPr>
          <w:rFonts w:cs="Tahoma"/>
        </w:rPr>
        <w:t>The</w:t>
      </w:r>
      <w:r w:rsidR="00F96CF2">
        <w:rPr>
          <w:rFonts w:cs="Tahoma"/>
        </w:rPr>
        <w:t xml:space="preserve"> </w:t>
      </w:r>
      <w:hyperlink r:id="rId17" w:history="1">
        <w:r w:rsidR="00F96CF2" w:rsidRPr="00F96CF2">
          <w:rPr>
            <w:rStyle w:val="Hyperlink"/>
            <w:rFonts w:cs="Tahoma"/>
          </w:rPr>
          <w:t>Complaints management guide</w:t>
        </w:r>
      </w:hyperlink>
      <w:r w:rsidR="00F96CF2">
        <w:rPr>
          <w:rFonts w:cs="Tahoma"/>
        </w:rPr>
        <w:t xml:space="preserve"> [</w:t>
      </w:r>
      <w:r w:rsidR="001F2408" w:rsidRPr="001F2408">
        <w:rPr>
          <w:rFonts w:cs="Tahoma"/>
        </w:rPr>
        <w:t>https://www.forgov.qld.gov.au/finance-procurement-and-travel/procurement/procurement-resources/search-for-procurement-policies-resources-tools-and-templates/complaints-management</w:t>
      </w:r>
      <w:r w:rsidR="001F2408">
        <w:rPr>
          <w:rFonts w:cs="Tahoma"/>
        </w:rPr>
        <w:t>]</w:t>
      </w:r>
      <w:r>
        <w:rPr>
          <w:rFonts w:cs="Tahoma"/>
        </w:rPr>
        <w:t xml:space="preserve"> describes how agencies can develop an effective complaints management process.</w:t>
      </w:r>
    </w:p>
    <w:p w14:paraId="4FE78B97" w14:textId="77777777" w:rsidR="00F00CEA" w:rsidRDefault="00F00CEA" w:rsidP="00217D4E">
      <w:r>
        <w:rPr>
          <w:lang w:eastAsia="en-AU"/>
        </w:rPr>
        <w:t xml:space="preserve">Challenges can also be made by anyone in the form of a written complaint to the </w:t>
      </w:r>
      <w:hyperlink r:id="rId18" w:history="1">
        <w:r w:rsidRPr="005C3451">
          <w:rPr>
            <w:rStyle w:val="Hyperlink"/>
            <w:lang w:eastAsia="en-AU"/>
          </w:rPr>
          <w:t>Queensland Human Rights Commission</w:t>
        </w:r>
      </w:hyperlink>
      <w:r w:rsidR="00966A6C">
        <w:t xml:space="preserve"> </w:t>
      </w:r>
      <w:r>
        <w:rPr>
          <w:lang w:eastAsia="en-AU"/>
        </w:rPr>
        <w:t>[</w:t>
      </w:r>
      <w:r w:rsidRPr="00750987">
        <w:rPr>
          <w:lang w:eastAsia="en-AU"/>
        </w:rPr>
        <w:t>http://www.qhrc.qld.gov.au/</w:t>
      </w:r>
      <w:r>
        <w:rPr>
          <w:lang w:eastAsia="en-AU"/>
        </w:rPr>
        <w:t>] (</w:t>
      </w:r>
      <w:r w:rsidR="00806EA7">
        <w:rPr>
          <w:lang w:eastAsia="en-AU"/>
        </w:rPr>
        <w:t>the Commission</w:t>
      </w:r>
      <w:r>
        <w:rPr>
          <w:lang w:eastAsia="en-AU"/>
        </w:rPr>
        <w:t xml:space="preserve">). </w:t>
      </w:r>
      <w:r w:rsidRPr="004C2514">
        <w:t xml:space="preserve">The </w:t>
      </w:r>
      <w:r>
        <w:t>C</w:t>
      </w:r>
      <w:r w:rsidRPr="004C2514">
        <w:t xml:space="preserve">ommission's role </w:t>
      </w:r>
      <w:r>
        <w:t xml:space="preserve">as an independent party is </w:t>
      </w:r>
      <w:r w:rsidRPr="004C2514">
        <w:t xml:space="preserve">to try to resolve complaints through </w:t>
      </w:r>
      <w:hyperlink r:id="rId19" w:history="1">
        <w:r>
          <w:t>a</w:t>
        </w:r>
        <w:r w:rsidRPr="004C2514">
          <w:t xml:space="preserve"> conciliation process</w:t>
        </w:r>
      </w:hyperlink>
      <w:r w:rsidRPr="004C2514">
        <w:t>.</w:t>
      </w:r>
      <w:r>
        <w:t xml:space="preserve"> </w:t>
      </w:r>
      <w:r w:rsidRPr="004C2514">
        <w:t xml:space="preserve">The </w:t>
      </w:r>
      <w:r>
        <w:t>C</w:t>
      </w:r>
      <w:r w:rsidRPr="004C2514">
        <w:t xml:space="preserve">ommission is not a court and cannot decide if discrimination or another breach of the </w:t>
      </w:r>
      <w:r>
        <w:t xml:space="preserve">DDA or </w:t>
      </w:r>
      <w:r w:rsidRPr="000D37EB">
        <w:rPr>
          <w:i/>
        </w:rPr>
        <w:t>Anti-Discrimination Act 1991</w:t>
      </w:r>
      <w:r w:rsidRPr="004C2514">
        <w:t xml:space="preserve"> has happened.</w:t>
      </w:r>
      <w:r>
        <w:t xml:space="preserve"> </w:t>
      </w:r>
    </w:p>
    <w:p w14:paraId="00E30FBA" w14:textId="77777777" w:rsidR="00F00CEA" w:rsidRDefault="00F00CEA" w:rsidP="00217D4E">
      <w:r w:rsidRPr="009F17BD">
        <w:t xml:space="preserve">If no agreement is reached and further negotiations are unable to resolve the complaint, the complainant has the option to </w:t>
      </w:r>
      <w:r>
        <w:t>escalate</w:t>
      </w:r>
      <w:r w:rsidRPr="009F17BD">
        <w:t xml:space="preserve"> the complaint for a public hearing with the </w:t>
      </w:r>
      <w:hyperlink r:id="rId20" w:history="1">
        <w:r w:rsidR="00966A6C" w:rsidRPr="00966A6C">
          <w:rPr>
            <w:rStyle w:val="Hyperlink"/>
          </w:rPr>
          <w:t>Queensland Civil and Administrative Tribunal</w:t>
        </w:r>
      </w:hyperlink>
      <w:r w:rsidR="00966A6C">
        <w:rPr>
          <w:lang w:eastAsia="en-AU"/>
        </w:rPr>
        <w:t xml:space="preserve"> </w:t>
      </w:r>
      <w:r>
        <w:t>[</w:t>
      </w:r>
      <w:r w:rsidRPr="00750987">
        <w:t>https://www.qcat.qld.gov.au/</w:t>
      </w:r>
      <w:r>
        <w:t>],</w:t>
      </w:r>
      <w:r w:rsidRPr="009F17BD">
        <w:t xml:space="preserve"> where any determination made is binding on all parties.</w:t>
      </w:r>
    </w:p>
    <w:p w14:paraId="21DF0D51" w14:textId="77777777" w:rsidR="00F00CEA" w:rsidRPr="009F17BD" w:rsidRDefault="00806EA7" w:rsidP="00217D4E">
      <w:pPr>
        <w:pStyle w:val="Heading3"/>
      </w:pPr>
      <w:bookmarkStart w:id="38" w:name="_Toc196742902"/>
      <w:r>
        <w:t>E</w:t>
      </w:r>
      <w:r w:rsidR="00F00CEA">
        <w:t>xemption</w:t>
      </w:r>
      <w:bookmarkEnd w:id="38"/>
      <w:r>
        <w:t xml:space="preserve"> examples</w:t>
      </w:r>
    </w:p>
    <w:p w14:paraId="050E9F7E" w14:textId="77777777" w:rsidR="00F00CEA" w:rsidRDefault="00F00CEA" w:rsidP="00217D4E">
      <w:pPr>
        <w:rPr>
          <w:lang w:eastAsia="en-AU"/>
        </w:rPr>
      </w:pPr>
      <w:r>
        <w:rPr>
          <w:lang w:eastAsia="en-AU"/>
        </w:rPr>
        <w:t xml:space="preserve">The </w:t>
      </w:r>
      <w:hyperlink r:id="rId21" w:history="1">
        <w:r w:rsidRPr="00356D10">
          <w:rPr>
            <w:rStyle w:val="Hyperlink"/>
            <w:lang w:eastAsia="en-AU"/>
          </w:rPr>
          <w:t>Australian Human Rights Commission</w:t>
        </w:r>
      </w:hyperlink>
      <w:r w:rsidR="00F337C6">
        <w:t xml:space="preserve"> </w:t>
      </w:r>
      <w:r>
        <w:rPr>
          <w:lang w:eastAsia="en-AU"/>
        </w:rPr>
        <w:t>[</w:t>
      </w:r>
      <w:r w:rsidRPr="004525AD">
        <w:rPr>
          <w:lang w:eastAsia="en-AU"/>
        </w:rPr>
        <w:t>https://www.humanrights.gov.au/</w:t>
      </w:r>
      <w:r>
        <w:rPr>
          <w:lang w:eastAsia="en-AU"/>
        </w:rPr>
        <w:t xml:space="preserve">] (AHRC) may grant temporary exemption (up to 5 years) for some aspects of the DDA. Any exemptions </w:t>
      </w:r>
      <w:r w:rsidRPr="007C1751">
        <w:rPr>
          <w:b/>
          <w:lang w:eastAsia="en-AU"/>
        </w:rPr>
        <w:t>would not be granted</w:t>
      </w:r>
      <w:r>
        <w:rPr>
          <w:lang w:eastAsia="en-AU"/>
        </w:rPr>
        <w:t xml:space="preserve"> for new products or services and are subject to rigorous conditions as prescribed by the AHRC. Guidelines on how to apply for an exemption are available on the </w:t>
      </w:r>
      <w:hyperlink r:id="rId22" w:history="1">
        <w:r w:rsidRPr="00025623">
          <w:rPr>
            <w:rStyle w:val="Hyperlink"/>
            <w:lang w:eastAsia="en-AU"/>
          </w:rPr>
          <w:t>AHRC website</w:t>
        </w:r>
      </w:hyperlink>
      <w:r w:rsidR="00F337C6">
        <w:t xml:space="preserve"> </w:t>
      </w:r>
      <w:r>
        <w:rPr>
          <w:lang w:eastAsia="en-AU"/>
        </w:rPr>
        <w:t xml:space="preserve"> [</w:t>
      </w:r>
      <w:r w:rsidRPr="001A78C3">
        <w:rPr>
          <w:lang w:eastAsia="en-AU"/>
        </w:rPr>
        <w:t>https://www.humanrights.gov.au/our-work/legal/exemptions</w:t>
      </w:r>
      <w:r>
        <w:rPr>
          <w:lang w:eastAsia="en-AU"/>
        </w:rPr>
        <w:t>], however</w:t>
      </w:r>
      <w:r w:rsidR="002737A3">
        <w:rPr>
          <w:lang w:eastAsia="en-AU"/>
        </w:rPr>
        <w:t xml:space="preserve"> an</w:t>
      </w:r>
      <w:r>
        <w:rPr>
          <w:lang w:eastAsia="en-AU"/>
        </w:rPr>
        <w:t xml:space="preserve"> </w:t>
      </w:r>
      <w:r w:rsidRPr="007C1751">
        <w:rPr>
          <w:b/>
          <w:lang w:eastAsia="en-AU"/>
        </w:rPr>
        <w:t>exemption should not be considered a preferable or alternative option</w:t>
      </w:r>
      <w:r>
        <w:rPr>
          <w:lang w:eastAsia="en-AU"/>
        </w:rPr>
        <w:t xml:space="preserve"> in lieu of appropriate planning and consultation.</w:t>
      </w:r>
    </w:p>
    <w:p w14:paraId="1D095332" w14:textId="77777777" w:rsidR="00F00CEA" w:rsidRPr="00541E79" w:rsidRDefault="00F00CEA" w:rsidP="00217D4E">
      <w:pPr>
        <w:rPr>
          <w:sz w:val="6"/>
          <w:szCs w:val="6"/>
          <w:lang w:eastAsia="en-AU"/>
        </w:rPr>
      </w:pPr>
    </w:p>
    <w:p w14:paraId="09C959A8" w14:textId="77777777" w:rsidR="00A3523D" w:rsidRPr="00A54661" w:rsidRDefault="005F220C" w:rsidP="002F660B">
      <w:pPr>
        <w:pStyle w:val="IntenseQuote"/>
        <w:jc w:val="left"/>
        <w:rPr>
          <w:sz w:val="20"/>
          <w:szCs w:val="20"/>
          <w:lang w:eastAsia="en-AU"/>
        </w:rPr>
      </w:pPr>
      <w:r w:rsidRPr="00A54661">
        <w:rPr>
          <w:sz w:val="20"/>
          <w:szCs w:val="20"/>
          <w:lang w:eastAsia="en-AU"/>
        </w:rPr>
        <w:t xml:space="preserve">According to the </w:t>
      </w:r>
      <w:hyperlink r:id="rId23" w:history="1">
        <w:r w:rsidR="00F00CEA" w:rsidRPr="00A54661">
          <w:rPr>
            <w:rStyle w:val="Hyperlink"/>
            <w:sz w:val="20"/>
            <w:szCs w:val="20"/>
            <w:lang w:eastAsia="en-AU"/>
          </w:rPr>
          <w:t>2022 Survey of Disability, Ageing and Carers</w:t>
        </w:r>
      </w:hyperlink>
      <w:r w:rsidR="00A3523D" w:rsidRPr="00A54661">
        <w:rPr>
          <w:sz w:val="20"/>
          <w:szCs w:val="20"/>
          <w:lang w:eastAsia="en-AU"/>
        </w:rPr>
        <w:t xml:space="preserve"> [https://www.abs.gov.au/statistics/health/disability/disability-ageing-and-carers-australia-summary-findings/latest-release]</w:t>
      </w:r>
      <w:r w:rsidRPr="00A54661">
        <w:rPr>
          <w:sz w:val="20"/>
          <w:szCs w:val="20"/>
          <w:lang w:eastAsia="en-AU"/>
        </w:rPr>
        <w:t xml:space="preserve">, in 2022 among people with disability </w:t>
      </w:r>
      <w:r w:rsidR="00A3523D" w:rsidRPr="00A54661">
        <w:rPr>
          <w:sz w:val="20"/>
          <w:szCs w:val="20"/>
          <w:lang w:eastAsia="en-AU"/>
        </w:rPr>
        <w:t>aged 15 years and over (living in households):</w:t>
      </w:r>
    </w:p>
    <w:p w14:paraId="0C812B82" w14:textId="77777777" w:rsidR="00A3523D" w:rsidRPr="00A54661" w:rsidRDefault="00A3523D" w:rsidP="00A3523D">
      <w:pPr>
        <w:pStyle w:val="IntenseQuote"/>
        <w:numPr>
          <w:ilvl w:val="0"/>
          <w:numId w:val="27"/>
        </w:numPr>
        <w:jc w:val="left"/>
        <w:rPr>
          <w:sz w:val="20"/>
          <w:szCs w:val="20"/>
          <w:lang w:eastAsia="en-AU"/>
        </w:rPr>
      </w:pPr>
      <w:r w:rsidRPr="00A54661">
        <w:rPr>
          <w:sz w:val="20"/>
          <w:szCs w:val="20"/>
          <w:lang w:eastAsia="en-AU"/>
        </w:rPr>
        <w:t>one in ten (9.9%) had experienced discrimination</w:t>
      </w:r>
      <w:r w:rsidR="009C0725" w:rsidRPr="00A54661">
        <w:rPr>
          <w:sz w:val="20"/>
          <w:szCs w:val="20"/>
          <w:lang w:eastAsia="en-AU"/>
        </w:rPr>
        <w:t>.</w:t>
      </w:r>
    </w:p>
    <w:p w14:paraId="526ECF2A" w14:textId="77777777" w:rsidR="00A3523D" w:rsidRPr="00A54661" w:rsidRDefault="00A3523D" w:rsidP="00A3523D">
      <w:pPr>
        <w:pStyle w:val="IntenseQuote"/>
        <w:numPr>
          <w:ilvl w:val="0"/>
          <w:numId w:val="27"/>
        </w:numPr>
        <w:jc w:val="left"/>
        <w:rPr>
          <w:sz w:val="20"/>
          <w:szCs w:val="20"/>
          <w:lang w:eastAsia="en-AU"/>
        </w:rPr>
      </w:pPr>
      <w:r w:rsidRPr="00A54661">
        <w:rPr>
          <w:sz w:val="20"/>
          <w:szCs w:val="20"/>
          <w:lang w:eastAsia="en-AU"/>
        </w:rPr>
        <w:t>one in ten females (10.6%) and one in eleven males (9.1%) experienced discrimination</w:t>
      </w:r>
      <w:r w:rsidR="009C0725" w:rsidRPr="00A54661">
        <w:rPr>
          <w:sz w:val="20"/>
          <w:szCs w:val="20"/>
          <w:lang w:eastAsia="en-AU"/>
        </w:rPr>
        <w:t>.</w:t>
      </w:r>
    </w:p>
    <w:p w14:paraId="000E518B" w14:textId="77777777" w:rsidR="00A3523D" w:rsidRPr="00A54661" w:rsidRDefault="00A3523D" w:rsidP="00A3523D">
      <w:pPr>
        <w:pStyle w:val="IntenseQuote"/>
        <w:numPr>
          <w:ilvl w:val="0"/>
          <w:numId w:val="27"/>
        </w:numPr>
        <w:jc w:val="left"/>
        <w:rPr>
          <w:sz w:val="20"/>
          <w:szCs w:val="20"/>
          <w:lang w:eastAsia="en-AU"/>
        </w:rPr>
      </w:pPr>
      <w:r w:rsidRPr="00A54661">
        <w:rPr>
          <w:sz w:val="20"/>
          <w:szCs w:val="20"/>
          <w:lang w:eastAsia="en-AU"/>
        </w:rPr>
        <w:t>almost one in five young people aged 15-34 years (17.6%) experienced discrimination, compared with 3.9% of those aged 65 years and over</w:t>
      </w:r>
      <w:r w:rsidR="009C0725" w:rsidRPr="00A54661">
        <w:rPr>
          <w:sz w:val="20"/>
          <w:szCs w:val="20"/>
          <w:lang w:eastAsia="en-AU"/>
        </w:rPr>
        <w:t>.</w:t>
      </w:r>
    </w:p>
    <w:p w14:paraId="405B0408" w14:textId="77777777" w:rsidR="00A3523D" w:rsidRPr="00A54661" w:rsidRDefault="00A3523D" w:rsidP="002F660B">
      <w:pPr>
        <w:pStyle w:val="IntenseQuote"/>
        <w:numPr>
          <w:ilvl w:val="0"/>
          <w:numId w:val="27"/>
        </w:numPr>
        <w:jc w:val="left"/>
        <w:rPr>
          <w:sz w:val="20"/>
          <w:szCs w:val="20"/>
          <w:lang w:eastAsia="en-AU"/>
        </w:rPr>
      </w:pPr>
      <w:r w:rsidRPr="00A54661">
        <w:rPr>
          <w:sz w:val="20"/>
          <w:szCs w:val="20"/>
          <w:lang w:eastAsia="en-AU"/>
        </w:rPr>
        <w:t>LGB+ people with disability were almost three times more likely to experience discrimination compared with heterosexual people with disability (27.7 % compared with 8.7%).</w:t>
      </w:r>
    </w:p>
    <w:p w14:paraId="44C15ACA" w14:textId="1EACB6AF" w:rsidR="00F00CEA" w:rsidRDefault="00F00CEA" w:rsidP="009C0725">
      <w:pPr>
        <w:pStyle w:val="Heading2"/>
      </w:pPr>
    </w:p>
    <w:p w14:paraId="5440E81C" w14:textId="00B5B827" w:rsidR="00F00CEA" w:rsidRDefault="00F00CEA" w:rsidP="4C8872AB">
      <w:r>
        <w:br w:type="page"/>
      </w:r>
    </w:p>
    <w:p w14:paraId="7EB68C22" w14:textId="77777777" w:rsidR="00F00CEA" w:rsidRDefault="00F00CEA" w:rsidP="009C0725">
      <w:pPr>
        <w:pStyle w:val="Heading2"/>
      </w:pPr>
      <w:bookmarkStart w:id="39" w:name="_Toc196742903"/>
      <w:bookmarkStart w:id="40" w:name="_Toc207030963"/>
      <w:r>
        <w:lastRenderedPageBreak/>
        <w:t>Examples of issues raised in complaints</w:t>
      </w:r>
      <w:r w:rsidR="00BC1101">
        <w:rPr>
          <w:rStyle w:val="FootnoteReference"/>
        </w:rPr>
        <w:footnoteReference w:customMarkFollows="1" w:id="2"/>
        <w:t>2</w:t>
      </w:r>
      <w:bookmarkEnd w:id="39"/>
      <w:bookmarkEnd w:id="40"/>
    </w:p>
    <w:p w14:paraId="3C2AEB0A" w14:textId="77777777" w:rsidR="00F00CEA" w:rsidRPr="00CD0E3B" w:rsidRDefault="00F00CEA" w:rsidP="00217D4E">
      <w:r>
        <w:t>The AHRC investigates complaint allegations relating to non-compliance with the</w:t>
      </w:r>
      <w:r w:rsidRPr="00025623">
        <w:t xml:space="preserve"> </w:t>
      </w:r>
      <w:r w:rsidRPr="00F26183">
        <w:t>DDA</w:t>
      </w:r>
      <w:r>
        <w:t xml:space="preserve"> and highlights other human rights systemic issues and legislative responsibilities. </w:t>
      </w:r>
      <w:proofErr w:type="gramStart"/>
      <w:r>
        <w:t>A number of</w:t>
      </w:r>
      <w:proofErr w:type="gramEnd"/>
      <w:r>
        <w:t xml:space="preserve"> complaints could have been addressed in the initial procurement and establishment of public goods, services and facilities. The following real-life examples have been categorised into the responsible procurement category to show how development decisions can have unintended discriminatory impacts. </w:t>
      </w:r>
    </w:p>
    <w:p w14:paraId="5587ADAE" w14:textId="77777777" w:rsidR="00F00CEA" w:rsidRDefault="00F00CEA" w:rsidP="00217D4E">
      <w:pPr>
        <w:pStyle w:val="Heading3"/>
      </w:pPr>
      <w:bookmarkStart w:id="41" w:name="_Toc196742904"/>
      <w:r>
        <w:t xml:space="preserve">Information accessibility – </w:t>
      </w:r>
      <w:r w:rsidRPr="009B208F">
        <w:t>Information</w:t>
      </w:r>
      <w:r>
        <w:t xml:space="preserve"> </w:t>
      </w:r>
      <w:r w:rsidRPr="009B208F">
        <w:t>and Communication and Technology</w:t>
      </w:r>
      <w:bookmarkEnd w:id="41"/>
    </w:p>
    <w:p w14:paraId="511EDE40" w14:textId="77777777" w:rsidR="00F00CEA" w:rsidRPr="00BA3B86" w:rsidRDefault="00F00CEA" w:rsidP="00217D4E">
      <w:pPr>
        <w:spacing w:after="0"/>
        <w:rPr>
          <w:u w:val="single"/>
        </w:rPr>
      </w:pPr>
      <w:r>
        <w:rPr>
          <w:u w:val="single"/>
        </w:rPr>
        <w:t>Unable to access product assistance</w:t>
      </w:r>
      <w:r w:rsidRPr="00BA3B86">
        <w:rPr>
          <w:u w:val="single"/>
        </w:rPr>
        <w:t>:</w:t>
      </w:r>
      <w:r>
        <w:rPr>
          <w:u w:val="single"/>
        </w:rPr>
        <w:t xml:space="preserve"> </w:t>
      </w:r>
    </w:p>
    <w:p w14:paraId="284128A0" w14:textId="77777777" w:rsidR="00F00CEA" w:rsidRPr="00F26183" w:rsidRDefault="00F00CEA" w:rsidP="00217D4E">
      <w:pPr>
        <w:rPr>
          <w:lang w:eastAsia="en-AU"/>
        </w:rPr>
      </w:pPr>
      <w:r w:rsidRPr="000D37EB">
        <w:rPr>
          <w:lang w:eastAsia="en-AU"/>
        </w:rPr>
        <w:t>A woman with a hearing impairment complained that when she sought help from an information technology company in relation to a recently purchased product, she was told that assistance was only available over the phone. The company said that the complainant had received incorrect advice</w:t>
      </w:r>
      <w:r>
        <w:rPr>
          <w:lang w:eastAsia="en-AU"/>
        </w:rPr>
        <w:t>. T</w:t>
      </w:r>
      <w:r w:rsidRPr="000D37EB">
        <w:rPr>
          <w:lang w:eastAsia="en-AU"/>
        </w:rPr>
        <w:t>he company did provide online product assistance and assistance via TTY</w:t>
      </w:r>
      <w:r>
        <w:rPr>
          <w:lang w:eastAsia="en-AU"/>
        </w:rPr>
        <w:t xml:space="preserve"> (teletypewriter)</w:t>
      </w:r>
      <w:r w:rsidRPr="000D37EB">
        <w:rPr>
          <w:lang w:eastAsia="en-AU"/>
        </w:rPr>
        <w:t xml:space="preserve"> relay services. The company apologised for what had happened and offered the complainant 12 months free access to a service upgrade.</w:t>
      </w:r>
    </w:p>
    <w:p w14:paraId="66C040C3" w14:textId="77777777" w:rsidR="00F00CEA" w:rsidRDefault="00F00CEA" w:rsidP="00217D4E">
      <w:pPr>
        <w:pStyle w:val="Heading3"/>
      </w:pPr>
      <w:bookmarkStart w:id="42" w:name="_Toc196742905"/>
      <w:r>
        <w:t xml:space="preserve">Accessible </w:t>
      </w:r>
      <w:r w:rsidRPr="001C6695">
        <w:t>premises</w:t>
      </w:r>
      <w:r>
        <w:t xml:space="preserve"> and events</w:t>
      </w:r>
      <w:r w:rsidRPr="001C6695">
        <w:t xml:space="preserve"> </w:t>
      </w:r>
      <w:r>
        <w:t>–</w:t>
      </w:r>
      <w:r w:rsidRPr="001C6695">
        <w:t xml:space="preserve"> </w:t>
      </w:r>
      <w:r w:rsidRPr="007C1751">
        <w:t>Building</w:t>
      </w:r>
      <w:r>
        <w:t xml:space="preserve"> </w:t>
      </w:r>
      <w:r w:rsidRPr="007C1751">
        <w:t>Construction and Maintenance</w:t>
      </w:r>
      <w:bookmarkEnd w:id="42"/>
    </w:p>
    <w:p w14:paraId="78817358" w14:textId="77777777" w:rsidR="00F00CEA" w:rsidRPr="00D735AF" w:rsidRDefault="00F00CEA" w:rsidP="00217D4E">
      <w:pPr>
        <w:pStyle w:val="Heading5"/>
      </w:pPr>
      <w:r w:rsidRPr="00D735AF">
        <w:t xml:space="preserve">Barriers at entrances and items in aisles: </w:t>
      </w:r>
    </w:p>
    <w:p w14:paraId="1932F680" w14:textId="77777777" w:rsidR="00F00CEA" w:rsidRDefault="00F00CEA" w:rsidP="00217D4E">
      <w:pPr>
        <w:rPr>
          <w:lang w:val="en"/>
        </w:rPr>
      </w:pPr>
      <w:r w:rsidRPr="00D735AF">
        <w:t xml:space="preserve">A woman who uses a wheelchair complained that she had difficulty shopping in her local supermarket due to such things as turnstiles at the entrance and displays and goods being placed in the aisles. The complaint was resolved when the supermarket agreed, among other things, to remove turnstiles at the entrance </w:t>
      </w:r>
      <w:r>
        <w:t xml:space="preserve">and </w:t>
      </w:r>
      <w:r w:rsidRPr="00D735AF">
        <w:t>convey instructions to staff about keeping passages clear and remodel displays to ensure aisles are kept</w:t>
      </w:r>
      <w:r>
        <w:rPr>
          <w:lang w:val="en"/>
        </w:rPr>
        <w:t xml:space="preserve"> clear.</w:t>
      </w:r>
    </w:p>
    <w:p w14:paraId="532745F8" w14:textId="77777777" w:rsidR="00F00CEA" w:rsidRPr="00D735AF" w:rsidRDefault="00F00CEA" w:rsidP="00217D4E">
      <w:pPr>
        <w:pStyle w:val="Heading5"/>
      </w:pPr>
      <w:r w:rsidRPr="00D735AF">
        <w:t>Lack of lift access:</w:t>
      </w:r>
      <w:r>
        <w:t xml:space="preserve"> </w:t>
      </w:r>
    </w:p>
    <w:p w14:paraId="24B42126" w14:textId="77777777" w:rsidR="00F00CEA" w:rsidRPr="006D0BAB" w:rsidRDefault="00F00CEA" w:rsidP="00217D4E">
      <w:pPr>
        <w:rPr>
          <w:rFonts w:cs="Arial"/>
        </w:rPr>
      </w:pPr>
      <w:r w:rsidRPr="00D735AF">
        <w:t>A man who uses a wheelchair complained that a publicly funded arts facility did not have public lift access. This meant that patrons who could not use stairs had to use the goods lift and be accompanied by staff through</w:t>
      </w:r>
      <w:r w:rsidRPr="00D735AF">
        <w:rPr>
          <w:rFonts w:cs="Arial"/>
        </w:rPr>
        <w:t xml:space="preserve"> otherwise</w:t>
      </w:r>
      <w:r w:rsidRPr="006D0BAB">
        <w:rPr>
          <w:rFonts w:cs="Arial"/>
        </w:rPr>
        <w:t xml:space="preserve"> ‘off limit’ areas of the building. The complaint was resolved with an agreement that the arts centre would install an appropriate public lift.</w:t>
      </w:r>
    </w:p>
    <w:p w14:paraId="2D68716B" w14:textId="77777777" w:rsidR="00F00CEA" w:rsidRPr="00DA4FAA" w:rsidRDefault="00F00CEA" w:rsidP="00217D4E">
      <w:pPr>
        <w:pStyle w:val="Heading5"/>
      </w:pPr>
      <w:r>
        <w:t xml:space="preserve">Lack of </w:t>
      </w:r>
      <w:r w:rsidRPr="00DA4FAA">
        <w:t>audio loop:</w:t>
      </w:r>
    </w:p>
    <w:p w14:paraId="1AD3DBB5" w14:textId="77777777" w:rsidR="00F00CEA" w:rsidRPr="007C1751" w:rsidRDefault="00F00CEA" w:rsidP="00217D4E">
      <w:r w:rsidRPr="00D735AF">
        <w:t xml:space="preserve">A man who has a hearing impairment said he attended a lecture series at a public venue but was unable to hear the content as the theatre did not have an audio loop. The complaint was resolved </w:t>
      </w:r>
      <w:proofErr w:type="gramStart"/>
      <w:r w:rsidRPr="00D735AF">
        <w:t>on the basis of</w:t>
      </w:r>
      <w:proofErr w:type="gramEnd"/>
      <w:r w:rsidRPr="00D735AF">
        <w:t xml:space="preserve"> an agreement to provide the man with an </w:t>
      </w:r>
      <w:proofErr w:type="gramStart"/>
      <w:r w:rsidRPr="00D735AF">
        <w:t>apology,</w:t>
      </w:r>
      <w:proofErr w:type="gramEnd"/>
      <w:r w:rsidRPr="00D735AF">
        <w:t xml:space="preserve"> refund the fee he had paid and install an audio hearing loop in the theatre.</w:t>
      </w:r>
    </w:p>
    <w:p w14:paraId="4CA06D52" w14:textId="77777777" w:rsidR="00F00CEA" w:rsidRPr="007C1751" w:rsidRDefault="00F00CEA" w:rsidP="00217D4E">
      <w:pPr>
        <w:rPr>
          <w:b/>
          <w:u w:val="single"/>
        </w:rPr>
      </w:pPr>
      <w:r w:rsidRPr="007C1751">
        <w:rPr>
          <w:b/>
        </w:rPr>
        <w:t xml:space="preserve">Accessible transport </w:t>
      </w:r>
      <w:r>
        <w:rPr>
          <w:b/>
        </w:rPr>
        <w:t>–</w:t>
      </w:r>
      <w:r w:rsidRPr="007C1751">
        <w:rPr>
          <w:b/>
        </w:rPr>
        <w:t xml:space="preserve"> Transport</w:t>
      </w:r>
      <w:r>
        <w:rPr>
          <w:b/>
        </w:rPr>
        <w:t xml:space="preserve"> </w:t>
      </w:r>
      <w:r w:rsidRPr="007C1751">
        <w:rPr>
          <w:b/>
        </w:rPr>
        <w:t>and Infrastructure Services</w:t>
      </w:r>
    </w:p>
    <w:p w14:paraId="418EAFF7" w14:textId="77777777" w:rsidR="00F00CEA" w:rsidRPr="00CE6F81" w:rsidRDefault="00F00CEA" w:rsidP="00217D4E">
      <w:pPr>
        <w:pStyle w:val="Heading5"/>
      </w:pPr>
      <w:r>
        <w:t>Lack of r</w:t>
      </w:r>
      <w:r w:rsidRPr="00CE6F81">
        <w:t>amps for buses:</w:t>
      </w:r>
      <w:r>
        <w:t xml:space="preserve"> </w:t>
      </w:r>
    </w:p>
    <w:p w14:paraId="1A017405" w14:textId="77777777" w:rsidR="00F00CEA" w:rsidRPr="00346F57" w:rsidRDefault="00F00CEA" w:rsidP="217185BD">
      <w:pPr>
        <w:rPr>
          <w:lang w:val="en-US"/>
        </w:rPr>
      </w:pPr>
      <w:r w:rsidRPr="217185BD">
        <w:rPr>
          <w:lang w:val="en-US"/>
        </w:rPr>
        <w:t xml:space="preserve">A man who uses a wheelchair complained that ramps on the accessible buses in his area were frequently out of order for long periods. The complaint was resolved when the bus operator confirmed that the ramps had been repaired and arrangements </w:t>
      </w:r>
      <w:proofErr w:type="gramStart"/>
      <w:r w:rsidRPr="217185BD">
        <w:rPr>
          <w:lang w:val="en-US"/>
        </w:rPr>
        <w:t>made</w:t>
      </w:r>
      <w:proofErr w:type="gramEnd"/>
      <w:r w:rsidRPr="217185BD">
        <w:rPr>
          <w:lang w:val="en-US"/>
        </w:rPr>
        <w:t xml:space="preserve"> to ensure the workshop gave priority attention to ramp maintenance and repairs in the future. </w:t>
      </w:r>
    </w:p>
    <w:p w14:paraId="44CC9CC3" w14:textId="77777777" w:rsidR="00F00CEA" w:rsidRDefault="00F00CEA" w:rsidP="00217D4E">
      <w:pPr>
        <w:pStyle w:val="Heading3"/>
      </w:pPr>
      <w:bookmarkStart w:id="43" w:name="_Toc196742906"/>
      <w:r>
        <w:t xml:space="preserve">Web accessibility – </w:t>
      </w:r>
      <w:r w:rsidRPr="009B208F">
        <w:t>Information</w:t>
      </w:r>
      <w:r>
        <w:t xml:space="preserve"> </w:t>
      </w:r>
      <w:r w:rsidRPr="009B208F">
        <w:t>and Communication Technology</w:t>
      </w:r>
      <w:bookmarkEnd w:id="43"/>
    </w:p>
    <w:p w14:paraId="78A6C079" w14:textId="77777777" w:rsidR="00F00CEA" w:rsidRPr="00D735AF" w:rsidRDefault="00F00CEA" w:rsidP="00217D4E">
      <w:pPr>
        <w:pStyle w:val="Heading5"/>
      </w:pPr>
      <w:r w:rsidRPr="00D735AF">
        <w:t>Problems with online banking:</w:t>
      </w:r>
      <w:r>
        <w:t xml:space="preserve"> </w:t>
      </w:r>
    </w:p>
    <w:p w14:paraId="3032E7C8" w14:textId="77777777" w:rsidR="00F00CEA" w:rsidRPr="00D735AF" w:rsidRDefault="00F00CEA" w:rsidP="00217D4E">
      <w:r w:rsidRPr="00D735AF">
        <w:t xml:space="preserve">A woman who has a vision impairment complained that she could not access her credit union’s online banking service because the security features that had been installed to verify identify were not accessible to her. The complaint was resolved when the credit union agreed to upgrade its site to provide an accessible method for verifying a person’s identity. </w:t>
      </w:r>
    </w:p>
    <w:p w14:paraId="2BF2A705" w14:textId="77777777" w:rsidR="00F00CEA" w:rsidRDefault="00F00CEA" w:rsidP="00217D4E">
      <w:pPr>
        <w:spacing w:after="0"/>
        <w:rPr>
          <w:rFonts w:cs="Tahoma"/>
        </w:rPr>
      </w:pPr>
      <w:r>
        <w:rPr>
          <w:rFonts w:cs="Tahoma"/>
        </w:rPr>
        <w:br w:type="page"/>
      </w:r>
    </w:p>
    <w:p w14:paraId="16FE299C" w14:textId="77777777" w:rsidR="00F00CEA" w:rsidRDefault="00F00CEA" w:rsidP="00217D4E">
      <w:pPr>
        <w:pStyle w:val="Heading1"/>
      </w:pPr>
      <w:bookmarkStart w:id="44" w:name="_Toc196742908"/>
      <w:bookmarkStart w:id="45" w:name="_Toc207030964"/>
      <w:r>
        <w:lastRenderedPageBreak/>
        <w:t>Building capability</w:t>
      </w:r>
      <w:bookmarkEnd w:id="44"/>
      <w:bookmarkEnd w:id="45"/>
      <w:r>
        <w:t xml:space="preserve"> </w:t>
      </w:r>
    </w:p>
    <w:p w14:paraId="2F8F0164" w14:textId="77777777" w:rsidR="00F00CEA" w:rsidRDefault="00F00CEA" w:rsidP="00217D4E">
      <w:pPr>
        <w:pStyle w:val="Heading2"/>
      </w:pPr>
      <w:bookmarkStart w:id="46" w:name="_Toc196742909"/>
      <w:bookmarkStart w:id="47" w:name="_Toc207030965"/>
      <w:r>
        <w:t>Professionals in procurement</w:t>
      </w:r>
      <w:bookmarkEnd w:id="46"/>
      <w:bookmarkEnd w:id="47"/>
    </w:p>
    <w:p w14:paraId="1C352A41" w14:textId="77777777" w:rsidR="00F00CEA" w:rsidRDefault="00F00CEA" w:rsidP="00217D4E">
      <w:r>
        <w:t>Training and professional development plays an integral role in establishing and maintaining good procurement practices and supporting continuous learning for new and existing staff.</w:t>
      </w:r>
    </w:p>
    <w:p w14:paraId="3EA2B9AF" w14:textId="77777777" w:rsidR="00F00CEA" w:rsidRDefault="00F00CEA" w:rsidP="00217D4E">
      <w:pPr>
        <w:pStyle w:val="Heading3"/>
      </w:pPr>
      <w:bookmarkStart w:id="48" w:name="_Toc196742910"/>
      <w:r>
        <w:t>Skills2Procure</w:t>
      </w:r>
      <w:bookmarkEnd w:id="48"/>
    </w:p>
    <w:p w14:paraId="03BA3FA7" w14:textId="77777777" w:rsidR="00F00CEA" w:rsidRDefault="00F00CEA" w:rsidP="00217D4E">
      <w:r w:rsidRPr="00294BE1">
        <w:rPr>
          <w:i/>
        </w:rPr>
        <w:t>Skills2Procure</w:t>
      </w:r>
      <w:r>
        <w:t xml:space="preserve"> is the whole-of-government training and development initiative for people involved in all or parts of the procurement process, including procurement and contract management staff, support staff and agency executives.</w:t>
      </w:r>
    </w:p>
    <w:p w14:paraId="1B288B50" w14:textId="77777777" w:rsidR="00F00CEA" w:rsidRDefault="00F00CEA" w:rsidP="00217D4E">
      <w:r w:rsidRPr="00294BE1">
        <w:rPr>
          <w:i/>
        </w:rPr>
        <w:t>Skills2Procure</w:t>
      </w:r>
      <w:r>
        <w:t xml:space="preserve"> provides a suite of informal and formal training and development opportunities, including the Procurement Certification Program (PCP). The PCP leads to a range of formal qualifications, professionalising the way your agency staff implement your procurement processes</w:t>
      </w:r>
      <w:r w:rsidRPr="003B36DE">
        <w:t>. It is regularly updated with information and examples that reflect real-life procurement scenarios at each competency level.</w:t>
      </w:r>
    </w:p>
    <w:p w14:paraId="7D7544E4" w14:textId="77777777" w:rsidR="00F00CEA" w:rsidRDefault="00F00CEA" w:rsidP="00217D4E">
      <w:r>
        <w:t xml:space="preserve">The Level 1 Procurement Fundamentals, Level 2 Intermediate Procurement </w:t>
      </w:r>
      <w:r w:rsidRPr="00EA0EBF">
        <w:t xml:space="preserve">and the Level 3 </w:t>
      </w:r>
      <w:r w:rsidRPr="007C1751">
        <w:rPr>
          <w:rFonts w:ascii="Helvetica" w:hAnsi="Helvetica" w:cs="Helvetica"/>
          <w:shd w:val="clear" w:color="auto" w:fill="FFFFFF"/>
        </w:rPr>
        <w:t>Diploma of Government (Procurement and Contracting)</w:t>
      </w:r>
      <w:r w:rsidRPr="00EA0EBF">
        <w:t xml:space="preserve"> </w:t>
      </w:r>
      <w:r>
        <w:t xml:space="preserve">certifications have been updated to include references to the </w:t>
      </w:r>
      <w:r w:rsidRPr="007C1751">
        <w:t>DDA</w:t>
      </w:r>
      <w:r w:rsidRPr="00EA0EBF">
        <w:t xml:space="preserve"> (</w:t>
      </w:r>
      <w:r>
        <w:t xml:space="preserve">online and face to face) and exploring a specific case study procurement example (face to face).  </w:t>
      </w:r>
    </w:p>
    <w:p w14:paraId="16E0CDF3" w14:textId="77777777" w:rsidR="00F00CEA" w:rsidRDefault="00F00CEA" w:rsidP="00217D4E">
      <w:r>
        <w:t xml:space="preserve">For more information, contact: </w:t>
      </w:r>
      <w:hyperlink r:id="rId24" w:history="1">
        <w:r w:rsidR="00BC1101" w:rsidRPr="00BC1101">
          <w:rPr>
            <w:rStyle w:val="Hyperlink"/>
          </w:rPr>
          <w:t>skills2procure@hpw.qld.gov.au</w:t>
        </w:r>
      </w:hyperlink>
      <w:r w:rsidR="00BC1101">
        <w:rPr>
          <w:rStyle w:val="Hyperlink"/>
        </w:rPr>
        <w:t xml:space="preserve"> </w:t>
      </w:r>
      <w:r>
        <w:t xml:space="preserve"> </w:t>
      </w:r>
    </w:p>
    <w:p w14:paraId="4949A524" w14:textId="77777777" w:rsidR="00F00CEA" w:rsidRDefault="00F00CEA" w:rsidP="00217D4E">
      <w:pPr>
        <w:pStyle w:val="Heading2"/>
      </w:pPr>
      <w:bookmarkStart w:id="49" w:name="_Toc196742911"/>
      <w:bookmarkStart w:id="50" w:name="_Toc207030966"/>
      <w:r>
        <w:t>Understanding inclusion</w:t>
      </w:r>
      <w:bookmarkEnd w:id="49"/>
      <w:bookmarkEnd w:id="50"/>
      <w:r>
        <w:t xml:space="preserve">  </w:t>
      </w:r>
    </w:p>
    <w:p w14:paraId="295122F5" w14:textId="77777777" w:rsidR="00F00CEA" w:rsidRDefault="00F00CEA" w:rsidP="00217D4E">
      <w:r>
        <w:t xml:space="preserve">Disability awareness and understanding barriers to inclusion is a first step to ensuring procurement of universally accessible goods, services, buildings and infrastructure.  </w:t>
      </w:r>
    </w:p>
    <w:p w14:paraId="28B6D26B" w14:textId="77777777" w:rsidR="00F00CEA" w:rsidRPr="00CD0701" w:rsidRDefault="00F00CEA" w:rsidP="002F660B">
      <w:r>
        <w:t xml:space="preserve">Accessibility and inclusion </w:t>
      </w:r>
      <w:proofErr w:type="gramStart"/>
      <w:r>
        <w:t>increases</w:t>
      </w:r>
      <w:proofErr w:type="gramEnd"/>
      <w:r>
        <w:t xml:space="preserve"> the social and economic participation of Queenslanders with disability, carers, families with small children and our aging population.  </w:t>
      </w:r>
    </w:p>
    <w:p w14:paraId="08B31C4E" w14:textId="77777777" w:rsidR="00F00CEA" w:rsidRPr="004915F5" w:rsidRDefault="00F00CEA" w:rsidP="00217D4E">
      <w:r w:rsidRPr="004915F5">
        <w:t xml:space="preserve">There are </w:t>
      </w:r>
      <w:proofErr w:type="gramStart"/>
      <w:r w:rsidRPr="004915F5">
        <w:t>a number of</w:t>
      </w:r>
      <w:proofErr w:type="gramEnd"/>
      <w:r w:rsidRPr="004915F5">
        <w:t xml:space="preserve"> free resources available to support professional development in disability awareness, understanding disability discrimination in business and the fundamentals of universal design</w:t>
      </w:r>
      <w:r>
        <w:t xml:space="preserve"> (refer to </w:t>
      </w:r>
      <w:r w:rsidRPr="00B30965">
        <w:rPr>
          <w:b/>
        </w:rPr>
        <w:t>Appendix 2</w:t>
      </w:r>
      <w:r>
        <w:t xml:space="preserve"> for a list of resources)</w:t>
      </w:r>
      <w:r w:rsidRPr="004915F5">
        <w:t xml:space="preserve">. </w:t>
      </w:r>
    </w:p>
    <w:p w14:paraId="5A51901C" w14:textId="77777777" w:rsidR="00F00CEA" w:rsidRPr="004915F5" w:rsidRDefault="00F00CEA" w:rsidP="00217D4E">
      <w:r w:rsidRPr="004915F5">
        <w:t>This information can assist you to establish a foundation of knowledge that will support an accessibility compliant procurement process.</w:t>
      </w:r>
    </w:p>
    <w:p w14:paraId="06126FB9" w14:textId="77777777" w:rsidR="00F00CEA" w:rsidRPr="003B3B12" w:rsidRDefault="00F00CEA" w:rsidP="00217D4E">
      <w:pPr>
        <w:spacing w:after="0"/>
        <w:rPr>
          <w:b/>
          <w:bCs/>
          <w:szCs w:val="20"/>
          <w:lang w:eastAsia="en-AU"/>
        </w:rPr>
      </w:pPr>
      <w:r>
        <w:br w:type="page"/>
      </w:r>
    </w:p>
    <w:p w14:paraId="0C54AEC1" w14:textId="77777777" w:rsidR="00F00CEA" w:rsidRDefault="00F00CEA" w:rsidP="00217D4E">
      <w:pPr>
        <w:pStyle w:val="Heading1"/>
      </w:pPr>
      <w:bookmarkStart w:id="51" w:name="_Toc196742912"/>
      <w:bookmarkStart w:id="52" w:name="_Toc207030967"/>
      <w:r>
        <w:lastRenderedPageBreak/>
        <w:t>Appendix 1: Disability sector organisations</w:t>
      </w:r>
      <w:bookmarkEnd w:id="51"/>
      <w:bookmarkEnd w:id="52"/>
    </w:p>
    <w:p w14:paraId="27C0CB7A" w14:textId="77777777" w:rsidR="00F00CEA" w:rsidRDefault="00F00CEA" w:rsidP="00217D4E">
      <w:pPr>
        <w:rPr>
          <w:lang w:eastAsia="en-AU"/>
        </w:rPr>
      </w:pPr>
      <w:r>
        <w:rPr>
          <w:lang w:eastAsia="en-AU"/>
        </w:rPr>
        <w:t xml:space="preserve">After consideration of prior category council lead or IRG member advice, you may wish to obtain additional sector input or be connected to specific technical expertise. </w:t>
      </w:r>
      <w:proofErr w:type="gramStart"/>
      <w:r>
        <w:rPr>
          <w:lang w:eastAsia="en-AU"/>
        </w:rPr>
        <w:t>A number of</w:t>
      </w:r>
      <w:proofErr w:type="gramEnd"/>
      <w:r>
        <w:rPr>
          <w:lang w:eastAsia="en-AU"/>
        </w:rPr>
        <w:t xml:space="preserve"> organisations exist in Queensland to support individual, systems and legal advocacy</w:t>
      </w:r>
      <w:r w:rsidR="00A64DE5">
        <w:rPr>
          <w:rStyle w:val="FootnoteReference"/>
          <w:lang w:eastAsia="en-AU"/>
        </w:rPr>
        <w:footnoteReference w:customMarkFollows="1" w:id="3"/>
        <w:t>3</w:t>
      </w:r>
      <w:r>
        <w:rPr>
          <w:lang w:eastAsia="en-AU"/>
        </w:rPr>
        <w:t xml:space="preserve">. </w:t>
      </w:r>
    </w:p>
    <w:p w14:paraId="2A4AC4FD" w14:textId="77777777" w:rsidR="00F00CEA" w:rsidRPr="004915F5" w:rsidRDefault="00F00CEA" w:rsidP="00B23DAC">
      <w:bookmarkStart w:id="53" w:name="_Toc196742913"/>
      <w:r w:rsidRPr="00B23DAC">
        <w:rPr>
          <w:b/>
          <w:color w:val="002060"/>
          <w:sz w:val="32"/>
          <w:szCs w:val="32"/>
        </w:rPr>
        <w:t>Queensland Advocacy for Inclusion</w:t>
      </w:r>
      <w:bookmarkEnd w:id="53"/>
      <w:r w:rsidRPr="004915F5">
        <w:t xml:space="preserve"> </w:t>
      </w:r>
    </w:p>
    <w:p w14:paraId="1173E432" w14:textId="77777777" w:rsidR="00F00CEA" w:rsidRDefault="00F00CEA" w:rsidP="00217D4E">
      <w:hyperlink r:id="rId25" w:history="1">
        <w:r w:rsidRPr="00205E60">
          <w:rPr>
            <w:rStyle w:val="Hyperlink"/>
          </w:rPr>
          <w:t xml:space="preserve">Queensland Advocacy </w:t>
        </w:r>
        <w:r>
          <w:rPr>
            <w:rStyle w:val="Hyperlink"/>
          </w:rPr>
          <w:t>for Inclusion</w:t>
        </w:r>
        <w:r w:rsidRPr="00205E60">
          <w:rPr>
            <w:rStyle w:val="Hyperlink"/>
          </w:rPr>
          <w:t xml:space="preserve"> (QAI)</w:t>
        </w:r>
      </w:hyperlink>
      <w:r w:rsidR="00AA7C4A">
        <w:t xml:space="preserve"> </w:t>
      </w:r>
      <w:r>
        <w:t>[</w:t>
      </w:r>
      <w:r w:rsidRPr="00E31883">
        <w:t>https://qai.org.au/</w:t>
      </w:r>
      <w:r>
        <w:t>] advocates for the protection and advancement of the needs, rights and lives of people with disability in Queensland.</w:t>
      </w:r>
      <w:r w:rsidRPr="00EE435C">
        <w:t xml:space="preserve"> </w:t>
      </w:r>
    </w:p>
    <w:p w14:paraId="2606142E" w14:textId="77777777" w:rsidR="00F00CEA" w:rsidRDefault="00F00CEA" w:rsidP="00217D4E">
      <w:r w:rsidRPr="00205E60">
        <w:rPr>
          <w:bCs/>
        </w:rPr>
        <w:t>Phone:</w:t>
      </w:r>
      <w:r w:rsidRPr="00205E60">
        <w:t xml:space="preserve"> </w:t>
      </w:r>
      <w:hyperlink r:id="rId26" w:history="1">
        <w:r w:rsidRPr="00205E60">
          <w:t>(07) 3844 4200</w:t>
        </w:r>
      </w:hyperlink>
      <w:r w:rsidRPr="001106E0">
        <w:t xml:space="preserve"> or </w:t>
      </w:r>
      <w:hyperlink r:id="rId27" w:history="1">
        <w:r w:rsidRPr="001106E0">
          <w:t>1300 130 582</w:t>
        </w:r>
      </w:hyperlink>
      <w:r>
        <w:t xml:space="preserve"> or </w:t>
      </w:r>
      <w:r>
        <w:rPr>
          <w:bCs/>
        </w:rPr>
        <w:t>e</w:t>
      </w:r>
      <w:r w:rsidRPr="00205E60">
        <w:rPr>
          <w:bCs/>
        </w:rPr>
        <w:t>mail: </w:t>
      </w:r>
      <w:hyperlink r:id="rId28" w:history="1">
        <w:r w:rsidR="00AA7C4A" w:rsidRPr="0061088A">
          <w:rPr>
            <w:rStyle w:val="Hyperlink"/>
            <w:rFonts w:cs="Arial"/>
            <w:noProof/>
          </w:rPr>
          <w:t>qai@qai.org.au</w:t>
        </w:r>
      </w:hyperlink>
      <w:r w:rsidR="00AA7C4A">
        <w:rPr>
          <w:rStyle w:val="Hyperlink"/>
          <w:rFonts w:cs="Arial"/>
          <w:noProof/>
        </w:rPr>
        <w:t xml:space="preserve"> </w:t>
      </w:r>
    </w:p>
    <w:p w14:paraId="5240DD29" w14:textId="77777777" w:rsidR="00F00CEA" w:rsidRPr="00B23DAC" w:rsidRDefault="00F00CEA" w:rsidP="00B23DAC">
      <w:pPr>
        <w:rPr>
          <w:b/>
          <w:color w:val="002060"/>
          <w:sz w:val="32"/>
          <w:szCs w:val="32"/>
        </w:rPr>
      </w:pPr>
      <w:bookmarkStart w:id="54" w:name="_Toc196742914"/>
      <w:r w:rsidRPr="00B23DAC">
        <w:rPr>
          <w:b/>
          <w:color w:val="002060"/>
          <w:sz w:val="32"/>
          <w:szCs w:val="32"/>
        </w:rPr>
        <w:t>Queenslanders with Disability Network</w:t>
      </w:r>
      <w:bookmarkEnd w:id="54"/>
    </w:p>
    <w:p w14:paraId="1D714D6E" w14:textId="77777777" w:rsidR="00F00CEA" w:rsidRDefault="00F00CEA" w:rsidP="00217D4E">
      <w:hyperlink r:id="rId29" w:history="1">
        <w:r w:rsidRPr="00EE423B">
          <w:rPr>
            <w:rStyle w:val="Hyperlink"/>
          </w:rPr>
          <w:t>Queenslanders with Disability Network (QDN)</w:t>
        </w:r>
      </w:hyperlink>
      <w:r w:rsidR="00881AE1">
        <w:t xml:space="preserve"> </w:t>
      </w:r>
      <w:r>
        <w:t>[</w:t>
      </w:r>
      <w:r w:rsidRPr="00E31883">
        <w:t>https://qdn.org.au/</w:t>
      </w:r>
      <w:r>
        <w:t xml:space="preserve">] is a state-wide organisation of, by, and for people with diverse disability. QDN leads, informs, connects and influences to empower people with disability to be fully included as citizens in the social, economic, digital and political life of the community. </w:t>
      </w:r>
    </w:p>
    <w:p w14:paraId="1EB43F24" w14:textId="77777777" w:rsidR="00F00CEA" w:rsidRDefault="00F00CEA" w:rsidP="00217D4E">
      <w:pPr>
        <w:rPr>
          <w:color w:val="1F497D"/>
          <w:lang w:eastAsia="en-AU"/>
        </w:rPr>
      </w:pPr>
      <w:r w:rsidRPr="00205E60">
        <w:rPr>
          <w:bCs/>
        </w:rPr>
        <w:t>Phone:</w:t>
      </w:r>
      <w:r>
        <w:t xml:space="preserve"> (07) 3252 8566 </w:t>
      </w:r>
      <w:r w:rsidRPr="001106E0">
        <w:t xml:space="preserve">or </w:t>
      </w:r>
      <w:r>
        <w:t xml:space="preserve">1300 363 783 or email: </w:t>
      </w:r>
      <w:hyperlink r:id="rId30" w:history="1">
        <w:r w:rsidRPr="00AF331E">
          <w:rPr>
            <w:rStyle w:val="Hyperlink"/>
          </w:rPr>
          <w:t>qdn@qdn.org.au</w:t>
        </w:r>
      </w:hyperlink>
      <w:r>
        <w:t xml:space="preserve"> </w:t>
      </w:r>
    </w:p>
    <w:p w14:paraId="03E71B2D" w14:textId="77777777" w:rsidR="00F00CEA" w:rsidRPr="00B23DAC" w:rsidRDefault="00F00CEA" w:rsidP="00B23DAC">
      <w:pPr>
        <w:rPr>
          <w:b/>
          <w:color w:val="002060"/>
          <w:sz w:val="32"/>
          <w:szCs w:val="32"/>
        </w:rPr>
      </w:pPr>
      <w:bookmarkStart w:id="55" w:name="_Toc196742915"/>
      <w:r w:rsidRPr="00B23DAC">
        <w:rPr>
          <w:b/>
          <w:color w:val="002060"/>
          <w:sz w:val="32"/>
          <w:szCs w:val="32"/>
        </w:rPr>
        <w:t>Blind Citizens Australia</w:t>
      </w:r>
      <w:bookmarkEnd w:id="55"/>
    </w:p>
    <w:p w14:paraId="540A51AE" w14:textId="77777777" w:rsidR="00F00CEA" w:rsidRDefault="00F00CEA" w:rsidP="00217D4E">
      <w:hyperlink r:id="rId31" w:history="1">
        <w:r w:rsidRPr="007102EF">
          <w:rPr>
            <w:rStyle w:val="Hyperlink"/>
          </w:rPr>
          <w:t>Blind Citizens Australi</w:t>
        </w:r>
        <w:r>
          <w:rPr>
            <w:rStyle w:val="Hyperlink"/>
          </w:rPr>
          <w:t>a (BCA)</w:t>
        </w:r>
      </w:hyperlink>
      <w:r w:rsidR="00881AE1">
        <w:t xml:space="preserve"> </w:t>
      </w:r>
      <w:r>
        <w:t>[</w:t>
      </w:r>
      <w:r w:rsidRPr="00E31883">
        <w:t>https://www.bca.org.au/</w:t>
      </w:r>
      <w:r>
        <w:t>] is the national representative organisation of people who are blind or vision impaired. BCA informs, connects and empowers Australians who are blind or vision impaired and the broader community.</w:t>
      </w:r>
    </w:p>
    <w:p w14:paraId="2AEC733A" w14:textId="77777777" w:rsidR="00F00CEA" w:rsidRDefault="00F00CEA" w:rsidP="00217D4E">
      <w:r w:rsidRPr="00205E60">
        <w:rPr>
          <w:bCs/>
        </w:rPr>
        <w:t>Phone:</w:t>
      </w:r>
      <w:r>
        <w:rPr>
          <w:bCs/>
        </w:rPr>
        <w:t xml:space="preserve"> </w:t>
      </w:r>
      <w:hyperlink r:id="rId32" w:history="1">
        <w:r w:rsidRPr="001106E0">
          <w:t>1</w:t>
        </w:r>
        <w:r>
          <w:t>8</w:t>
        </w:r>
        <w:r w:rsidRPr="001106E0">
          <w:t>00 0</w:t>
        </w:r>
        <w:r>
          <w:t>33</w:t>
        </w:r>
        <w:r w:rsidRPr="001106E0">
          <w:t xml:space="preserve"> </w:t>
        </w:r>
        <w:r>
          <w:t>660</w:t>
        </w:r>
      </w:hyperlink>
      <w:r>
        <w:t xml:space="preserve"> or </w:t>
      </w:r>
      <w:r>
        <w:rPr>
          <w:bCs/>
        </w:rPr>
        <w:t>e</w:t>
      </w:r>
      <w:r w:rsidRPr="00205E60">
        <w:rPr>
          <w:bCs/>
        </w:rPr>
        <w:t>mail: </w:t>
      </w:r>
      <w:hyperlink r:id="rId33" w:history="1">
        <w:r w:rsidR="00881AE1" w:rsidRPr="0061088A">
          <w:rPr>
            <w:rStyle w:val="Hyperlink"/>
          </w:rPr>
          <w:t>bca@bca.org.au</w:t>
        </w:r>
      </w:hyperlink>
      <w:r w:rsidR="00881AE1">
        <w:rPr>
          <w:rStyle w:val="Hyperlink"/>
        </w:rPr>
        <w:t xml:space="preserve"> </w:t>
      </w:r>
      <w:r>
        <w:t xml:space="preserve"> </w:t>
      </w:r>
    </w:p>
    <w:p w14:paraId="4C0D4AF1" w14:textId="77777777" w:rsidR="00F00CEA" w:rsidRPr="00B23DAC" w:rsidRDefault="00F00CEA" w:rsidP="00B23DAC">
      <w:pPr>
        <w:rPr>
          <w:b/>
          <w:color w:val="002060"/>
          <w:sz w:val="32"/>
          <w:szCs w:val="32"/>
        </w:rPr>
      </w:pPr>
      <w:bookmarkStart w:id="56" w:name="_Toc196742916"/>
      <w:r w:rsidRPr="00B23DAC">
        <w:rPr>
          <w:b/>
          <w:color w:val="002060"/>
          <w:sz w:val="32"/>
          <w:szCs w:val="32"/>
        </w:rPr>
        <w:t>Spinal Life Australia</w:t>
      </w:r>
      <w:bookmarkEnd w:id="56"/>
    </w:p>
    <w:p w14:paraId="3500D558" w14:textId="77777777" w:rsidR="00F00CEA" w:rsidRDefault="00F00CEA" w:rsidP="00217D4E">
      <w:hyperlink r:id="rId34" w:history="1">
        <w:r w:rsidRPr="00076C70">
          <w:rPr>
            <w:rStyle w:val="Hyperlink"/>
          </w:rPr>
          <w:t>Spinal Life Australia</w:t>
        </w:r>
      </w:hyperlink>
      <w:r w:rsidR="00881AE1">
        <w:t xml:space="preserve"> </w:t>
      </w:r>
      <w:r>
        <w:t>[</w:t>
      </w:r>
      <w:r w:rsidRPr="00E31883">
        <w:t>https://www.spinal.com.au/</w:t>
      </w:r>
      <w:r>
        <w:t>] provides professional allied health and therapy services to support</w:t>
      </w:r>
      <w:r w:rsidRPr="00D16C7C">
        <w:t xml:space="preserve"> people with spinal cord damage</w:t>
      </w:r>
      <w:r>
        <w:t xml:space="preserve"> on their journey towards improved mobility, independence, and quality of life.</w:t>
      </w:r>
    </w:p>
    <w:p w14:paraId="7C0569FB" w14:textId="77777777" w:rsidR="00F00CEA" w:rsidRDefault="00F00CEA" w:rsidP="00217D4E">
      <w:pPr>
        <w:rPr>
          <w:color w:val="1F497D"/>
          <w:lang w:eastAsia="en-AU"/>
        </w:rPr>
      </w:pPr>
      <w:r w:rsidRPr="00205E60">
        <w:rPr>
          <w:bCs/>
        </w:rPr>
        <w:t>Phone:</w:t>
      </w:r>
      <w:r>
        <w:t xml:space="preserve"> 1300 774 625 or email: </w:t>
      </w:r>
      <w:hyperlink r:id="rId35" w:history="1">
        <w:r w:rsidRPr="00AF331E">
          <w:rPr>
            <w:rStyle w:val="Hyperlink"/>
          </w:rPr>
          <w:t>enquiries@spinal.com.au</w:t>
        </w:r>
      </w:hyperlink>
      <w:r>
        <w:t xml:space="preserve">  </w:t>
      </w:r>
    </w:p>
    <w:p w14:paraId="76BFBA4A" w14:textId="77777777" w:rsidR="00F00CEA" w:rsidRPr="00B23DAC" w:rsidRDefault="00F00CEA" w:rsidP="00B23DAC">
      <w:pPr>
        <w:rPr>
          <w:b/>
          <w:color w:val="002060"/>
          <w:sz w:val="32"/>
          <w:szCs w:val="32"/>
        </w:rPr>
      </w:pPr>
      <w:bookmarkStart w:id="57" w:name="_Toc196742917"/>
      <w:proofErr w:type="spellStart"/>
      <w:r w:rsidRPr="00B23DAC">
        <w:rPr>
          <w:b/>
          <w:color w:val="002060"/>
          <w:sz w:val="32"/>
          <w:szCs w:val="32"/>
        </w:rPr>
        <w:t>DiversiCare</w:t>
      </w:r>
      <w:bookmarkEnd w:id="57"/>
      <w:proofErr w:type="spellEnd"/>
    </w:p>
    <w:p w14:paraId="345AAFAE" w14:textId="77777777" w:rsidR="00F00CEA" w:rsidRDefault="00F00CEA" w:rsidP="00217D4E">
      <w:hyperlink r:id="rId36" w:history="1">
        <w:proofErr w:type="spellStart"/>
        <w:r w:rsidRPr="00FE7D88">
          <w:rPr>
            <w:rStyle w:val="Hyperlink"/>
          </w:rPr>
          <w:t>DiversiCare</w:t>
        </w:r>
        <w:proofErr w:type="spellEnd"/>
      </w:hyperlink>
      <w:r w:rsidR="007C3822">
        <w:t xml:space="preserve"> </w:t>
      </w:r>
      <w:r>
        <w:t>[</w:t>
      </w:r>
      <w:r w:rsidRPr="00E31883">
        <w:t>http://www.diversicare.com.au/</w:t>
      </w:r>
      <w:r>
        <w:t xml:space="preserve">] is a division of the Ethnic Communities Council of </w:t>
      </w:r>
      <w:proofErr w:type="gramStart"/>
      <w:r>
        <w:t>Queensland, and</w:t>
      </w:r>
      <w:proofErr w:type="gramEnd"/>
      <w:r>
        <w:t xml:space="preserve"> provides care and support to people</w:t>
      </w:r>
      <w:r w:rsidRPr="00D16C7C">
        <w:t xml:space="preserve"> from over 65 different ethnic backgrounds representing over 45 different languages.</w:t>
      </w:r>
    </w:p>
    <w:p w14:paraId="1612775C" w14:textId="77777777" w:rsidR="00F00CEA" w:rsidRDefault="00F00CEA" w:rsidP="00217D4E">
      <w:r w:rsidRPr="00205E60">
        <w:rPr>
          <w:bCs/>
        </w:rPr>
        <w:t>Phone:</w:t>
      </w:r>
      <w:r>
        <w:rPr>
          <w:bCs/>
        </w:rPr>
        <w:t xml:space="preserve"> </w:t>
      </w:r>
      <w:r>
        <w:t xml:space="preserve">1300 348 377 or </w:t>
      </w:r>
      <w:r>
        <w:rPr>
          <w:bCs/>
        </w:rPr>
        <w:t>e</w:t>
      </w:r>
      <w:r w:rsidRPr="00205E60">
        <w:rPr>
          <w:bCs/>
        </w:rPr>
        <w:t>mail: </w:t>
      </w:r>
      <w:hyperlink r:id="rId37" w:history="1">
        <w:r w:rsidR="008333B4" w:rsidRPr="0061088A">
          <w:rPr>
            <w:rStyle w:val="Hyperlink"/>
            <w:bCs/>
          </w:rPr>
          <w:t>info@diversicare.com.au</w:t>
        </w:r>
      </w:hyperlink>
      <w:r w:rsidR="008333B4">
        <w:rPr>
          <w:rStyle w:val="Hyperlink"/>
          <w:bCs/>
        </w:rPr>
        <w:t xml:space="preserve"> </w:t>
      </w:r>
    </w:p>
    <w:p w14:paraId="5D79D365" w14:textId="77777777" w:rsidR="00F00CEA" w:rsidRPr="00B23DAC" w:rsidRDefault="00F00CEA" w:rsidP="00B23DAC">
      <w:pPr>
        <w:rPr>
          <w:b/>
          <w:color w:val="002060"/>
          <w:sz w:val="32"/>
          <w:szCs w:val="32"/>
        </w:rPr>
      </w:pPr>
      <w:bookmarkStart w:id="58" w:name="_Toc196742918"/>
      <w:r w:rsidRPr="00B23DAC">
        <w:rPr>
          <w:b/>
          <w:color w:val="002060"/>
          <w:sz w:val="32"/>
          <w:szCs w:val="32"/>
        </w:rPr>
        <w:t>MS Queensland</w:t>
      </w:r>
      <w:bookmarkEnd w:id="58"/>
    </w:p>
    <w:p w14:paraId="25AFB4C4" w14:textId="77777777" w:rsidR="00F00CEA" w:rsidRDefault="00F00CEA" w:rsidP="00217D4E">
      <w:hyperlink r:id="rId38" w:history="1">
        <w:r w:rsidRPr="00FE7D88">
          <w:rPr>
            <w:rStyle w:val="Hyperlink"/>
          </w:rPr>
          <w:t>MS Queensland</w:t>
        </w:r>
      </w:hyperlink>
      <w:r w:rsidR="008333B4">
        <w:t xml:space="preserve"> </w:t>
      </w:r>
      <w:r>
        <w:t>[</w:t>
      </w:r>
      <w:r w:rsidRPr="00E31883">
        <w:t>https://www.msqld.org.au/</w:t>
      </w:r>
      <w:r>
        <w:t xml:space="preserve">] </w:t>
      </w:r>
      <w:r w:rsidRPr="00FE7D88">
        <w:t xml:space="preserve">is a </w:t>
      </w:r>
      <w:r>
        <w:t>leading provider of holistic services for people living with a neurological condition. MS Queensland is committed to ensuring people with neuro conditions can live better lives and discover new possibilities, by building community and human connection, driving neuro wellness, raising awareness, and delivering integrated services to support health, wellbeing and education.</w:t>
      </w:r>
    </w:p>
    <w:p w14:paraId="60B68C55" w14:textId="77777777" w:rsidR="00F00CEA" w:rsidRDefault="00F00CEA" w:rsidP="00217D4E">
      <w:r>
        <w:t xml:space="preserve">Phone: 1800 177 591 or email: </w:t>
      </w:r>
      <w:hyperlink r:id="rId39">
        <w:r w:rsidR="008333B4" w:rsidRPr="4C8872AB">
          <w:rPr>
            <w:rStyle w:val="Hyperlink"/>
          </w:rPr>
          <w:t>hello@msqld.org.au</w:t>
        </w:r>
      </w:hyperlink>
      <w:r w:rsidR="008333B4" w:rsidRPr="4C8872AB">
        <w:rPr>
          <w:rStyle w:val="Hyperlink"/>
        </w:rPr>
        <w:t xml:space="preserve"> </w:t>
      </w:r>
    </w:p>
    <w:p w14:paraId="62D1F82C" w14:textId="49760D54" w:rsidR="00F00CEA" w:rsidRDefault="00F00CEA">
      <w:pPr>
        <w:rPr>
          <w:b/>
          <w:bCs/>
          <w:color w:val="002060"/>
          <w:sz w:val="32"/>
          <w:szCs w:val="32"/>
        </w:rPr>
      </w:pPr>
    </w:p>
    <w:p w14:paraId="56327D82" w14:textId="77777777" w:rsidR="00F00CEA" w:rsidRPr="00B23DAC" w:rsidRDefault="00F00CEA" w:rsidP="00B23DAC">
      <w:pPr>
        <w:rPr>
          <w:b/>
          <w:color w:val="002060"/>
          <w:sz w:val="32"/>
          <w:szCs w:val="32"/>
        </w:rPr>
      </w:pPr>
      <w:bookmarkStart w:id="59" w:name="_Toc196742919"/>
      <w:r w:rsidRPr="00B23DAC">
        <w:rPr>
          <w:b/>
          <w:color w:val="002060"/>
          <w:sz w:val="32"/>
          <w:szCs w:val="32"/>
        </w:rPr>
        <w:t xml:space="preserve">Deaf </w:t>
      </w:r>
      <w:bookmarkEnd w:id="59"/>
      <w:r w:rsidRPr="00B23DAC">
        <w:rPr>
          <w:b/>
          <w:color w:val="002060"/>
          <w:sz w:val="32"/>
          <w:szCs w:val="32"/>
        </w:rPr>
        <w:t>Connect</w:t>
      </w:r>
    </w:p>
    <w:p w14:paraId="6A05BBE4" w14:textId="77777777" w:rsidR="00F00CEA" w:rsidRPr="00FE7D88" w:rsidRDefault="00F00CEA" w:rsidP="00217D4E">
      <w:hyperlink r:id="rId40" w:history="1">
        <w:r w:rsidRPr="004C5650">
          <w:rPr>
            <w:rStyle w:val="Hyperlink"/>
          </w:rPr>
          <w:t>Deaf Connect</w:t>
        </w:r>
      </w:hyperlink>
      <w:r w:rsidR="00A64DE5">
        <w:t xml:space="preserve"> </w:t>
      </w:r>
      <w:r>
        <w:t>[</w:t>
      </w:r>
      <w:r w:rsidRPr="004C5650">
        <w:t>https://deafconnect.org.au/</w:t>
      </w:r>
      <w:r>
        <w:t xml:space="preserve">] </w:t>
      </w:r>
      <w:r w:rsidRPr="00FE7D88">
        <w:t xml:space="preserve">is </w:t>
      </w:r>
      <w:r>
        <w:t>the largest, whole-of-life service provider and social impact organisation for Deaf, deafblind and hard of hearing Australians. Deaf Connect focuses on community and empowerment, supporting Deaf Australians and their families to make choices and actions to thrive in life.</w:t>
      </w:r>
    </w:p>
    <w:p w14:paraId="79060798" w14:textId="77777777" w:rsidR="00F00CEA" w:rsidRDefault="00F00CEA" w:rsidP="00217D4E">
      <w:r w:rsidRPr="00205E60">
        <w:rPr>
          <w:bCs/>
        </w:rPr>
        <w:t>Phone:</w:t>
      </w:r>
      <w:r>
        <w:rPr>
          <w:bCs/>
        </w:rPr>
        <w:t xml:space="preserve"> </w:t>
      </w:r>
      <w:r>
        <w:t xml:space="preserve">1800 893 855 </w:t>
      </w:r>
      <w:r>
        <w:rPr>
          <w:bCs/>
        </w:rPr>
        <w:t>or e</w:t>
      </w:r>
      <w:r w:rsidRPr="00205E60">
        <w:rPr>
          <w:bCs/>
        </w:rPr>
        <w:t>mail:</w:t>
      </w:r>
      <w:r>
        <w:rPr>
          <w:bCs/>
        </w:rPr>
        <w:t xml:space="preserve"> </w:t>
      </w:r>
      <w:hyperlink r:id="rId41" w:history="1">
        <w:r w:rsidR="00A64DE5" w:rsidRPr="0061088A">
          <w:rPr>
            <w:rStyle w:val="Hyperlink"/>
            <w:bCs/>
          </w:rPr>
          <w:t>info@deafconnect.org.au</w:t>
        </w:r>
      </w:hyperlink>
      <w:r w:rsidR="00A64DE5">
        <w:rPr>
          <w:bCs/>
        </w:rPr>
        <w:t xml:space="preserve"> </w:t>
      </w:r>
      <w:r>
        <w:rPr>
          <w:bCs/>
        </w:rPr>
        <w:t xml:space="preserve"> </w:t>
      </w:r>
    </w:p>
    <w:p w14:paraId="775E5664" w14:textId="77777777" w:rsidR="00F00CEA" w:rsidRPr="00B23DAC" w:rsidRDefault="00F00CEA" w:rsidP="00B23DAC">
      <w:pPr>
        <w:rPr>
          <w:b/>
          <w:color w:val="002060"/>
          <w:sz w:val="32"/>
          <w:szCs w:val="32"/>
        </w:rPr>
      </w:pPr>
      <w:r w:rsidRPr="00B23DAC">
        <w:rPr>
          <w:b/>
          <w:color w:val="002060"/>
          <w:sz w:val="32"/>
          <w:szCs w:val="32"/>
        </w:rPr>
        <w:t xml:space="preserve">The Arthritis Movement </w:t>
      </w:r>
    </w:p>
    <w:p w14:paraId="7925240C" w14:textId="77777777" w:rsidR="00F00CEA" w:rsidRDefault="00F00CEA" w:rsidP="00217D4E">
      <w:hyperlink r:id="rId42" w:history="1">
        <w:r w:rsidRPr="00345AAD">
          <w:rPr>
            <w:rStyle w:val="Hyperlink"/>
          </w:rPr>
          <w:t>The Arthritis Movement</w:t>
        </w:r>
      </w:hyperlink>
      <w:r w:rsidR="00A64DE5">
        <w:t xml:space="preserve"> </w:t>
      </w:r>
      <w:r>
        <w:t>[</w:t>
      </w:r>
      <w:r w:rsidRPr="00525BA6">
        <w:t>https://www.arthritis.org.au/</w:t>
      </w:r>
      <w:r>
        <w:t>] supports every person impacted by arthritis to live life to the fullest through programs, education, resources, and advocacy. The Arthritis Movement supports innovation and research to find better ways to prevent, treat and ultimately cure arthritis.</w:t>
      </w:r>
    </w:p>
    <w:p w14:paraId="20E4EBF4" w14:textId="77777777" w:rsidR="00F00CEA" w:rsidRDefault="00F00CEA" w:rsidP="00217D4E">
      <w:pPr>
        <w:rPr>
          <w:bCs/>
        </w:rPr>
      </w:pPr>
      <w:r w:rsidRPr="00205E60">
        <w:rPr>
          <w:bCs/>
        </w:rPr>
        <w:t>Phone:</w:t>
      </w:r>
      <w:r>
        <w:rPr>
          <w:bCs/>
        </w:rPr>
        <w:t xml:space="preserve"> </w:t>
      </w:r>
      <w:r>
        <w:t xml:space="preserve">1300 275 826 or </w:t>
      </w:r>
      <w:r>
        <w:rPr>
          <w:bCs/>
        </w:rPr>
        <w:t xml:space="preserve">email: </w:t>
      </w:r>
      <w:hyperlink r:id="rId43" w:history="1">
        <w:r w:rsidRPr="005F2BB2">
          <w:rPr>
            <w:rStyle w:val="Hyperlink"/>
            <w:bCs/>
          </w:rPr>
          <w:t>admin@arthritis.org.au</w:t>
        </w:r>
      </w:hyperlink>
      <w:r>
        <w:rPr>
          <w:bCs/>
        </w:rPr>
        <w:t xml:space="preserve"> </w:t>
      </w:r>
    </w:p>
    <w:p w14:paraId="093CB268" w14:textId="77777777" w:rsidR="00F00CEA" w:rsidRPr="00B23DAC" w:rsidRDefault="00F00CEA" w:rsidP="00B23DAC">
      <w:pPr>
        <w:rPr>
          <w:b/>
          <w:color w:val="002060"/>
          <w:sz w:val="32"/>
          <w:szCs w:val="32"/>
        </w:rPr>
      </w:pPr>
      <w:bookmarkStart w:id="60" w:name="_Toc196742921"/>
      <w:r w:rsidRPr="00B23DAC">
        <w:rPr>
          <w:b/>
          <w:color w:val="002060"/>
          <w:sz w:val="32"/>
          <w:szCs w:val="32"/>
        </w:rPr>
        <w:t>First Peoples Disability Network</w:t>
      </w:r>
      <w:bookmarkEnd w:id="60"/>
    </w:p>
    <w:p w14:paraId="7894ED2F" w14:textId="77777777" w:rsidR="00F00CEA" w:rsidRDefault="00F00CEA" w:rsidP="00217D4E">
      <w:pPr>
        <w:rPr>
          <w:rFonts w:cs="Arial"/>
          <w:bCs/>
        </w:rPr>
      </w:pPr>
      <w:hyperlink r:id="rId44" w:history="1">
        <w:r w:rsidRPr="00AD726C">
          <w:rPr>
            <w:rStyle w:val="Hyperlink"/>
          </w:rPr>
          <w:t>First Peoples Disability Network</w:t>
        </w:r>
      </w:hyperlink>
      <w:r w:rsidR="000A0B1D">
        <w:t xml:space="preserve"> </w:t>
      </w:r>
      <w:r>
        <w:t>[</w:t>
      </w:r>
      <w:r w:rsidRPr="00755F5C">
        <w:t>https://fpdn.org.au/</w:t>
      </w:r>
      <w:r>
        <w:t xml:space="preserve">] </w:t>
      </w:r>
      <w:r w:rsidRPr="003F401B">
        <w:t>i</w:t>
      </w:r>
      <w:r w:rsidRPr="003F401B">
        <w:rPr>
          <w:rFonts w:cs="Arial"/>
        </w:rPr>
        <w:t xml:space="preserve">s </w:t>
      </w:r>
      <w:r w:rsidRPr="003F401B">
        <w:rPr>
          <w:rFonts w:cs="Arial"/>
          <w:bCs/>
        </w:rPr>
        <w:t xml:space="preserve">a national organisation of and for Australia’s First Peoples with disability, their families and communities. </w:t>
      </w:r>
      <w:r>
        <w:rPr>
          <w:rFonts w:cs="Arial"/>
          <w:bCs/>
        </w:rPr>
        <w:t>The</w:t>
      </w:r>
      <w:r w:rsidRPr="003F401B">
        <w:rPr>
          <w:rFonts w:cs="Arial"/>
          <w:bCs/>
        </w:rPr>
        <w:t xml:space="preserve"> organisation is governed by First Peoples with lived experience of disability.</w:t>
      </w:r>
    </w:p>
    <w:p w14:paraId="045C2721" w14:textId="77777777" w:rsidR="00F00CEA" w:rsidRPr="003F401B" w:rsidRDefault="00F00CEA" w:rsidP="00217D4E">
      <w:r w:rsidRPr="00205E60">
        <w:rPr>
          <w:bCs/>
        </w:rPr>
        <w:t>Phone:</w:t>
      </w:r>
      <w:r w:rsidRPr="00205E60">
        <w:t xml:space="preserve"> </w:t>
      </w:r>
      <w:hyperlink r:id="rId45" w:history="1">
        <w:r w:rsidRPr="00205E60">
          <w:t>(0</w:t>
        </w:r>
        <w:r>
          <w:t>2</w:t>
        </w:r>
        <w:r w:rsidRPr="00205E60">
          <w:t xml:space="preserve">) </w:t>
        </w:r>
      </w:hyperlink>
      <w:r>
        <w:t>9267 4195</w:t>
      </w:r>
      <w:r w:rsidRPr="001106E0">
        <w:t xml:space="preserve"> </w:t>
      </w:r>
      <w:r>
        <w:rPr>
          <w:bCs/>
        </w:rPr>
        <w:t xml:space="preserve">or email: </w:t>
      </w:r>
      <w:hyperlink r:id="rId46" w:history="1">
        <w:r w:rsidR="000A0B1D" w:rsidRPr="000A0B1D">
          <w:rPr>
            <w:rStyle w:val="Hyperlink"/>
            <w:bCs/>
          </w:rPr>
          <w:t>enquiries@fpdn.org.au</w:t>
        </w:r>
      </w:hyperlink>
      <w:r w:rsidR="000A0B1D">
        <w:rPr>
          <w:bCs/>
        </w:rPr>
        <w:t xml:space="preserve"> </w:t>
      </w:r>
      <w:r>
        <w:rPr>
          <w:bCs/>
        </w:rPr>
        <w:t xml:space="preserve"> </w:t>
      </w:r>
    </w:p>
    <w:p w14:paraId="5E55C4A0" w14:textId="77777777" w:rsidR="00F00CEA" w:rsidRPr="00B23DAC" w:rsidRDefault="00F00CEA" w:rsidP="00B23DAC">
      <w:pPr>
        <w:rPr>
          <w:b/>
          <w:color w:val="002060"/>
          <w:sz w:val="32"/>
          <w:szCs w:val="32"/>
        </w:rPr>
      </w:pPr>
      <w:bookmarkStart w:id="61" w:name="_Toc196742922"/>
      <w:proofErr w:type="spellStart"/>
      <w:r w:rsidRPr="00B23DAC">
        <w:rPr>
          <w:b/>
          <w:color w:val="002060"/>
          <w:sz w:val="32"/>
          <w:szCs w:val="32"/>
        </w:rPr>
        <w:t>LifeTec</w:t>
      </w:r>
      <w:bookmarkEnd w:id="61"/>
      <w:proofErr w:type="spellEnd"/>
    </w:p>
    <w:p w14:paraId="1B650B57" w14:textId="77777777" w:rsidR="00F00CEA" w:rsidRPr="00F81C60" w:rsidRDefault="00F00CEA" w:rsidP="00217D4E">
      <w:hyperlink r:id="rId47" w:history="1">
        <w:proofErr w:type="spellStart"/>
        <w:r w:rsidRPr="00D52E25">
          <w:rPr>
            <w:rStyle w:val="Hyperlink"/>
          </w:rPr>
          <w:t>LifeTec</w:t>
        </w:r>
        <w:proofErr w:type="spellEnd"/>
      </w:hyperlink>
      <w:r w:rsidR="000A0B1D">
        <w:t xml:space="preserve"> </w:t>
      </w:r>
      <w:r>
        <w:t>[</w:t>
      </w:r>
      <w:r w:rsidRPr="00F86EB8">
        <w:t>https://lifetec.org.au/</w:t>
      </w:r>
      <w:r>
        <w:t xml:space="preserve">] </w:t>
      </w:r>
      <w:r>
        <w:rPr>
          <w:rFonts w:cs="Arial"/>
          <w:lang w:val="en"/>
        </w:rPr>
        <w:t xml:space="preserve">is a social enterprise that provides dedicated assistive technology services. </w:t>
      </w:r>
      <w:proofErr w:type="spellStart"/>
      <w:r>
        <w:rPr>
          <w:rFonts w:cs="Arial"/>
          <w:lang w:val="en"/>
        </w:rPr>
        <w:t>LifeTec</w:t>
      </w:r>
      <w:proofErr w:type="spellEnd"/>
      <w:r>
        <w:rPr>
          <w:rFonts w:cs="Arial"/>
          <w:lang w:val="en"/>
        </w:rPr>
        <w:t xml:space="preserve"> aims to enable people of all ages and abilities to actively engage in home, work, school and community life.</w:t>
      </w:r>
    </w:p>
    <w:p w14:paraId="0E70BA96" w14:textId="77777777" w:rsidR="00F00CEA" w:rsidRDefault="00F00CEA" w:rsidP="00217D4E">
      <w:pPr>
        <w:rPr>
          <w:bCs/>
        </w:rPr>
      </w:pPr>
      <w:r w:rsidRPr="00205E60">
        <w:rPr>
          <w:bCs/>
        </w:rPr>
        <w:t>Phone:</w:t>
      </w:r>
      <w:r>
        <w:rPr>
          <w:bCs/>
        </w:rPr>
        <w:t xml:space="preserve"> </w:t>
      </w:r>
      <w:r>
        <w:t>1300 543 383</w:t>
      </w:r>
      <w:r>
        <w:rPr>
          <w:bCs/>
        </w:rPr>
        <w:t xml:space="preserve"> or email: </w:t>
      </w:r>
      <w:hyperlink r:id="rId48" w:history="1">
        <w:r w:rsidRPr="00AF331E">
          <w:rPr>
            <w:rStyle w:val="Hyperlink"/>
            <w:bCs/>
          </w:rPr>
          <w:t>mail@lifetec.org.au</w:t>
        </w:r>
      </w:hyperlink>
      <w:r>
        <w:rPr>
          <w:bCs/>
        </w:rPr>
        <w:t xml:space="preserve"> </w:t>
      </w:r>
    </w:p>
    <w:p w14:paraId="15B2C5E4" w14:textId="77777777" w:rsidR="00F00CEA" w:rsidRPr="00B23DAC" w:rsidRDefault="00F00CEA" w:rsidP="00B23DAC">
      <w:pPr>
        <w:rPr>
          <w:b/>
          <w:color w:val="002060"/>
          <w:sz w:val="32"/>
          <w:szCs w:val="32"/>
        </w:rPr>
      </w:pPr>
      <w:bookmarkStart w:id="62" w:name="_Toc196742923"/>
      <w:r w:rsidRPr="00B23DAC">
        <w:rPr>
          <w:b/>
          <w:color w:val="002060"/>
          <w:sz w:val="32"/>
          <w:szCs w:val="32"/>
        </w:rPr>
        <w:t>Vision Australia</w:t>
      </w:r>
      <w:bookmarkEnd w:id="62"/>
    </w:p>
    <w:p w14:paraId="065E748D" w14:textId="77777777" w:rsidR="00F00CEA" w:rsidRDefault="00F00CEA" w:rsidP="00217D4E">
      <w:pPr>
        <w:rPr>
          <w:rFonts w:cs="Arial"/>
          <w:bCs/>
        </w:rPr>
      </w:pPr>
      <w:hyperlink r:id="rId49" w:history="1">
        <w:r w:rsidRPr="00345BBE">
          <w:rPr>
            <w:rStyle w:val="Hyperlink"/>
          </w:rPr>
          <w:t>Vision Australia</w:t>
        </w:r>
      </w:hyperlink>
      <w:r w:rsidR="000A0B1D">
        <w:t xml:space="preserve"> </w:t>
      </w:r>
      <w:r>
        <w:t>[</w:t>
      </w:r>
      <w:r w:rsidRPr="00F86EB8">
        <w:t>https://www.visionaustralia.org/</w:t>
      </w:r>
      <w:r>
        <w:t xml:space="preserve">] </w:t>
      </w:r>
      <w:r w:rsidRPr="007C1751">
        <w:t xml:space="preserve">is a leading national provider of blindness and low vision services.  </w:t>
      </w:r>
    </w:p>
    <w:p w14:paraId="70AA0BF4" w14:textId="77777777" w:rsidR="00F00CEA" w:rsidRPr="003F401B" w:rsidRDefault="00F00CEA" w:rsidP="00217D4E">
      <w:r w:rsidRPr="00205E60">
        <w:rPr>
          <w:bCs/>
        </w:rPr>
        <w:t>Phone:</w:t>
      </w:r>
      <w:r w:rsidRPr="00205E60">
        <w:t xml:space="preserve"> </w:t>
      </w:r>
      <w:r>
        <w:t>1300 847 466</w:t>
      </w:r>
      <w:r w:rsidRPr="001106E0">
        <w:t xml:space="preserve"> </w:t>
      </w:r>
      <w:r>
        <w:rPr>
          <w:bCs/>
        </w:rPr>
        <w:t>or e</w:t>
      </w:r>
      <w:r w:rsidRPr="00205E60">
        <w:rPr>
          <w:bCs/>
        </w:rPr>
        <w:t>mail:</w:t>
      </w:r>
      <w:r>
        <w:rPr>
          <w:bCs/>
        </w:rPr>
        <w:t xml:space="preserve"> </w:t>
      </w:r>
      <w:hyperlink r:id="rId50" w:history="1">
        <w:r w:rsidR="000A0B1D" w:rsidRPr="000A0B1D">
          <w:rPr>
            <w:rStyle w:val="Hyperlink"/>
          </w:rPr>
          <w:t>info@visionaustralia.org</w:t>
        </w:r>
      </w:hyperlink>
      <w:r w:rsidR="000A0B1D">
        <w:t xml:space="preserve"> </w:t>
      </w:r>
      <w:r>
        <w:t xml:space="preserve">  </w:t>
      </w:r>
      <w:r>
        <w:rPr>
          <w:bCs/>
        </w:rPr>
        <w:t xml:space="preserve"> </w:t>
      </w:r>
    </w:p>
    <w:p w14:paraId="46997B76" w14:textId="77777777" w:rsidR="00F00CEA" w:rsidRPr="00B23DAC" w:rsidRDefault="00F00CEA" w:rsidP="00B23DAC">
      <w:pPr>
        <w:rPr>
          <w:b/>
          <w:color w:val="002060"/>
          <w:sz w:val="32"/>
          <w:szCs w:val="32"/>
        </w:rPr>
      </w:pPr>
      <w:bookmarkStart w:id="63" w:name="_Toc196742924"/>
      <w:r w:rsidRPr="00B23DAC">
        <w:rPr>
          <w:b/>
          <w:color w:val="002060"/>
          <w:sz w:val="32"/>
          <w:szCs w:val="32"/>
        </w:rPr>
        <w:t>AMPARO Advocacy Inc.</w:t>
      </w:r>
      <w:bookmarkEnd w:id="63"/>
    </w:p>
    <w:p w14:paraId="09224665" w14:textId="77777777" w:rsidR="00F00CEA" w:rsidRDefault="00F00CEA" w:rsidP="00217D4E">
      <w:pPr>
        <w:rPr>
          <w:rFonts w:cs="Arial"/>
          <w:bCs/>
        </w:rPr>
      </w:pPr>
      <w:hyperlink r:id="rId51" w:history="1">
        <w:r w:rsidRPr="00D53570">
          <w:rPr>
            <w:rStyle w:val="Hyperlink"/>
            <w:rFonts w:ascii="Helvetica" w:hAnsi="Helvetica" w:cs="Helvetica"/>
            <w:sz w:val="21"/>
            <w:szCs w:val="21"/>
            <w:shd w:val="clear" w:color="auto" w:fill="FFFFFF"/>
          </w:rPr>
          <w:t>AMPARO Advocacy Inc.</w:t>
        </w:r>
      </w:hyperlink>
      <w:r w:rsidR="000A0B1D">
        <w:rPr>
          <w:rFonts w:ascii="Helvetica" w:hAnsi="Helvetica" w:cs="Helvetica"/>
          <w:sz w:val="21"/>
          <w:szCs w:val="21"/>
          <w:shd w:val="clear" w:color="auto" w:fill="FFFFFF"/>
        </w:rPr>
        <w:t xml:space="preserve"> </w:t>
      </w:r>
      <w:r>
        <w:rPr>
          <w:rFonts w:ascii="Helvetica" w:hAnsi="Helvetica" w:cs="Helvetica"/>
          <w:color w:val="2D2D2D"/>
          <w:sz w:val="21"/>
          <w:szCs w:val="21"/>
          <w:shd w:val="clear" w:color="auto" w:fill="FFFFFF"/>
        </w:rPr>
        <w:t>[</w:t>
      </w:r>
      <w:r w:rsidRPr="007963EF">
        <w:rPr>
          <w:rFonts w:ascii="Helvetica" w:hAnsi="Helvetica" w:cs="Helvetica"/>
          <w:color w:val="2D2D2D"/>
          <w:sz w:val="21"/>
          <w:szCs w:val="21"/>
          <w:shd w:val="clear" w:color="auto" w:fill="FFFFFF"/>
        </w:rPr>
        <w:t>http://www.amparo.org.au/</w:t>
      </w:r>
      <w:r>
        <w:rPr>
          <w:rFonts w:ascii="Helvetica" w:hAnsi="Helvetica" w:cs="Helvetica"/>
          <w:color w:val="2D2D2D"/>
          <w:sz w:val="21"/>
          <w:szCs w:val="21"/>
          <w:shd w:val="clear" w:color="auto" w:fill="FFFFFF"/>
        </w:rPr>
        <w:t>] is a non-profit community organisation which provides independent individual and systemic advocacy on behalf of vulnerable people from Culturally and Linguistically Diverse (CALD) backgrounds with disability. </w:t>
      </w:r>
    </w:p>
    <w:p w14:paraId="02F35315" w14:textId="77777777" w:rsidR="00F00CEA" w:rsidRPr="003F401B" w:rsidRDefault="00F00CEA" w:rsidP="00217D4E">
      <w:r w:rsidRPr="00205E60">
        <w:rPr>
          <w:bCs/>
        </w:rPr>
        <w:t>Phone:</w:t>
      </w:r>
      <w:r w:rsidRPr="00205E60">
        <w:t xml:space="preserve"> </w:t>
      </w:r>
      <w:r w:rsidRPr="00B30965">
        <w:t xml:space="preserve">(07) </w:t>
      </w:r>
      <w:r>
        <w:t>3354 4900</w:t>
      </w:r>
      <w:r w:rsidRPr="001106E0">
        <w:t xml:space="preserve"> </w:t>
      </w:r>
      <w:r>
        <w:t>or e</w:t>
      </w:r>
      <w:r w:rsidRPr="00205E60">
        <w:rPr>
          <w:bCs/>
        </w:rPr>
        <w:t>mail:</w:t>
      </w:r>
      <w:r>
        <w:rPr>
          <w:bCs/>
        </w:rPr>
        <w:t xml:space="preserve"> </w:t>
      </w:r>
      <w:hyperlink r:id="rId52" w:history="1">
        <w:r w:rsidR="000A0B1D" w:rsidRPr="000A0B1D">
          <w:rPr>
            <w:rStyle w:val="Hyperlink"/>
          </w:rPr>
          <w:t>info@amparo.org.au</w:t>
        </w:r>
      </w:hyperlink>
      <w:r w:rsidR="000A0B1D">
        <w:t xml:space="preserve"> </w:t>
      </w:r>
      <w:r>
        <w:t xml:space="preserve">  </w:t>
      </w:r>
      <w:r>
        <w:rPr>
          <w:bCs/>
        </w:rPr>
        <w:t xml:space="preserve"> </w:t>
      </w:r>
    </w:p>
    <w:p w14:paraId="4BC6FD8F" w14:textId="77777777" w:rsidR="00F00CEA" w:rsidRPr="00B23DAC" w:rsidRDefault="00F00CEA" w:rsidP="00B23DAC">
      <w:pPr>
        <w:rPr>
          <w:b/>
          <w:color w:val="002060"/>
          <w:sz w:val="32"/>
          <w:szCs w:val="32"/>
        </w:rPr>
      </w:pPr>
      <w:bookmarkStart w:id="64" w:name="_Toc196742925"/>
      <w:r w:rsidRPr="00B23DAC">
        <w:rPr>
          <w:b/>
          <w:color w:val="002060"/>
          <w:sz w:val="32"/>
          <w:szCs w:val="32"/>
        </w:rPr>
        <w:t>Dementia Australia</w:t>
      </w:r>
      <w:bookmarkEnd w:id="64"/>
    </w:p>
    <w:p w14:paraId="2BFA21E2" w14:textId="77777777" w:rsidR="00F00CEA" w:rsidRDefault="00F00CEA" w:rsidP="00217D4E">
      <w:pPr>
        <w:rPr>
          <w:rFonts w:cs="Arial"/>
          <w:bCs/>
        </w:rPr>
      </w:pPr>
      <w:hyperlink r:id="rId53" w:history="1">
        <w:r w:rsidRPr="00735ECB">
          <w:rPr>
            <w:rStyle w:val="Hyperlink"/>
          </w:rPr>
          <w:t>Dementia Australia</w:t>
        </w:r>
      </w:hyperlink>
      <w:r w:rsidR="000A0B1D">
        <w:t xml:space="preserve"> </w:t>
      </w:r>
      <w:r>
        <w:rPr>
          <w:rFonts w:cs="Arial"/>
          <w:color w:val="000000"/>
          <w:shd w:val="clear" w:color="auto" w:fill="FFFFFF"/>
        </w:rPr>
        <w:t>[</w:t>
      </w:r>
      <w:r w:rsidRPr="00C30738">
        <w:rPr>
          <w:rFonts w:cs="Arial"/>
          <w:color w:val="000000"/>
          <w:shd w:val="clear" w:color="auto" w:fill="FFFFFF"/>
        </w:rPr>
        <w:t>https://www.dementia.org.au/</w:t>
      </w:r>
      <w:r>
        <w:rPr>
          <w:rFonts w:cs="Arial"/>
          <w:color w:val="000000"/>
          <w:shd w:val="clear" w:color="auto" w:fill="FFFFFF"/>
        </w:rPr>
        <w:t>] is the national peak body supporting people living with dementia, their families and carers.</w:t>
      </w:r>
    </w:p>
    <w:p w14:paraId="35F297CB" w14:textId="77777777" w:rsidR="00F00CEA" w:rsidRDefault="00F00CEA" w:rsidP="00217D4E">
      <w:pPr>
        <w:rPr>
          <w:bCs/>
        </w:rPr>
      </w:pPr>
      <w:r w:rsidRPr="00205E60">
        <w:rPr>
          <w:bCs/>
        </w:rPr>
        <w:t>Phone:</w:t>
      </w:r>
      <w:r w:rsidRPr="00205E60">
        <w:t xml:space="preserve"> </w:t>
      </w:r>
      <w:r w:rsidRPr="00B30965">
        <w:t xml:space="preserve">(07) </w:t>
      </w:r>
      <w:r>
        <w:t>3895 8200</w:t>
      </w:r>
      <w:r w:rsidRPr="001106E0">
        <w:t xml:space="preserve"> </w:t>
      </w:r>
      <w:r>
        <w:t xml:space="preserve">or </w:t>
      </w:r>
      <w:r>
        <w:rPr>
          <w:bCs/>
        </w:rPr>
        <w:t>e</w:t>
      </w:r>
      <w:r w:rsidRPr="00205E60">
        <w:rPr>
          <w:bCs/>
        </w:rPr>
        <w:t>mail:</w:t>
      </w:r>
      <w:r>
        <w:rPr>
          <w:bCs/>
        </w:rPr>
        <w:t xml:space="preserve"> </w:t>
      </w:r>
      <w:hyperlink r:id="rId54" w:history="1">
        <w:r w:rsidRPr="00B64384">
          <w:rPr>
            <w:rStyle w:val="Hyperlink"/>
          </w:rPr>
          <w:t>qld.admin@dementia.org.au</w:t>
        </w:r>
      </w:hyperlink>
      <w:r>
        <w:t xml:space="preserve">  </w:t>
      </w:r>
      <w:r>
        <w:rPr>
          <w:bCs/>
        </w:rPr>
        <w:t xml:space="preserve"> </w:t>
      </w:r>
    </w:p>
    <w:p w14:paraId="36B62588" w14:textId="77777777" w:rsidR="00F00CEA" w:rsidRPr="00B23DAC" w:rsidRDefault="00F00CEA" w:rsidP="00B23DAC">
      <w:pPr>
        <w:rPr>
          <w:b/>
          <w:color w:val="002060"/>
          <w:sz w:val="32"/>
          <w:szCs w:val="32"/>
        </w:rPr>
      </w:pPr>
      <w:bookmarkStart w:id="65" w:name="_Toc196742926"/>
      <w:r w:rsidRPr="00B23DAC">
        <w:rPr>
          <w:b/>
          <w:color w:val="002060"/>
          <w:sz w:val="32"/>
          <w:szCs w:val="32"/>
        </w:rPr>
        <w:t>Better Hearing Australia</w:t>
      </w:r>
      <w:bookmarkEnd w:id="65"/>
    </w:p>
    <w:p w14:paraId="04CAA3A2" w14:textId="77777777" w:rsidR="00F00CEA" w:rsidRPr="008266A7" w:rsidRDefault="00F00CEA" w:rsidP="00217D4E">
      <w:hyperlink r:id="rId55" w:history="1">
        <w:r w:rsidRPr="00F739C8">
          <w:rPr>
            <w:rStyle w:val="Hyperlink"/>
          </w:rPr>
          <w:t>Better Hearing Australia</w:t>
        </w:r>
      </w:hyperlink>
      <w:r w:rsidR="005B431A">
        <w:t xml:space="preserve"> </w:t>
      </w:r>
      <w:r>
        <w:t>[</w:t>
      </w:r>
      <w:r w:rsidRPr="00C30738">
        <w:t>http://www.bhabrisbane.org.au/</w:t>
      </w:r>
      <w:r>
        <w:t xml:space="preserve">] offers services and supports which help improve the experience for everyone living with or affected by hearing loss. </w:t>
      </w:r>
    </w:p>
    <w:p w14:paraId="6CF42D6E" w14:textId="77777777" w:rsidR="00F00CEA" w:rsidRPr="003F401B" w:rsidRDefault="00F00CEA" w:rsidP="00217D4E">
      <w:r w:rsidRPr="00205E60">
        <w:rPr>
          <w:bCs/>
        </w:rPr>
        <w:lastRenderedPageBreak/>
        <w:t>Phone</w:t>
      </w:r>
      <w:r>
        <w:rPr>
          <w:bCs/>
        </w:rPr>
        <w:t>: (07) 3844 5065</w:t>
      </w:r>
      <w:r>
        <w:t xml:space="preserve"> or e</w:t>
      </w:r>
      <w:r w:rsidRPr="00205E60">
        <w:rPr>
          <w:bCs/>
        </w:rPr>
        <w:t>ma</w:t>
      </w:r>
      <w:r w:rsidRPr="008266A7">
        <w:rPr>
          <w:bCs/>
        </w:rPr>
        <w:t>il:</w:t>
      </w:r>
      <w:r>
        <w:rPr>
          <w:bCs/>
        </w:rPr>
        <w:t xml:space="preserve"> </w:t>
      </w:r>
      <w:hyperlink r:id="rId56" w:history="1">
        <w:r w:rsidR="005B431A" w:rsidRPr="005B431A">
          <w:rPr>
            <w:rStyle w:val="Hyperlink"/>
            <w:bCs/>
          </w:rPr>
          <w:t>info@bhabrisbane.org.au</w:t>
        </w:r>
      </w:hyperlink>
      <w:r w:rsidR="005B431A">
        <w:rPr>
          <w:bCs/>
        </w:rPr>
        <w:t xml:space="preserve"> </w:t>
      </w:r>
      <w:r>
        <w:rPr>
          <w:bCs/>
        </w:rPr>
        <w:t xml:space="preserve"> </w:t>
      </w:r>
    </w:p>
    <w:p w14:paraId="6E7FBBE9" w14:textId="77777777" w:rsidR="00F00CEA" w:rsidRDefault="00F00CEA" w:rsidP="00217D4E">
      <w:pPr>
        <w:pStyle w:val="Heading1"/>
      </w:pPr>
      <w:bookmarkStart w:id="66" w:name="_Toc196742927"/>
      <w:bookmarkStart w:id="67" w:name="_Toc207030968"/>
      <w:r>
        <w:t>Appendix 2: Disability awareness and accessibility resources</w:t>
      </w:r>
      <w:bookmarkEnd w:id="66"/>
      <w:bookmarkEnd w:id="67"/>
    </w:p>
    <w:p w14:paraId="3558C9AA" w14:textId="77777777" w:rsidR="00F00CEA" w:rsidRDefault="00F00CEA" w:rsidP="00217D4E">
      <w:r>
        <w:t>Resources to help prevent discrimination, respect human rights and promote diversity in the workplace – Australian Human Rights Commission:</w:t>
      </w:r>
    </w:p>
    <w:p w14:paraId="2A3D4784" w14:textId="77777777" w:rsidR="00F00CEA" w:rsidRDefault="00F00CEA" w:rsidP="00F00CEA">
      <w:pPr>
        <w:pStyle w:val="ListParagraph"/>
        <w:numPr>
          <w:ilvl w:val="0"/>
          <w:numId w:val="17"/>
        </w:numPr>
        <w:spacing w:before="120" w:line="264" w:lineRule="auto"/>
        <w:contextualSpacing/>
      </w:pPr>
      <w:hyperlink r:id="rId57" w:history="1">
        <w:r w:rsidRPr="00AF331E">
          <w:rPr>
            <w:rStyle w:val="Hyperlink"/>
          </w:rPr>
          <w:t>https://humanrights.gov.au/education/employers</w:t>
        </w:r>
      </w:hyperlink>
      <w:r>
        <w:t xml:space="preserve"> </w:t>
      </w:r>
    </w:p>
    <w:p w14:paraId="0BED54BE" w14:textId="77777777" w:rsidR="00ED085C" w:rsidRDefault="00ED085C" w:rsidP="00ED085C">
      <w:pPr>
        <w:pStyle w:val="ListParagraph"/>
        <w:spacing w:before="120" w:line="264" w:lineRule="auto"/>
        <w:contextualSpacing/>
      </w:pPr>
    </w:p>
    <w:p w14:paraId="2AD8C2EF" w14:textId="77777777" w:rsidR="00F00CEA" w:rsidRDefault="00F00CEA" w:rsidP="00217D4E">
      <w:r>
        <w:t>Access for all: Improving accessibility for consumers with disability – Australian Human Rights Commission:</w:t>
      </w:r>
    </w:p>
    <w:p w14:paraId="58BB105B" w14:textId="77777777" w:rsidR="00F00CEA" w:rsidRDefault="00F00CEA" w:rsidP="00F00CEA">
      <w:pPr>
        <w:pStyle w:val="ListParagraph"/>
        <w:numPr>
          <w:ilvl w:val="0"/>
          <w:numId w:val="17"/>
        </w:numPr>
        <w:spacing w:before="120" w:line="264" w:lineRule="auto"/>
        <w:contextualSpacing/>
      </w:pPr>
      <w:hyperlink r:id="rId58" w:history="1">
        <w:r w:rsidRPr="00AF331E">
          <w:rPr>
            <w:rStyle w:val="Hyperlink"/>
          </w:rPr>
          <w:t>https://humanrights.gov.au/our-work/employers/access-all-improving-accessibility-consumers-disability</w:t>
        </w:r>
      </w:hyperlink>
      <w:r>
        <w:t xml:space="preserve"> </w:t>
      </w:r>
    </w:p>
    <w:p w14:paraId="1B6F627B" w14:textId="77777777" w:rsidR="00ED085C" w:rsidRDefault="00ED085C" w:rsidP="00ED085C">
      <w:pPr>
        <w:pStyle w:val="ListParagraph"/>
        <w:spacing w:before="120" w:line="264" w:lineRule="auto"/>
        <w:contextualSpacing/>
      </w:pPr>
    </w:p>
    <w:p w14:paraId="1B21BFFC" w14:textId="77777777" w:rsidR="00F00CEA" w:rsidRDefault="00F00CEA" w:rsidP="00217D4E">
      <w:r>
        <w:t>2022 Disability, Ageing and Carers, Australia: Summary of Findings – Australian Bureau of Statistics:</w:t>
      </w:r>
    </w:p>
    <w:p w14:paraId="78CEDBF8" w14:textId="77777777" w:rsidR="00F00CEA" w:rsidRDefault="00F00CEA" w:rsidP="00F00CEA">
      <w:pPr>
        <w:pStyle w:val="ListParagraph"/>
        <w:numPr>
          <w:ilvl w:val="0"/>
          <w:numId w:val="17"/>
        </w:numPr>
        <w:spacing w:before="120" w:line="264" w:lineRule="auto"/>
        <w:contextualSpacing/>
      </w:pPr>
      <w:hyperlink r:id="rId59" w:history="1">
        <w:r w:rsidRPr="00AF331E">
          <w:rPr>
            <w:rStyle w:val="Hyperlink"/>
          </w:rPr>
          <w:t>https://www.abs.gov.au/statistics/health/disability/disability-ageing-and-carers-australia-summary-findings/latest-release</w:t>
        </w:r>
      </w:hyperlink>
      <w:r>
        <w:t xml:space="preserve"> </w:t>
      </w:r>
    </w:p>
    <w:p w14:paraId="32D9A67D" w14:textId="77777777" w:rsidR="00ED085C" w:rsidRDefault="00ED085C" w:rsidP="00ED085C">
      <w:pPr>
        <w:pStyle w:val="ListParagraph"/>
        <w:spacing w:before="120" w:line="264" w:lineRule="auto"/>
        <w:contextualSpacing/>
      </w:pPr>
    </w:p>
    <w:p w14:paraId="62D4EABD" w14:textId="77777777" w:rsidR="00F00CEA" w:rsidRDefault="00F00CEA" w:rsidP="00217D4E">
      <w:r>
        <w:t>Tailored training packages – Queensland Human Rights Commission:</w:t>
      </w:r>
    </w:p>
    <w:p w14:paraId="1D3E52FE" w14:textId="77777777" w:rsidR="00F00CEA" w:rsidRDefault="00912DF5" w:rsidP="00F00CEA">
      <w:pPr>
        <w:pStyle w:val="ListParagraph"/>
        <w:numPr>
          <w:ilvl w:val="0"/>
          <w:numId w:val="17"/>
        </w:numPr>
        <w:spacing w:before="120" w:line="264" w:lineRule="auto"/>
        <w:contextualSpacing/>
      </w:pPr>
      <w:hyperlink r:id="rId60" w:history="1">
        <w:r w:rsidRPr="00912DF5">
          <w:rPr>
            <w:rStyle w:val="Hyperlink"/>
          </w:rPr>
          <w:t>https://www.qhrc.qld.gov.au/training</w:t>
        </w:r>
      </w:hyperlink>
      <w:r>
        <w:t xml:space="preserve">  </w:t>
      </w:r>
    </w:p>
    <w:p w14:paraId="7B029730" w14:textId="77777777" w:rsidR="007A7610" w:rsidRDefault="007A7610" w:rsidP="007A7610">
      <w:pPr>
        <w:pStyle w:val="ListParagraph"/>
        <w:spacing w:before="120" w:line="264" w:lineRule="auto"/>
        <w:contextualSpacing/>
      </w:pPr>
    </w:p>
    <w:p w14:paraId="2D6F0021" w14:textId="77777777" w:rsidR="00F00CEA" w:rsidRDefault="00F00CEA" w:rsidP="00217D4E">
      <w:r>
        <w:t>Disability inclusive workplaces – Queensland Government:</w:t>
      </w:r>
    </w:p>
    <w:p w14:paraId="1664B6DA" w14:textId="77777777" w:rsidR="00F00CEA" w:rsidRPr="008D6DC1" w:rsidRDefault="00F00CEA" w:rsidP="00F00CEA">
      <w:pPr>
        <w:pStyle w:val="ListParagraph"/>
        <w:numPr>
          <w:ilvl w:val="0"/>
          <w:numId w:val="17"/>
        </w:numPr>
        <w:spacing w:before="120" w:line="264" w:lineRule="auto"/>
        <w:contextualSpacing/>
        <w:rPr>
          <w:rFonts w:ascii="Calibri" w:hAnsi="Calibri"/>
          <w:color w:val="1F497D"/>
        </w:rPr>
      </w:pPr>
      <w:hyperlink r:id="rId61" w:history="1">
        <w:r w:rsidRPr="00AF331E">
          <w:rPr>
            <w:rStyle w:val="Hyperlink"/>
          </w:rPr>
          <w:t>https://www.forgov.qld.gov.au/pay-benefits-and-policy/culture-and-inclusion/workplace-inclusion-and-diversity/disability-inclusive-workplaces</w:t>
        </w:r>
      </w:hyperlink>
      <w:r>
        <w:t xml:space="preserve"> </w:t>
      </w:r>
    </w:p>
    <w:p w14:paraId="30C779E6" w14:textId="77777777" w:rsidR="007A7610" w:rsidRPr="008D6DC1" w:rsidRDefault="007A7610" w:rsidP="007A7610">
      <w:pPr>
        <w:pStyle w:val="ListParagraph"/>
        <w:spacing w:before="120" w:line="264" w:lineRule="auto"/>
        <w:contextualSpacing/>
        <w:rPr>
          <w:rFonts w:ascii="Calibri" w:hAnsi="Calibri"/>
          <w:color w:val="1F497D"/>
        </w:rPr>
      </w:pPr>
    </w:p>
    <w:p w14:paraId="6F9C48F0" w14:textId="77777777" w:rsidR="00F00CEA" w:rsidRDefault="00F00CEA" w:rsidP="00217D4E">
      <w:r>
        <w:t>Online training modules – Disability Awareness:</w:t>
      </w:r>
    </w:p>
    <w:p w14:paraId="59A71DF7" w14:textId="77777777" w:rsidR="00F00CEA" w:rsidRDefault="00F00CEA" w:rsidP="00F00CEA">
      <w:pPr>
        <w:pStyle w:val="ListParagraph"/>
        <w:numPr>
          <w:ilvl w:val="0"/>
          <w:numId w:val="17"/>
        </w:numPr>
        <w:spacing w:before="120" w:line="264" w:lineRule="auto"/>
        <w:contextualSpacing/>
      </w:pPr>
      <w:hyperlink r:id="rId62" w:history="1">
        <w:r w:rsidRPr="00AF331E">
          <w:rPr>
            <w:rStyle w:val="Hyperlink"/>
          </w:rPr>
          <w:t>https://disabilityawareness.com.au/</w:t>
        </w:r>
      </w:hyperlink>
      <w:r>
        <w:t xml:space="preserve"> </w:t>
      </w:r>
    </w:p>
    <w:p w14:paraId="7B357374" w14:textId="77777777" w:rsidR="007A7610" w:rsidRDefault="007A7610" w:rsidP="007A7610">
      <w:pPr>
        <w:pStyle w:val="ListParagraph"/>
        <w:spacing w:before="120" w:line="264" w:lineRule="auto"/>
        <w:contextualSpacing/>
      </w:pPr>
    </w:p>
    <w:p w14:paraId="4C9B2A77" w14:textId="77777777" w:rsidR="00F00CEA" w:rsidRDefault="00F00CEA" w:rsidP="00217D4E">
      <w:r>
        <w:t>Universal design:</w:t>
      </w:r>
      <w:r w:rsidRPr="009679B9">
        <w:t xml:space="preserve"> </w:t>
      </w:r>
    </w:p>
    <w:p w14:paraId="77B904D9" w14:textId="77777777" w:rsidR="00F00CEA" w:rsidRDefault="00F00CEA" w:rsidP="00F00CEA">
      <w:pPr>
        <w:pStyle w:val="ListParagraph"/>
        <w:numPr>
          <w:ilvl w:val="0"/>
          <w:numId w:val="17"/>
        </w:numPr>
        <w:spacing w:before="120" w:line="264" w:lineRule="auto"/>
        <w:contextualSpacing/>
      </w:pPr>
      <w:hyperlink r:id="rId63" w:history="1">
        <w:r w:rsidRPr="00AF331E">
          <w:rPr>
            <w:rStyle w:val="Hyperlink"/>
          </w:rPr>
          <w:t>https://universaldesign.ie/about-universal-design/the-7-principles</w:t>
        </w:r>
      </w:hyperlink>
      <w:r>
        <w:t xml:space="preserve">  </w:t>
      </w:r>
    </w:p>
    <w:p w14:paraId="0FFBEF12" w14:textId="77777777" w:rsidR="00F00CEA" w:rsidRDefault="00F00CEA" w:rsidP="00F00CEA">
      <w:pPr>
        <w:pStyle w:val="ListParagraph"/>
        <w:numPr>
          <w:ilvl w:val="0"/>
          <w:numId w:val="17"/>
        </w:numPr>
        <w:spacing w:before="120" w:line="264" w:lineRule="auto"/>
        <w:contextualSpacing/>
      </w:pPr>
      <w:hyperlink r:id="rId64" w:history="1">
        <w:r w:rsidRPr="00AF331E">
          <w:rPr>
            <w:rStyle w:val="Hyperlink"/>
          </w:rPr>
          <w:t>http://idea.ap.buffalo.edu/about/universal-design/</w:t>
        </w:r>
      </w:hyperlink>
      <w:r>
        <w:t xml:space="preserve"> </w:t>
      </w:r>
    </w:p>
    <w:p w14:paraId="4F0F514A" w14:textId="77777777" w:rsidR="00F00CEA" w:rsidRDefault="00F00CEA" w:rsidP="00F00CEA">
      <w:pPr>
        <w:pStyle w:val="ListParagraph"/>
        <w:numPr>
          <w:ilvl w:val="0"/>
          <w:numId w:val="17"/>
        </w:numPr>
        <w:spacing w:before="120" w:line="264" w:lineRule="auto"/>
        <w:contextualSpacing/>
      </w:pPr>
      <w:hyperlink r:id="rId65" w:history="1">
        <w:r w:rsidRPr="00AF331E">
          <w:rPr>
            <w:rStyle w:val="Hyperlink"/>
          </w:rPr>
          <w:t>https://idea.ap.buffalo.edu/resources/</w:t>
        </w:r>
      </w:hyperlink>
      <w:r>
        <w:t xml:space="preserve"> </w:t>
      </w:r>
    </w:p>
    <w:p w14:paraId="19AE763A" w14:textId="77777777" w:rsidR="007A7610" w:rsidRDefault="007A7610" w:rsidP="007A7610">
      <w:pPr>
        <w:pStyle w:val="ListParagraph"/>
        <w:spacing w:before="120" w:line="264" w:lineRule="auto"/>
        <w:contextualSpacing/>
      </w:pPr>
    </w:p>
    <w:p w14:paraId="54FA4997" w14:textId="77777777" w:rsidR="00F00CEA" w:rsidRDefault="00F00CEA" w:rsidP="00217D4E">
      <w:pPr>
        <w:spacing w:after="0"/>
      </w:pPr>
      <w:r w:rsidRPr="00750C95">
        <w:t>Queensland Government web accessibility requirements</w:t>
      </w:r>
      <w:r>
        <w:t xml:space="preserve">: </w:t>
      </w:r>
    </w:p>
    <w:p w14:paraId="20E5FA60" w14:textId="77777777" w:rsidR="00F00CEA" w:rsidRDefault="00F00CEA" w:rsidP="002F660B">
      <w:pPr>
        <w:pStyle w:val="ListParagraph"/>
        <w:numPr>
          <w:ilvl w:val="0"/>
          <w:numId w:val="24"/>
        </w:numPr>
        <w:spacing w:after="0"/>
      </w:pPr>
      <w:hyperlink r:id="rId66" w:history="1">
        <w:r w:rsidRPr="00AF331E">
          <w:rPr>
            <w:rStyle w:val="Hyperlink"/>
          </w:rPr>
          <w:t>https://www.forgov.qld.gov.au/information-and-communication-technology/qgea-directions-and-guidance/qgea-policies-standards-and-guidelines/digital-service-standard/make-digital-services-accessible</w:t>
        </w:r>
      </w:hyperlink>
      <w:r>
        <w:t xml:space="preserve"> </w:t>
      </w:r>
    </w:p>
    <w:p w14:paraId="31C30A85" w14:textId="77777777" w:rsidR="00F00CEA" w:rsidRPr="00750C95" w:rsidRDefault="00F00CEA" w:rsidP="002F660B">
      <w:pPr>
        <w:pStyle w:val="ListParagraph"/>
        <w:numPr>
          <w:ilvl w:val="0"/>
          <w:numId w:val="24"/>
        </w:numPr>
        <w:spacing w:after="0"/>
      </w:pPr>
      <w:hyperlink r:id="rId67" w:history="1">
        <w:r w:rsidRPr="00AF331E">
          <w:rPr>
            <w:rStyle w:val="Hyperlink"/>
          </w:rPr>
          <w:t>https://www.forgov.qld.gov.au/cue</w:t>
        </w:r>
      </w:hyperlink>
      <w:r>
        <w:t xml:space="preserve"> </w:t>
      </w:r>
    </w:p>
    <w:p w14:paraId="22775B66" w14:textId="77777777" w:rsidR="0095759D" w:rsidRPr="007E6504" w:rsidRDefault="0095759D" w:rsidP="0095759D"/>
    <w:p w14:paraId="1BAC09F9" w14:textId="4D4940B5" w:rsidR="007E6504" w:rsidRPr="007E6504" w:rsidRDefault="007E6504" w:rsidP="0095759D">
      <w:pPr>
        <w:pStyle w:val="Heading1"/>
      </w:pPr>
    </w:p>
    <w:sectPr w:rsidR="007E6504" w:rsidRPr="007E6504" w:rsidSect="00AF090D">
      <w:headerReference w:type="default" r:id="rId68"/>
      <w:footerReference w:type="default" r:id="rId69"/>
      <w:headerReference w:type="first" r:id="rId70"/>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E007" w14:textId="77777777" w:rsidR="008160A7" w:rsidRDefault="008160A7" w:rsidP="00F752DB">
      <w:pPr>
        <w:spacing w:after="0"/>
      </w:pPr>
      <w:r>
        <w:separator/>
      </w:r>
    </w:p>
  </w:endnote>
  <w:endnote w:type="continuationSeparator" w:id="0">
    <w:p w14:paraId="2AE9A3D3" w14:textId="77777777" w:rsidR="008160A7" w:rsidRDefault="008160A7"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5E341EFC"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DD35" w14:textId="77777777" w:rsidR="008160A7" w:rsidRDefault="008160A7" w:rsidP="00F752DB">
      <w:pPr>
        <w:spacing w:after="0"/>
      </w:pPr>
      <w:r>
        <w:separator/>
      </w:r>
    </w:p>
  </w:footnote>
  <w:footnote w:type="continuationSeparator" w:id="0">
    <w:p w14:paraId="22FA82D4" w14:textId="77777777" w:rsidR="008160A7" w:rsidRDefault="008160A7" w:rsidP="00F752DB">
      <w:pPr>
        <w:spacing w:after="0"/>
      </w:pPr>
      <w:r>
        <w:continuationSeparator/>
      </w:r>
    </w:p>
  </w:footnote>
  <w:footnote w:id="1">
    <w:p w14:paraId="22AFD670" w14:textId="77777777" w:rsidR="00A77AC6" w:rsidRDefault="00A77AC6">
      <w:pPr>
        <w:pStyle w:val="FootnoteText"/>
      </w:pPr>
      <w:r>
        <w:rPr>
          <w:rStyle w:val="FootnoteReference"/>
        </w:rPr>
        <w:t>1</w:t>
      </w:r>
      <w:r>
        <w:t xml:space="preserve"> </w:t>
      </w:r>
      <w:r w:rsidRPr="002F660B">
        <w:rPr>
          <w:sz w:val="16"/>
          <w:szCs w:val="16"/>
        </w:rPr>
        <w:t>Please note, this is not an exhaustive list of all the organisations that may be available to provide linking to people with disability for consultation purposes, or for engaging specialist advice or training.</w:t>
      </w:r>
    </w:p>
  </w:footnote>
  <w:footnote w:id="2">
    <w:p w14:paraId="4EC255A9" w14:textId="77777777" w:rsidR="00BC1101" w:rsidRDefault="00BC1101">
      <w:pPr>
        <w:pStyle w:val="FootnoteText"/>
      </w:pPr>
      <w:r>
        <w:rPr>
          <w:rStyle w:val="FootnoteReference"/>
        </w:rPr>
        <w:t>2</w:t>
      </w:r>
      <w:r>
        <w:t xml:space="preserve"> </w:t>
      </w:r>
      <w:hyperlink r:id="rId1" w:history="1">
        <w:r w:rsidRPr="00E259BE">
          <w:rPr>
            <w:rStyle w:val="Hyperlink"/>
            <w:i/>
            <w:sz w:val="16"/>
            <w:szCs w:val="16"/>
          </w:rPr>
          <w:t>Access for all: improving accessibility for consumers with disability</w:t>
        </w:r>
      </w:hyperlink>
      <w:r>
        <w:rPr>
          <w:rStyle w:val="Hyperlink"/>
          <w:sz w:val="16"/>
          <w:szCs w:val="16"/>
        </w:rPr>
        <w:t>,</w:t>
      </w:r>
      <w:r w:rsidRPr="005C3451">
        <w:rPr>
          <w:sz w:val="16"/>
          <w:szCs w:val="16"/>
        </w:rPr>
        <w:t xml:space="preserve"> </w:t>
      </w:r>
      <w:r w:rsidRPr="00E259BE">
        <w:rPr>
          <w:sz w:val="16"/>
          <w:szCs w:val="16"/>
        </w:rPr>
        <w:t>Australian Human Rights Commission</w:t>
      </w:r>
      <w:r>
        <w:rPr>
          <w:sz w:val="16"/>
          <w:szCs w:val="16"/>
        </w:rPr>
        <w:t xml:space="preserve"> [</w:t>
      </w:r>
      <w:r w:rsidRPr="00BC1101">
        <w:rPr>
          <w:sz w:val="16"/>
          <w:szCs w:val="16"/>
        </w:rPr>
        <w:t>https://humanrights.gov.au/our-work/employers/access-all-improving-accessibility-consumers-disability</w:t>
      </w:r>
      <w:r>
        <w:rPr>
          <w:sz w:val="16"/>
          <w:szCs w:val="16"/>
        </w:rPr>
        <w:t>].</w:t>
      </w:r>
    </w:p>
  </w:footnote>
  <w:footnote w:id="3">
    <w:p w14:paraId="105D1F78" w14:textId="77777777" w:rsidR="00A64DE5" w:rsidRDefault="00A64DE5">
      <w:pPr>
        <w:pStyle w:val="FootnoteText"/>
      </w:pPr>
      <w:r>
        <w:rPr>
          <w:rStyle w:val="FootnoteReference"/>
        </w:rPr>
        <w:t>3</w:t>
      </w:r>
      <w:r>
        <w:t xml:space="preserve"> </w:t>
      </w:r>
      <w:r w:rsidRPr="002F660B">
        <w:rPr>
          <w:sz w:val="16"/>
          <w:szCs w:val="16"/>
        </w:rPr>
        <w:t>Please note, this is not an exhaustive list of all the organisations that may be available to provide linking to people with disability for consultation purposes, or for engaging specialist advice or training. The Department of Housing and Public Works does not endorse or take responsibility for the information contained on the organisation’s websites.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B46C" w14:textId="77777777" w:rsidR="00F752DB" w:rsidRPr="00AB0F2F" w:rsidRDefault="00650030"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Accessibility compliance in procurement: Ensuring accessibility for people with disability</w:t>
    </w:r>
    <w:r w:rsidR="00A02E75">
      <w:rPr>
        <w:color w:val="404040" w:themeColor="text1" w:themeTint="BF"/>
        <w:sz w:val="16"/>
        <w:szCs w:val="16"/>
      </w:rPr>
      <w:t xml:space="preserve">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465FD972" w:rsidR="00563939" w:rsidRPr="00563939" w:rsidRDefault="00094D48" w:rsidP="00563939">
    <w:pPr>
      <w:tabs>
        <w:tab w:val="center" w:pos="4513"/>
        <w:tab w:val="right" w:pos="9026"/>
      </w:tabs>
      <w:spacing w:after="0"/>
    </w:pPr>
    <w:r>
      <w:rPr>
        <w:noProof/>
      </w:rPr>
      <w:drawing>
        <wp:anchor distT="0" distB="0" distL="114300" distR="114300" simplePos="0" relativeHeight="251658241"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8240"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3BEE"/>
    <w:multiLevelType w:val="multilevel"/>
    <w:tmpl w:val="CCB83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42D77"/>
    <w:multiLevelType w:val="hybridMultilevel"/>
    <w:tmpl w:val="D018D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FD3E4E"/>
    <w:multiLevelType w:val="hybridMultilevel"/>
    <w:tmpl w:val="049C2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96737"/>
    <w:multiLevelType w:val="hybridMultilevel"/>
    <w:tmpl w:val="DDFCB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AD196A"/>
    <w:multiLevelType w:val="hybridMultilevel"/>
    <w:tmpl w:val="50BA8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D7086"/>
    <w:multiLevelType w:val="multilevel"/>
    <w:tmpl w:val="0A50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072403"/>
    <w:multiLevelType w:val="hybridMultilevel"/>
    <w:tmpl w:val="7EB20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81617D"/>
    <w:multiLevelType w:val="hybridMultilevel"/>
    <w:tmpl w:val="812AB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802AE5"/>
    <w:multiLevelType w:val="hybridMultilevel"/>
    <w:tmpl w:val="7A360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CD1820"/>
    <w:multiLevelType w:val="hybridMultilevel"/>
    <w:tmpl w:val="7B74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FD586A"/>
    <w:multiLevelType w:val="hybridMultilevel"/>
    <w:tmpl w:val="4C26C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ED01C0"/>
    <w:multiLevelType w:val="hybridMultilevel"/>
    <w:tmpl w:val="A2369B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1527DC"/>
    <w:multiLevelType w:val="hybridMultilevel"/>
    <w:tmpl w:val="B4E2E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35121C"/>
    <w:multiLevelType w:val="hybridMultilevel"/>
    <w:tmpl w:val="3E0CB59A"/>
    <w:lvl w:ilvl="0" w:tplc="403495F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49627796"/>
    <w:multiLevelType w:val="hybridMultilevel"/>
    <w:tmpl w:val="08EEF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847548"/>
    <w:multiLevelType w:val="hybridMultilevel"/>
    <w:tmpl w:val="7D1E5808"/>
    <w:lvl w:ilvl="0" w:tplc="AF7EE71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5573CA2"/>
    <w:multiLevelType w:val="hybridMultilevel"/>
    <w:tmpl w:val="A970C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B580ED6"/>
    <w:multiLevelType w:val="hybridMultilevel"/>
    <w:tmpl w:val="ABC8C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092F00"/>
    <w:multiLevelType w:val="multilevel"/>
    <w:tmpl w:val="834EE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50D7655"/>
    <w:multiLevelType w:val="multilevel"/>
    <w:tmpl w:val="C9CA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42181D"/>
    <w:multiLevelType w:val="hybridMultilevel"/>
    <w:tmpl w:val="6F34A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6E3B2A"/>
    <w:multiLevelType w:val="hybridMultilevel"/>
    <w:tmpl w:val="FCEEC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A357E6"/>
    <w:multiLevelType w:val="hybridMultilevel"/>
    <w:tmpl w:val="D6F6169A"/>
    <w:lvl w:ilvl="0" w:tplc="F508B54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74BE702D"/>
    <w:multiLevelType w:val="hybridMultilevel"/>
    <w:tmpl w:val="8C0C1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C11AEB"/>
    <w:multiLevelType w:val="hybridMultilevel"/>
    <w:tmpl w:val="417CB7C4"/>
    <w:lvl w:ilvl="0" w:tplc="5A94384A">
      <w:start w:val="1"/>
      <w:numFmt w:val="decimal"/>
      <w:lvlText w:val="%1."/>
      <w:lvlJc w:val="left"/>
      <w:pPr>
        <w:ind w:left="720" w:hanging="360"/>
      </w:pPr>
      <w:rPr>
        <w:rFont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7C7FD3"/>
    <w:multiLevelType w:val="hybridMultilevel"/>
    <w:tmpl w:val="067C4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542111"/>
    <w:multiLevelType w:val="hybridMultilevel"/>
    <w:tmpl w:val="A386D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6"/>
  </w:num>
  <w:num w:numId="2" w16cid:durableId="2098823096">
    <w:abstractNumId w:val="14"/>
  </w:num>
  <w:num w:numId="3" w16cid:durableId="213465528">
    <w:abstractNumId w:val="24"/>
  </w:num>
  <w:num w:numId="4" w16cid:durableId="1380545305">
    <w:abstractNumId w:val="35"/>
  </w:num>
  <w:num w:numId="5" w16cid:durableId="1241986595">
    <w:abstractNumId w:val="8"/>
  </w:num>
  <w:num w:numId="6" w16cid:durableId="1657955551">
    <w:abstractNumId w:val="9"/>
  </w:num>
  <w:num w:numId="7" w16cid:durableId="1390375665">
    <w:abstractNumId w:val="16"/>
  </w:num>
  <w:num w:numId="8" w16cid:durableId="512770342">
    <w:abstractNumId w:val="22"/>
  </w:num>
  <w:num w:numId="9" w16cid:durableId="1225142324">
    <w:abstractNumId w:val="33"/>
  </w:num>
  <w:num w:numId="10" w16cid:durableId="1476338689">
    <w:abstractNumId w:val="10"/>
  </w:num>
  <w:num w:numId="11" w16cid:durableId="955870358">
    <w:abstractNumId w:val="13"/>
  </w:num>
  <w:num w:numId="12" w16cid:durableId="1148211116">
    <w:abstractNumId w:val="11"/>
  </w:num>
  <w:num w:numId="13" w16cid:durableId="766998608">
    <w:abstractNumId w:val="7"/>
  </w:num>
  <w:num w:numId="14" w16cid:durableId="1035156300">
    <w:abstractNumId w:val="20"/>
  </w:num>
  <w:num w:numId="15" w16cid:durableId="2023163652">
    <w:abstractNumId w:val="31"/>
  </w:num>
  <w:num w:numId="16" w16cid:durableId="1913930951">
    <w:abstractNumId w:val="15"/>
  </w:num>
  <w:num w:numId="17" w16cid:durableId="1779982095">
    <w:abstractNumId w:val="34"/>
  </w:num>
  <w:num w:numId="18" w16cid:durableId="1338071518">
    <w:abstractNumId w:val="1"/>
  </w:num>
  <w:num w:numId="19" w16cid:durableId="477116406">
    <w:abstractNumId w:val="17"/>
  </w:num>
  <w:num w:numId="20" w16cid:durableId="662203084">
    <w:abstractNumId w:val="32"/>
  </w:num>
  <w:num w:numId="21" w16cid:durableId="155540347">
    <w:abstractNumId w:val="12"/>
  </w:num>
  <w:num w:numId="22" w16cid:durableId="2068717642">
    <w:abstractNumId w:val="5"/>
  </w:num>
  <w:num w:numId="23" w16cid:durableId="1318454518">
    <w:abstractNumId w:val="27"/>
  </w:num>
  <w:num w:numId="24" w16cid:durableId="1411081588">
    <w:abstractNumId w:val="29"/>
  </w:num>
  <w:num w:numId="25" w16cid:durableId="694230058">
    <w:abstractNumId w:val="19"/>
  </w:num>
  <w:num w:numId="26" w16cid:durableId="1397780056">
    <w:abstractNumId w:val="30"/>
  </w:num>
  <w:num w:numId="27" w16cid:durableId="843590413">
    <w:abstractNumId w:val="21"/>
  </w:num>
  <w:num w:numId="28" w16cid:durableId="847869846">
    <w:abstractNumId w:val="0"/>
  </w:num>
  <w:num w:numId="29" w16cid:durableId="1457213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1382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6113716">
    <w:abstractNumId w:val="26"/>
  </w:num>
  <w:num w:numId="32" w16cid:durableId="10051283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79373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8984033">
    <w:abstractNumId w:val="3"/>
  </w:num>
  <w:num w:numId="35" w16cid:durableId="1508711587">
    <w:abstractNumId w:val="23"/>
  </w:num>
  <w:num w:numId="36" w16cid:durableId="1385253098">
    <w:abstractNumId w:val="28"/>
  </w:num>
  <w:num w:numId="37" w16cid:durableId="1620062940">
    <w:abstractNumId w:val="25"/>
  </w:num>
  <w:num w:numId="38" w16cid:durableId="120196526">
    <w:abstractNumId w:val="2"/>
  </w:num>
  <w:num w:numId="39" w16cid:durableId="2083140458">
    <w:abstractNumId w:val="4"/>
  </w:num>
  <w:num w:numId="40" w16cid:durableId="788469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1F44"/>
    <w:rsid w:val="00013A77"/>
    <w:rsid w:val="000140F8"/>
    <w:rsid w:val="0003404B"/>
    <w:rsid w:val="000359A0"/>
    <w:rsid w:val="00043BA0"/>
    <w:rsid w:val="00064848"/>
    <w:rsid w:val="00071234"/>
    <w:rsid w:val="00093331"/>
    <w:rsid w:val="00094D48"/>
    <w:rsid w:val="000A0B1D"/>
    <w:rsid w:val="000A11DA"/>
    <w:rsid w:val="000C14CC"/>
    <w:rsid w:val="000C73EB"/>
    <w:rsid w:val="000D5993"/>
    <w:rsid w:val="000F368A"/>
    <w:rsid w:val="000F4BE1"/>
    <w:rsid w:val="000F6454"/>
    <w:rsid w:val="00105D9D"/>
    <w:rsid w:val="00107D34"/>
    <w:rsid w:val="00142FC9"/>
    <w:rsid w:val="0015551A"/>
    <w:rsid w:val="00156C89"/>
    <w:rsid w:val="00171743"/>
    <w:rsid w:val="00172C66"/>
    <w:rsid w:val="00173AD5"/>
    <w:rsid w:val="0017738C"/>
    <w:rsid w:val="00180B1C"/>
    <w:rsid w:val="00186FD6"/>
    <w:rsid w:val="001872A7"/>
    <w:rsid w:val="001A236D"/>
    <w:rsid w:val="001B04CA"/>
    <w:rsid w:val="001B5456"/>
    <w:rsid w:val="001B5C5C"/>
    <w:rsid w:val="001C3BC5"/>
    <w:rsid w:val="001F2408"/>
    <w:rsid w:val="00207866"/>
    <w:rsid w:val="00210006"/>
    <w:rsid w:val="00211A7F"/>
    <w:rsid w:val="00240BD3"/>
    <w:rsid w:val="002737A3"/>
    <w:rsid w:val="0027614D"/>
    <w:rsid w:val="00277D7A"/>
    <w:rsid w:val="002A7DB1"/>
    <w:rsid w:val="002C3C87"/>
    <w:rsid w:val="002D0253"/>
    <w:rsid w:val="002D7A1A"/>
    <w:rsid w:val="002F660B"/>
    <w:rsid w:val="003120F7"/>
    <w:rsid w:val="00326FEE"/>
    <w:rsid w:val="003469C9"/>
    <w:rsid w:val="003604F6"/>
    <w:rsid w:val="00364246"/>
    <w:rsid w:val="00381F07"/>
    <w:rsid w:val="003A1CD0"/>
    <w:rsid w:val="003D6913"/>
    <w:rsid w:val="003F7DFD"/>
    <w:rsid w:val="00412AC3"/>
    <w:rsid w:val="00430856"/>
    <w:rsid w:val="00443DB2"/>
    <w:rsid w:val="00447E5E"/>
    <w:rsid w:val="00453109"/>
    <w:rsid w:val="00491FE6"/>
    <w:rsid w:val="004A0CF6"/>
    <w:rsid w:val="004B2130"/>
    <w:rsid w:val="004E6274"/>
    <w:rsid w:val="004F014C"/>
    <w:rsid w:val="004F61B3"/>
    <w:rsid w:val="00500414"/>
    <w:rsid w:val="00514250"/>
    <w:rsid w:val="00563939"/>
    <w:rsid w:val="00564BC5"/>
    <w:rsid w:val="00577783"/>
    <w:rsid w:val="00591733"/>
    <w:rsid w:val="005A0917"/>
    <w:rsid w:val="005A7EB2"/>
    <w:rsid w:val="005B431A"/>
    <w:rsid w:val="005B6FB1"/>
    <w:rsid w:val="005B7DB7"/>
    <w:rsid w:val="005C5E21"/>
    <w:rsid w:val="005E45B3"/>
    <w:rsid w:val="005F220C"/>
    <w:rsid w:val="005F3566"/>
    <w:rsid w:val="005F4B26"/>
    <w:rsid w:val="006200E6"/>
    <w:rsid w:val="00625AEE"/>
    <w:rsid w:val="00630BBB"/>
    <w:rsid w:val="00650030"/>
    <w:rsid w:val="00654207"/>
    <w:rsid w:val="0065795D"/>
    <w:rsid w:val="00673C5E"/>
    <w:rsid w:val="006B4D4F"/>
    <w:rsid w:val="006D317C"/>
    <w:rsid w:val="006D3B53"/>
    <w:rsid w:val="006E051E"/>
    <w:rsid w:val="006F77F5"/>
    <w:rsid w:val="00701011"/>
    <w:rsid w:val="007010FE"/>
    <w:rsid w:val="00704279"/>
    <w:rsid w:val="0071021E"/>
    <w:rsid w:val="00715BC1"/>
    <w:rsid w:val="0078333F"/>
    <w:rsid w:val="00794462"/>
    <w:rsid w:val="007A6A8E"/>
    <w:rsid w:val="007A7610"/>
    <w:rsid w:val="007A7AD0"/>
    <w:rsid w:val="007B0BF6"/>
    <w:rsid w:val="007C3822"/>
    <w:rsid w:val="007E6504"/>
    <w:rsid w:val="00806EA7"/>
    <w:rsid w:val="008160A7"/>
    <w:rsid w:val="00825145"/>
    <w:rsid w:val="00830BC7"/>
    <w:rsid w:val="008333B4"/>
    <w:rsid w:val="00834AC8"/>
    <w:rsid w:val="00847102"/>
    <w:rsid w:val="00880CAD"/>
    <w:rsid w:val="00881AE1"/>
    <w:rsid w:val="008A558B"/>
    <w:rsid w:val="008D66EB"/>
    <w:rsid w:val="00912DF5"/>
    <w:rsid w:val="00934AE1"/>
    <w:rsid w:val="00937196"/>
    <w:rsid w:val="00951A3D"/>
    <w:rsid w:val="009534B0"/>
    <w:rsid w:val="0095759D"/>
    <w:rsid w:val="00966A6C"/>
    <w:rsid w:val="009908A1"/>
    <w:rsid w:val="00991E78"/>
    <w:rsid w:val="009A6DA6"/>
    <w:rsid w:val="009C0725"/>
    <w:rsid w:val="009C34E7"/>
    <w:rsid w:val="009C4A6F"/>
    <w:rsid w:val="009C7AB2"/>
    <w:rsid w:val="009D6D3E"/>
    <w:rsid w:val="00A02E75"/>
    <w:rsid w:val="00A03BA7"/>
    <w:rsid w:val="00A3523D"/>
    <w:rsid w:val="00A3603A"/>
    <w:rsid w:val="00A40C60"/>
    <w:rsid w:val="00A51DED"/>
    <w:rsid w:val="00A54661"/>
    <w:rsid w:val="00A64DE5"/>
    <w:rsid w:val="00A77AC6"/>
    <w:rsid w:val="00A91C4D"/>
    <w:rsid w:val="00AA0BC3"/>
    <w:rsid w:val="00AA7C4A"/>
    <w:rsid w:val="00AA7D28"/>
    <w:rsid w:val="00AB0F2F"/>
    <w:rsid w:val="00AB1166"/>
    <w:rsid w:val="00AB27C1"/>
    <w:rsid w:val="00AC030A"/>
    <w:rsid w:val="00AD4E91"/>
    <w:rsid w:val="00AF090D"/>
    <w:rsid w:val="00AF33CA"/>
    <w:rsid w:val="00AF4B5F"/>
    <w:rsid w:val="00B07633"/>
    <w:rsid w:val="00B13A64"/>
    <w:rsid w:val="00B204FF"/>
    <w:rsid w:val="00B20DA0"/>
    <w:rsid w:val="00B23DAC"/>
    <w:rsid w:val="00B263B7"/>
    <w:rsid w:val="00B321BF"/>
    <w:rsid w:val="00B33273"/>
    <w:rsid w:val="00B57215"/>
    <w:rsid w:val="00B66D90"/>
    <w:rsid w:val="00B70202"/>
    <w:rsid w:val="00B83C2D"/>
    <w:rsid w:val="00B95151"/>
    <w:rsid w:val="00BA38A2"/>
    <w:rsid w:val="00BB2EE5"/>
    <w:rsid w:val="00BB69C2"/>
    <w:rsid w:val="00BC1101"/>
    <w:rsid w:val="00BF46A0"/>
    <w:rsid w:val="00C12F61"/>
    <w:rsid w:val="00C14019"/>
    <w:rsid w:val="00C23196"/>
    <w:rsid w:val="00C50F4D"/>
    <w:rsid w:val="00C54CF3"/>
    <w:rsid w:val="00CB06D5"/>
    <w:rsid w:val="00CE6AFE"/>
    <w:rsid w:val="00CF143F"/>
    <w:rsid w:val="00D208CF"/>
    <w:rsid w:val="00D24F6D"/>
    <w:rsid w:val="00D418E4"/>
    <w:rsid w:val="00D51FFC"/>
    <w:rsid w:val="00D56E2A"/>
    <w:rsid w:val="00D57D2B"/>
    <w:rsid w:val="00D64F00"/>
    <w:rsid w:val="00D6572A"/>
    <w:rsid w:val="00D73AB8"/>
    <w:rsid w:val="00D90AC8"/>
    <w:rsid w:val="00DB5E09"/>
    <w:rsid w:val="00DE372A"/>
    <w:rsid w:val="00E24E11"/>
    <w:rsid w:val="00E42533"/>
    <w:rsid w:val="00E52ACC"/>
    <w:rsid w:val="00E650D4"/>
    <w:rsid w:val="00E70C6F"/>
    <w:rsid w:val="00EA168D"/>
    <w:rsid w:val="00EA5A99"/>
    <w:rsid w:val="00EC0897"/>
    <w:rsid w:val="00EC540A"/>
    <w:rsid w:val="00ED085C"/>
    <w:rsid w:val="00ED25A4"/>
    <w:rsid w:val="00ED52ED"/>
    <w:rsid w:val="00ED58E4"/>
    <w:rsid w:val="00EE47C8"/>
    <w:rsid w:val="00EF4BC9"/>
    <w:rsid w:val="00F00CEA"/>
    <w:rsid w:val="00F176F9"/>
    <w:rsid w:val="00F25AA8"/>
    <w:rsid w:val="00F27D91"/>
    <w:rsid w:val="00F30A2C"/>
    <w:rsid w:val="00F33272"/>
    <w:rsid w:val="00F337C6"/>
    <w:rsid w:val="00F36EE5"/>
    <w:rsid w:val="00F63324"/>
    <w:rsid w:val="00F65674"/>
    <w:rsid w:val="00F752DB"/>
    <w:rsid w:val="00F81DE9"/>
    <w:rsid w:val="00F85F64"/>
    <w:rsid w:val="00F86A27"/>
    <w:rsid w:val="00F905BC"/>
    <w:rsid w:val="00F96CF2"/>
    <w:rsid w:val="00FA4073"/>
    <w:rsid w:val="00FB4EC3"/>
    <w:rsid w:val="00FD0B97"/>
    <w:rsid w:val="217185BD"/>
    <w:rsid w:val="4C8872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F85F64"/>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FootnoteText">
    <w:name w:val="footnote text"/>
    <w:basedOn w:val="Normal"/>
    <w:link w:val="FootnoteTextChar"/>
    <w:unhideWhenUsed/>
    <w:rsid w:val="00F00CEA"/>
    <w:pPr>
      <w:spacing w:after="0"/>
    </w:pPr>
    <w:rPr>
      <w:szCs w:val="20"/>
    </w:rPr>
  </w:style>
  <w:style w:type="character" w:customStyle="1" w:styleId="FootnoteTextChar">
    <w:name w:val="Footnote Text Char"/>
    <w:basedOn w:val="DefaultParagraphFont"/>
    <w:link w:val="FootnoteText"/>
    <w:rsid w:val="00F00CEA"/>
    <w:rPr>
      <w:rFonts w:ascii="Arial" w:hAnsi="Arial"/>
      <w:sz w:val="20"/>
      <w:szCs w:val="20"/>
    </w:rPr>
  </w:style>
  <w:style w:type="character" w:styleId="FootnoteReference">
    <w:name w:val="footnote reference"/>
    <w:basedOn w:val="DefaultParagraphFont"/>
    <w:semiHidden/>
    <w:unhideWhenUsed/>
    <w:rsid w:val="00F00CEA"/>
    <w:rPr>
      <w:vertAlign w:val="superscript"/>
    </w:rPr>
  </w:style>
  <w:style w:type="paragraph" w:styleId="NormalWeb">
    <w:name w:val="Normal (Web)"/>
    <w:basedOn w:val="Normal"/>
    <w:uiPriority w:val="99"/>
    <w:unhideWhenUsed/>
    <w:rsid w:val="00F00CEA"/>
    <w:pPr>
      <w:spacing w:before="100" w:beforeAutospacing="1" w:after="100" w:afterAutospacing="1"/>
    </w:pPr>
    <w:rPr>
      <w:rFonts w:ascii="Times New Roman" w:eastAsia="Times New Roman" w:hAnsi="Times New Roman" w:cs="Times New Roman"/>
      <w:sz w:val="24"/>
      <w:szCs w:val="24"/>
      <w:lang w:eastAsia="en-AU"/>
    </w:rPr>
  </w:style>
  <w:style w:type="paragraph" w:styleId="TOCHeading">
    <w:name w:val="TOC Heading"/>
    <w:basedOn w:val="Heading1"/>
    <w:next w:val="Normal"/>
    <w:uiPriority w:val="39"/>
    <w:unhideWhenUsed/>
    <w:qFormat/>
    <w:rsid w:val="00500414"/>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rsid w:val="00500414"/>
    <w:pPr>
      <w:spacing w:after="100"/>
    </w:pPr>
  </w:style>
  <w:style w:type="paragraph" w:styleId="TOC3">
    <w:name w:val="toc 3"/>
    <w:basedOn w:val="Normal"/>
    <w:next w:val="Normal"/>
    <w:autoRedefine/>
    <w:uiPriority w:val="39"/>
    <w:unhideWhenUsed/>
    <w:rsid w:val="00500414"/>
    <w:pPr>
      <w:spacing w:after="100"/>
      <w:ind w:left="400"/>
    </w:pPr>
  </w:style>
  <w:style w:type="paragraph" w:styleId="TOC2">
    <w:name w:val="toc 2"/>
    <w:basedOn w:val="Normal"/>
    <w:next w:val="Normal"/>
    <w:autoRedefine/>
    <w:uiPriority w:val="39"/>
    <w:unhideWhenUsed/>
    <w:rsid w:val="00500414"/>
    <w:pPr>
      <w:spacing w:after="100"/>
      <w:ind w:left="200"/>
    </w:pPr>
  </w:style>
  <w:style w:type="paragraph" w:styleId="Revision">
    <w:name w:val="Revision"/>
    <w:hidden/>
    <w:uiPriority w:val="99"/>
    <w:semiHidden/>
    <w:rsid w:val="005B7DB7"/>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5F4B26"/>
    <w:rPr>
      <w:sz w:val="16"/>
      <w:szCs w:val="16"/>
    </w:rPr>
  </w:style>
  <w:style w:type="paragraph" w:styleId="CommentText">
    <w:name w:val="annotation text"/>
    <w:basedOn w:val="Normal"/>
    <w:link w:val="CommentTextChar"/>
    <w:uiPriority w:val="99"/>
    <w:unhideWhenUsed/>
    <w:rsid w:val="005F4B26"/>
    <w:rPr>
      <w:szCs w:val="20"/>
    </w:rPr>
  </w:style>
  <w:style w:type="character" w:customStyle="1" w:styleId="CommentTextChar">
    <w:name w:val="Comment Text Char"/>
    <w:basedOn w:val="DefaultParagraphFont"/>
    <w:link w:val="CommentText"/>
    <w:uiPriority w:val="99"/>
    <w:rsid w:val="005F4B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4B26"/>
    <w:rPr>
      <w:b/>
      <w:bCs/>
    </w:rPr>
  </w:style>
  <w:style w:type="character" w:customStyle="1" w:styleId="CommentSubjectChar">
    <w:name w:val="Comment Subject Char"/>
    <w:basedOn w:val="CommentTextChar"/>
    <w:link w:val="CommentSubject"/>
    <w:uiPriority w:val="99"/>
    <w:semiHidden/>
    <w:rsid w:val="005F4B2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dea.ap.buffalo.edu/resources/" TargetMode="External"/><Relationship Id="rId21" Type="http://schemas.openxmlformats.org/officeDocument/2006/relationships/hyperlink" Target="https://humanrights.gov.au/" TargetMode="External"/><Relationship Id="rId42" Type="http://schemas.openxmlformats.org/officeDocument/2006/relationships/hyperlink" Target="https://www.arthritis.org.au/" TargetMode="External"/><Relationship Id="rId47" Type="http://schemas.openxmlformats.org/officeDocument/2006/relationships/hyperlink" Target="https://lifetec.org.au/" TargetMode="External"/><Relationship Id="rId63" Type="http://schemas.openxmlformats.org/officeDocument/2006/relationships/hyperlink" Target="https://universaldesign.ie/about-universal-design/the-7-principles"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rgov.qld.gov.au/finance-procurement-and-travel/procurement/procurement-resources/procurement-guidance" TargetMode="External"/><Relationship Id="rId29" Type="http://schemas.openxmlformats.org/officeDocument/2006/relationships/hyperlink" Target="https://qdn.org.au/" TargetMode="External"/><Relationship Id="rId11" Type="http://schemas.openxmlformats.org/officeDocument/2006/relationships/image" Target="media/image1.emf"/><Relationship Id="rId24" Type="http://schemas.openxmlformats.org/officeDocument/2006/relationships/hyperlink" Target="mailto:skills2procure@hpw.qld.gov.au" TargetMode="External"/><Relationship Id="rId32" Type="http://schemas.openxmlformats.org/officeDocument/2006/relationships/hyperlink" Target="http://www.hpw.qld.gov.au/SiteCollectionDocuments/ComplianceInformatioGovernmentBuyers.pdf" TargetMode="External"/><Relationship Id="rId37" Type="http://schemas.openxmlformats.org/officeDocument/2006/relationships/hyperlink" Target="mailto:info@diversicare.com.au" TargetMode="External"/><Relationship Id="rId40" Type="http://schemas.openxmlformats.org/officeDocument/2006/relationships/hyperlink" Target="https://deafconnect.org.au/" TargetMode="External"/><Relationship Id="rId45" Type="http://schemas.openxmlformats.org/officeDocument/2006/relationships/hyperlink" Target="https://www.forgov.qld.gov.au/cue" TargetMode="External"/><Relationship Id="rId53" Type="http://schemas.openxmlformats.org/officeDocument/2006/relationships/hyperlink" Target="https://www.dementia.org.au/" TargetMode="External"/><Relationship Id="rId58" Type="http://schemas.openxmlformats.org/officeDocument/2006/relationships/hyperlink" Target="https://humanrights.gov.au/our-work/employers/access-all-improving-accessibility-consumers-disability" TargetMode="External"/><Relationship Id="rId66" Type="http://schemas.openxmlformats.org/officeDocument/2006/relationships/hyperlink" Target="https://www.forgov.qld.gov.au/information-and-communication-technology/qgea-directions-and-guidance/qgea-policies-standards-and-guidelines/digital-service-standard/make-digital-services-accessible" TargetMode="External"/><Relationship Id="rId5" Type="http://schemas.openxmlformats.org/officeDocument/2006/relationships/numbering" Target="numbering.xml"/><Relationship Id="rId61" Type="http://schemas.openxmlformats.org/officeDocument/2006/relationships/hyperlink" Target="https://www.forgov.qld.gov.au/pay-benefits-and-policy/culture-and-inclusion/workplace-inclusion-and-diversity/disability-inclusive-workplaces" TargetMode="External"/><Relationship Id="rId19" Type="http://schemas.openxmlformats.org/officeDocument/2006/relationships/hyperlink" Target="mailto:skills2procure@hpw.qld.gov.au" TargetMode="External"/><Relationship Id="rId14" Type="http://schemas.openxmlformats.org/officeDocument/2006/relationships/hyperlink" Target="https://www.legislation.gov.au/C2004A04426/2018-04-12/text" TargetMode="External"/><Relationship Id="rId22" Type="http://schemas.openxmlformats.org/officeDocument/2006/relationships/hyperlink" Target="https://humanrights.gov.au/our-work/legal/exemptions" TargetMode="External"/><Relationship Id="rId27" Type="http://schemas.openxmlformats.org/officeDocument/2006/relationships/hyperlink" Target="https://lifetec.org.au/" TargetMode="External"/><Relationship Id="rId30" Type="http://schemas.openxmlformats.org/officeDocument/2006/relationships/hyperlink" Target="mailto:qdn@qdn.org.au" TargetMode="External"/><Relationship Id="rId35" Type="http://schemas.openxmlformats.org/officeDocument/2006/relationships/hyperlink" Target="mailto:enquiries@spinal.com.au" TargetMode="External"/><Relationship Id="rId43" Type="http://schemas.openxmlformats.org/officeDocument/2006/relationships/hyperlink" Target="mailto:admin@arthritis.org.au" TargetMode="External"/><Relationship Id="rId48" Type="http://schemas.openxmlformats.org/officeDocument/2006/relationships/hyperlink" Target="mailto:mail@lifetec.org.au" TargetMode="External"/><Relationship Id="rId56" Type="http://schemas.openxmlformats.org/officeDocument/2006/relationships/hyperlink" Target="mailto:info@bhabrisbane.org.au" TargetMode="External"/><Relationship Id="rId64" Type="http://schemas.openxmlformats.org/officeDocument/2006/relationships/hyperlink" Target="http://idea.ap.buffalo.edu/about/universal-design/"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amparo.org.a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creativecommons.org/licenses/by/4.0/deed.en%20" TargetMode="External"/><Relationship Id="rId17" Type="http://schemas.openxmlformats.org/officeDocument/2006/relationships/hyperlink" Target="https://www.forgov.qld.gov.au/finance-procurement-and-travel/procurement/procurement-resources/search-for-procurement-policies-resources-tools-and-templates/complaints-management" TargetMode="External"/><Relationship Id="rId25" Type="http://schemas.openxmlformats.org/officeDocument/2006/relationships/hyperlink" Target="https://qai.org.au/" TargetMode="External"/><Relationship Id="rId33" Type="http://schemas.openxmlformats.org/officeDocument/2006/relationships/hyperlink" Target="mailto:bca@bca.org.au" TargetMode="External"/><Relationship Id="rId38" Type="http://schemas.openxmlformats.org/officeDocument/2006/relationships/hyperlink" Target="https://msqld.org.au/" TargetMode="External"/><Relationship Id="rId46" Type="http://schemas.openxmlformats.org/officeDocument/2006/relationships/hyperlink" Target="mailto:enquiries@fpdn.org.au" TargetMode="External"/><Relationship Id="rId59" Type="http://schemas.openxmlformats.org/officeDocument/2006/relationships/hyperlink" Target="https://www.abs.gov.au/statistics/health/disability/disability-ageing-and-carers-australia-summary-findings/latest-release" TargetMode="External"/><Relationship Id="rId67" Type="http://schemas.openxmlformats.org/officeDocument/2006/relationships/hyperlink" Target="https://www.forgov.qld.gov.au/cue" TargetMode="External"/><Relationship Id="rId20" Type="http://schemas.openxmlformats.org/officeDocument/2006/relationships/hyperlink" Target="https://www.qcat.qld.gov.au/" TargetMode="External"/><Relationship Id="rId41" Type="http://schemas.openxmlformats.org/officeDocument/2006/relationships/hyperlink" Target="mailto:info@deafconnect.org.au" TargetMode="External"/><Relationship Id="rId54" Type="http://schemas.openxmlformats.org/officeDocument/2006/relationships/hyperlink" Target="mailto:qld.admin@dementia.org.au" TargetMode="External"/><Relationship Id="rId62" Type="http://schemas.openxmlformats.org/officeDocument/2006/relationships/hyperlink" Target="https://disabilityawareness.com.au/"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bs.gov.au/statistics/health/disability/disability-ageing-and-carers-australia-summary-findings/latest-release" TargetMode="External"/><Relationship Id="rId23" Type="http://schemas.openxmlformats.org/officeDocument/2006/relationships/hyperlink" Target="https://www.abs.gov.au/statistics/health/disability/disability-ageing-and-carers-australia-summary-findings/latest-release" TargetMode="External"/><Relationship Id="rId28" Type="http://schemas.openxmlformats.org/officeDocument/2006/relationships/hyperlink" Target="mailto:qai@qai.org.au" TargetMode="External"/><Relationship Id="rId36" Type="http://schemas.openxmlformats.org/officeDocument/2006/relationships/hyperlink" Target="https://eccq.com.au/aged-care/diversicare/" TargetMode="External"/><Relationship Id="rId49" Type="http://schemas.openxmlformats.org/officeDocument/2006/relationships/hyperlink" Target="https://www.visionaustralia.org/" TargetMode="External"/><Relationship Id="rId57" Type="http://schemas.openxmlformats.org/officeDocument/2006/relationships/hyperlink" Target="https://humanrights.gov.au/education/employers" TargetMode="External"/><Relationship Id="rId10" Type="http://schemas.openxmlformats.org/officeDocument/2006/relationships/endnotes" Target="endnotes.xml"/><Relationship Id="rId31" Type="http://schemas.openxmlformats.org/officeDocument/2006/relationships/hyperlink" Target="https://www.bca.org.au/" TargetMode="External"/><Relationship Id="rId44" Type="http://schemas.openxmlformats.org/officeDocument/2006/relationships/hyperlink" Target="https://fpdn.org.au/" TargetMode="External"/><Relationship Id="rId52" Type="http://schemas.openxmlformats.org/officeDocument/2006/relationships/hyperlink" Target="mailto:info@amparo.org.au" TargetMode="External"/><Relationship Id="rId60" Type="http://schemas.openxmlformats.org/officeDocument/2006/relationships/hyperlink" Target="https://www.qhrc.qld.gov.au/training" TargetMode="External"/><Relationship Id="rId65" Type="http://schemas.openxmlformats.org/officeDocument/2006/relationships/hyperlink" Target="https://idea.ap.buffalo.edu/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etterprocurement@hpw.qld.gov.au" TargetMode="External"/><Relationship Id="rId18" Type="http://schemas.openxmlformats.org/officeDocument/2006/relationships/hyperlink" Target="https://www.qhrc.qld.gov.au/" TargetMode="External"/><Relationship Id="rId39" Type="http://schemas.openxmlformats.org/officeDocument/2006/relationships/hyperlink" Target="mailto:hello@msqld.org.au" TargetMode="External"/><Relationship Id="rId34" Type="http://schemas.openxmlformats.org/officeDocument/2006/relationships/hyperlink" Target="https://www.spinal.com.au/" TargetMode="External"/><Relationship Id="rId50" Type="http://schemas.openxmlformats.org/officeDocument/2006/relationships/hyperlink" Target="mailto:info@visionaustralia.org" TargetMode="External"/><Relationship Id="rId55" Type="http://schemas.openxmlformats.org/officeDocument/2006/relationships/hyperlink" Target="https://bhabrisbane.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umanrights.gov.au/our-work/employers/access-all-improving-accessibility-consumers-disabil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18F20-4CAE-4628-A0E9-BCC0E79D6E98}">
  <ds:schemaRefs>
    <ds:schemaRef ds:uri="http://schemas.openxmlformats.org/officeDocument/2006/bibliography"/>
  </ds:schemaRefs>
</ds:datastoreItem>
</file>

<file path=customXml/itemProps2.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3.xml><?xml version="1.0" encoding="utf-8"?>
<ds:datastoreItem xmlns:ds="http://schemas.openxmlformats.org/officeDocument/2006/customXml" ds:itemID="{475C14D5-A063-427E-9C41-E4866033A858}">
  <ds:schemaRefs>
    <ds:schemaRef ds:uri="http://schemas.microsoft.com/office/2006/metadata/properties"/>
    <ds:schemaRef ds:uri="http://schemas.microsoft.com/office/infopath/2007/PartnerControls"/>
    <ds:schemaRef ds:uri="2f64b93e-5338-4201-ad42-2a14a08fead3"/>
    <ds:schemaRef ds:uri="5ec4e1a3-9465-43a5-9858-85b06e73710c"/>
  </ds:schemaRefs>
</ds:datastoreItem>
</file>

<file path=customXml/itemProps4.xml><?xml version="1.0" encoding="utf-8"?>
<ds:datastoreItem xmlns:ds="http://schemas.openxmlformats.org/officeDocument/2006/customXml" ds:itemID="{64D4E4D9-0088-4235-9A7A-466BDABF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5092</Words>
  <Characters>29027</Characters>
  <Application>Microsoft Office Word</Application>
  <DocSecurity>0</DocSecurity>
  <Lines>241</Lines>
  <Paragraphs>68</Paragraphs>
  <ScaleCrop>false</ScaleCrop>
  <Company>Queensland Government</Company>
  <LinksUpToDate>false</LinksUpToDate>
  <CharactersWithSpaces>34051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Fazakarley</dc:creator>
  <cp:keywords>A4, portrait, template, cover, document</cp:keywords>
  <dc:description/>
  <cp:lastModifiedBy>Berta Fernandez</cp:lastModifiedBy>
  <cp:revision>91</cp:revision>
  <cp:lastPrinted>2025-08-28T00:47:00Z</cp:lastPrinted>
  <dcterms:created xsi:type="dcterms:W3CDTF">2025-05-12T23:17:00Z</dcterms:created>
  <dcterms:modified xsi:type="dcterms:W3CDTF">2025-08-28T00:48:00Z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y fmtid="{D5CDD505-2E9C-101B-9397-08002B2CF9AE}" pid="4" name="Order">
    <vt:r8>180100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