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8D862" w14:textId="77777777" w:rsidR="00F752DB" w:rsidRDefault="00F752DB"/>
    <w:p w14:paraId="4B51DBFA" w14:textId="77777777" w:rsidR="00701011" w:rsidRDefault="00701011" w:rsidP="000140F8">
      <w:pPr>
        <w:pStyle w:val="Title"/>
      </w:pPr>
    </w:p>
    <w:p w14:paraId="1E70DE63" w14:textId="77777777" w:rsidR="00701011" w:rsidRDefault="00701011" w:rsidP="000140F8">
      <w:pPr>
        <w:pStyle w:val="Title"/>
      </w:pPr>
    </w:p>
    <w:p w14:paraId="6B104A43" w14:textId="77777777" w:rsidR="00701011" w:rsidRDefault="00701011" w:rsidP="004242A3">
      <w:pPr>
        <w:pStyle w:val="Title"/>
      </w:pPr>
    </w:p>
    <w:p w14:paraId="6AFDE56C" w14:textId="490C2132" w:rsidR="00701011" w:rsidRPr="00D42A1E" w:rsidRDefault="009D42B1" w:rsidP="005256B3">
      <w:pPr>
        <w:pStyle w:val="Title"/>
        <w:rPr>
          <w:sz w:val="64"/>
          <w:szCs w:val="64"/>
        </w:rPr>
      </w:pPr>
      <w:r>
        <w:rPr>
          <w:sz w:val="64"/>
          <w:szCs w:val="64"/>
        </w:rPr>
        <w:t>Open data portal publishing user manual for contract disclosure</w:t>
      </w:r>
      <w:r w:rsidR="00701011" w:rsidRPr="00D42A1E">
        <w:rPr>
          <w:sz w:val="64"/>
          <w:szCs w:val="64"/>
        </w:rPr>
        <w:t xml:space="preserve"> </w:t>
      </w:r>
    </w:p>
    <w:p w14:paraId="29574E75" w14:textId="77777777" w:rsidR="008A640C" w:rsidRDefault="008A640C" w:rsidP="008A640C">
      <w:pPr>
        <w:pStyle w:val="Subtitle"/>
        <w:spacing w:line="200" w:lineRule="exact"/>
      </w:pPr>
    </w:p>
    <w:p w14:paraId="1569997A" w14:textId="75D32854" w:rsidR="00F752DB" w:rsidRDefault="009D42B1" w:rsidP="005256B3">
      <w:pPr>
        <w:pStyle w:val="Subtitle"/>
      </w:pPr>
      <w:r>
        <w:t>Queensland Government Procurement</w:t>
      </w:r>
      <w:r w:rsidR="00F752DB" w:rsidRPr="00701011">
        <w:rPr>
          <w:rStyle w:val="SubtleEmphasis"/>
        </w:rPr>
        <w:br w:type="page"/>
      </w:r>
    </w:p>
    <w:p w14:paraId="13C928DF" w14:textId="77777777" w:rsidR="009D42B1" w:rsidRDefault="009D42B1" w:rsidP="009D42B1">
      <w:pPr>
        <w:ind w:left="360"/>
      </w:pPr>
    </w:p>
    <w:p w14:paraId="2731BB3F" w14:textId="77777777" w:rsidR="009D42B1" w:rsidRDefault="009D42B1" w:rsidP="009D42B1">
      <w:pPr>
        <w:ind w:left="360"/>
      </w:pPr>
    </w:p>
    <w:p w14:paraId="39E91742" w14:textId="77777777" w:rsidR="009D42B1" w:rsidRDefault="009D42B1" w:rsidP="009D42B1">
      <w:pPr>
        <w:ind w:left="360"/>
      </w:pPr>
    </w:p>
    <w:p w14:paraId="3E2E21BC" w14:textId="77777777" w:rsidR="009D42B1" w:rsidRDefault="009D42B1" w:rsidP="009D42B1">
      <w:pPr>
        <w:ind w:left="360"/>
      </w:pPr>
    </w:p>
    <w:p w14:paraId="0AD0EC36" w14:textId="77777777" w:rsidR="009D42B1" w:rsidRDefault="009D42B1" w:rsidP="009D42B1">
      <w:pPr>
        <w:ind w:left="360"/>
      </w:pPr>
    </w:p>
    <w:p w14:paraId="0C028EF7" w14:textId="77777777" w:rsidR="009D42B1" w:rsidRDefault="009D42B1" w:rsidP="009D42B1">
      <w:pPr>
        <w:ind w:left="360"/>
      </w:pPr>
    </w:p>
    <w:p w14:paraId="593347CF" w14:textId="77777777" w:rsidR="009D42B1" w:rsidRDefault="009D42B1" w:rsidP="009D42B1">
      <w:pPr>
        <w:ind w:left="360"/>
      </w:pPr>
    </w:p>
    <w:p w14:paraId="30D089CF" w14:textId="77777777" w:rsidR="009D42B1" w:rsidRDefault="009D42B1" w:rsidP="009D42B1"/>
    <w:p w14:paraId="4B439773" w14:textId="77777777" w:rsidR="009D42B1" w:rsidRDefault="009D42B1" w:rsidP="009D42B1">
      <w:pPr>
        <w:ind w:left="360"/>
      </w:pPr>
    </w:p>
    <w:p w14:paraId="7B15FB07" w14:textId="77777777" w:rsidR="009D42B1" w:rsidRDefault="009D42B1" w:rsidP="009D42B1">
      <w:pPr>
        <w:ind w:left="360"/>
      </w:pPr>
    </w:p>
    <w:p w14:paraId="154C3D19" w14:textId="77777777" w:rsidR="009D42B1" w:rsidRPr="009D42B1" w:rsidRDefault="009D42B1" w:rsidP="009D42B1">
      <w:pPr>
        <w:ind w:left="360"/>
        <w:rPr>
          <w:szCs w:val="20"/>
        </w:rPr>
      </w:pPr>
    </w:p>
    <w:p w14:paraId="28D09DCF" w14:textId="3B3589F2" w:rsidR="009D42B1" w:rsidRPr="009D42B1" w:rsidRDefault="009D42B1" w:rsidP="009D42B1">
      <w:pPr>
        <w:rPr>
          <w:i/>
          <w:iCs/>
          <w:szCs w:val="20"/>
        </w:rPr>
      </w:pPr>
      <w:r w:rsidRPr="009D42B1">
        <w:rPr>
          <w:b/>
          <w:bCs/>
          <w:i/>
          <w:iCs/>
          <w:szCs w:val="20"/>
        </w:rPr>
        <w:t xml:space="preserve">Open data portal publishing manual for contract disclosure </w:t>
      </w:r>
      <w:r w:rsidRPr="009D42B1">
        <w:rPr>
          <w:b/>
          <w:bCs/>
          <w:i/>
          <w:iCs/>
          <w:szCs w:val="20"/>
        </w:rPr>
        <w:br/>
      </w:r>
      <w:r w:rsidRPr="009D42B1">
        <w:rPr>
          <w:i/>
          <w:iCs/>
          <w:szCs w:val="20"/>
        </w:rPr>
        <w:t>v</w:t>
      </w:r>
      <w:r w:rsidR="008800FE">
        <w:rPr>
          <w:i/>
          <w:iCs/>
          <w:szCs w:val="20"/>
        </w:rPr>
        <w:t>3</w:t>
      </w:r>
      <w:r w:rsidRPr="009D42B1">
        <w:rPr>
          <w:i/>
          <w:iCs/>
          <w:szCs w:val="20"/>
        </w:rPr>
        <w:t xml:space="preserve">.0 </w:t>
      </w:r>
      <w:r w:rsidR="008800FE">
        <w:rPr>
          <w:i/>
          <w:iCs/>
          <w:szCs w:val="20"/>
        </w:rPr>
        <w:t>July 2024</w:t>
      </w:r>
    </w:p>
    <w:p w14:paraId="6642CABD" w14:textId="77777777" w:rsidR="009D42B1" w:rsidRPr="009D42B1" w:rsidRDefault="009D42B1" w:rsidP="009D42B1">
      <w:pPr>
        <w:ind w:left="360"/>
        <w:rPr>
          <w:szCs w:val="20"/>
        </w:rPr>
      </w:pPr>
    </w:p>
    <w:p w14:paraId="2B68ABDF" w14:textId="7E2132F1" w:rsidR="009D42B1" w:rsidRPr="009D42B1" w:rsidRDefault="009D42B1" w:rsidP="009D42B1">
      <w:pPr>
        <w:ind w:left="426" w:hanging="426"/>
        <w:rPr>
          <w:rFonts w:cs="Arial"/>
          <w:b/>
          <w:szCs w:val="20"/>
        </w:rPr>
      </w:pPr>
      <w:r w:rsidRPr="009D42B1">
        <w:rPr>
          <w:rFonts w:cs="Arial"/>
          <w:noProof/>
          <w:szCs w:val="20"/>
          <w:lang w:eastAsia="en-AU"/>
        </w:rPr>
        <w:drawing>
          <wp:anchor distT="0" distB="0" distL="114300" distR="114300" simplePos="0" relativeHeight="251659264" behindDoc="0" locked="0" layoutInCell="1" allowOverlap="1" wp14:anchorId="0C6987BF" wp14:editId="47897038">
            <wp:simplePos x="0" y="0"/>
            <wp:positionH relativeFrom="margin">
              <wp:posOffset>-635</wp:posOffset>
            </wp:positionH>
            <wp:positionV relativeFrom="paragraph">
              <wp:posOffset>252730</wp:posOffset>
            </wp:positionV>
            <wp:extent cx="828675" cy="2762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2B1">
        <w:rPr>
          <w:rFonts w:cs="Arial"/>
          <w:b/>
          <w:szCs w:val="20"/>
        </w:rPr>
        <w:t xml:space="preserve">The State of Queensland (Department of Energy and </w:t>
      </w:r>
      <w:r w:rsidR="008800FE">
        <w:rPr>
          <w:rFonts w:cs="Arial"/>
          <w:b/>
          <w:szCs w:val="20"/>
        </w:rPr>
        <w:t>Climate</w:t>
      </w:r>
      <w:r w:rsidRPr="009D42B1">
        <w:rPr>
          <w:rFonts w:cs="Arial"/>
          <w:b/>
          <w:szCs w:val="20"/>
        </w:rPr>
        <w:t>) 202</w:t>
      </w:r>
      <w:r w:rsidR="008800FE">
        <w:rPr>
          <w:rFonts w:cs="Arial"/>
          <w:b/>
          <w:szCs w:val="20"/>
        </w:rPr>
        <w:t>4</w:t>
      </w:r>
    </w:p>
    <w:p w14:paraId="69966379" w14:textId="77777777" w:rsidR="009D42B1" w:rsidRPr="009D42B1" w:rsidRDefault="009D42B1" w:rsidP="009D42B1">
      <w:pPr>
        <w:ind w:left="426" w:hanging="426"/>
        <w:rPr>
          <w:rFonts w:cs="Arial"/>
          <w:szCs w:val="20"/>
        </w:rPr>
      </w:pPr>
    </w:p>
    <w:p w14:paraId="49731483" w14:textId="77777777" w:rsidR="009D42B1" w:rsidRPr="009D42B1" w:rsidRDefault="00C261F7" w:rsidP="009D42B1">
      <w:pPr>
        <w:ind w:left="426" w:hanging="426"/>
        <w:rPr>
          <w:rFonts w:cs="Arial"/>
          <w:szCs w:val="20"/>
        </w:rPr>
      </w:pPr>
      <w:hyperlink r:id="rId12" w:history="1">
        <w:r w:rsidR="009D42B1" w:rsidRPr="009D42B1">
          <w:rPr>
            <w:rStyle w:val="Hyperlink"/>
            <w:rFonts w:cs="Arial"/>
            <w:szCs w:val="20"/>
          </w:rPr>
          <w:t>http://creativecommons.org/licenses/by/4.0/deed.en</w:t>
        </w:r>
      </w:hyperlink>
      <w:r w:rsidR="009D42B1" w:rsidRPr="009D42B1">
        <w:rPr>
          <w:rFonts w:cs="Arial"/>
          <w:szCs w:val="20"/>
        </w:rPr>
        <w:t xml:space="preserve"> </w:t>
      </w:r>
    </w:p>
    <w:p w14:paraId="5EE6D395" w14:textId="1BAEA6DE" w:rsidR="009D42B1" w:rsidRPr="009D42B1" w:rsidRDefault="009D42B1" w:rsidP="009D42B1">
      <w:pPr>
        <w:rPr>
          <w:rFonts w:cs="Arial"/>
          <w:szCs w:val="20"/>
        </w:rPr>
      </w:pPr>
      <w:r w:rsidRPr="009D42B1">
        <w:rPr>
          <w:rFonts w:cs="Arial"/>
          <w:szCs w:val="20"/>
        </w:rPr>
        <w:t xml:space="preserve">This work is licensed under a Creative Commons Attribution 4.0 Australia Licence. You are free to copy, communicate and adapt this work, </w:t>
      </w:r>
      <w:proofErr w:type="gramStart"/>
      <w:r w:rsidRPr="009D42B1">
        <w:rPr>
          <w:rFonts w:cs="Arial"/>
          <w:szCs w:val="20"/>
        </w:rPr>
        <w:t>as long as</w:t>
      </w:r>
      <w:proofErr w:type="gramEnd"/>
      <w:r w:rsidRPr="009D42B1">
        <w:rPr>
          <w:rFonts w:cs="Arial"/>
          <w:szCs w:val="20"/>
        </w:rPr>
        <w:t xml:space="preserve"> you attribute by citing ‘</w:t>
      </w:r>
      <w:r w:rsidRPr="009D42B1">
        <w:rPr>
          <w:szCs w:val="20"/>
        </w:rPr>
        <w:t>Open data portal publishing manual for contract disclosure</w:t>
      </w:r>
      <w:r w:rsidRPr="009D42B1">
        <w:rPr>
          <w:rFonts w:cs="Arial"/>
          <w:szCs w:val="20"/>
        </w:rPr>
        <w:t xml:space="preserve">, State of Queensland (Department of Energy and </w:t>
      </w:r>
      <w:r w:rsidR="008800FE">
        <w:rPr>
          <w:rFonts w:cs="Arial"/>
          <w:szCs w:val="20"/>
        </w:rPr>
        <w:t>Climate</w:t>
      </w:r>
      <w:r w:rsidRPr="009D42B1">
        <w:rPr>
          <w:rFonts w:cs="Arial"/>
          <w:szCs w:val="20"/>
        </w:rPr>
        <w:t>) 202</w:t>
      </w:r>
      <w:r w:rsidR="008800FE">
        <w:rPr>
          <w:rFonts w:cs="Arial"/>
          <w:szCs w:val="20"/>
        </w:rPr>
        <w:t>4</w:t>
      </w:r>
      <w:r w:rsidRPr="009D42B1">
        <w:rPr>
          <w:rFonts w:cs="Arial"/>
          <w:szCs w:val="20"/>
        </w:rPr>
        <w:t>.</w:t>
      </w:r>
    </w:p>
    <w:p w14:paraId="584FEDD8" w14:textId="77777777" w:rsidR="009D42B1" w:rsidRPr="009D42B1" w:rsidRDefault="009D42B1" w:rsidP="009D42B1">
      <w:pPr>
        <w:ind w:left="426" w:hanging="426"/>
        <w:rPr>
          <w:rFonts w:cs="Arial"/>
          <w:b/>
          <w:szCs w:val="20"/>
        </w:rPr>
      </w:pPr>
      <w:r w:rsidRPr="009D42B1">
        <w:rPr>
          <w:rFonts w:cs="Arial"/>
          <w:b/>
          <w:szCs w:val="20"/>
        </w:rPr>
        <w:t xml:space="preserve">Contact </w:t>
      </w:r>
      <w:proofErr w:type="gramStart"/>
      <w:r w:rsidRPr="009D42B1">
        <w:rPr>
          <w:rFonts w:cs="Arial"/>
          <w:b/>
          <w:szCs w:val="20"/>
        </w:rPr>
        <w:t>us</w:t>
      </w:r>
      <w:proofErr w:type="gramEnd"/>
    </w:p>
    <w:p w14:paraId="0D6454D5" w14:textId="6A02ACDC" w:rsidR="009D42B1" w:rsidRPr="009D42B1" w:rsidRDefault="009D42B1" w:rsidP="009D42B1">
      <w:pPr>
        <w:rPr>
          <w:rFonts w:cs="Arial"/>
          <w:szCs w:val="20"/>
        </w:rPr>
      </w:pPr>
      <w:r w:rsidRPr="009D42B1">
        <w:rPr>
          <w:rFonts w:cs="Arial"/>
          <w:szCs w:val="20"/>
        </w:rPr>
        <w:t xml:space="preserve">Queensland Government Procurement is committed to continuous improvement. If you have any suggestions about how we can improve this guide, or if you have any questions, contact us at </w:t>
      </w:r>
      <w:hyperlink r:id="rId13" w:history="1">
        <w:r w:rsidR="008800FE" w:rsidRPr="008800FE">
          <w:rPr>
            <w:rStyle w:val="Hyperlink"/>
            <w:rFonts w:cs="Arial"/>
            <w:szCs w:val="20"/>
          </w:rPr>
          <w:t>betterprocurement@epw.qld.gov.au</w:t>
        </w:r>
      </w:hyperlink>
      <w:r w:rsidRPr="009D42B1">
        <w:rPr>
          <w:rFonts w:cs="Arial"/>
          <w:szCs w:val="20"/>
        </w:rPr>
        <w:t xml:space="preserve">. </w:t>
      </w:r>
    </w:p>
    <w:p w14:paraId="5D172F4B" w14:textId="77777777" w:rsidR="009D42B1" w:rsidRPr="009D42B1" w:rsidRDefault="009D42B1" w:rsidP="009D42B1">
      <w:pPr>
        <w:ind w:left="426" w:hanging="426"/>
        <w:rPr>
          <w:rFonts w:cs="Arial"/>
          <w:b/>
          <w:szCs w:val="20"/>
        </w:rPr>
      </w:pPr>
      <w:r w:rsidRPr="009D42B1">
        <w:rPr>
          <w:rFonts w:cs="Arial"/>
          <w:b/>
          <w:szCs w:val="20"/>
        </w:rPr>
        <w:t>Disclaimer</w:t>
      </w:r>
    </w:p>
    <w:p w14:paraId="5D7E27C3" w14:textId="77777777" w:rsidR="009D42B1" w:rsidRPr="009D42B1" w:rsidRDefault="009D42B1" w:rsidP="009D42B1">
      <w:pPr>
        <w:rPr>
          <w:rFonts w:cs="Arial"/>
          <w:szCs w:val="20"/>
        </w:rPr>
      </w:pPr>
      <w:r w:rsidRPr="009D42B1">
        <w:rPr>
          <w:rFonts w:cs="Arial"/>
          <w:szCs w:val="20"/>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4BC843AC" w14:textId="77777777" w:rsidR="009D42B1" w:rsidRPr="009D42B1" w:rsidRDefault="009D42B1" w:rsidP="009D42B1">
      <w:pPr>
        <w:rPr>
          <w:rFonts w:cs="Arial"/>
          <w:szCs w:val="20"/>
        </w:rPr>
      </w:pPr>
    </w:p>
    <w:p w14:paraId="6574B5D9" w14:textId="03AE53C2" w:rsidR="009D42B1" w:rsidRDefault="009D42B1" w:rsidP="009D42B1">
      <w:pPr>
        <w:rPr>
          <w:rFonts w:cs="Arial"/>
          <w:szCs w:val="20"/>
        </w:rPr>
      </w:pPr>
      <w:r w:rsidRPr="009D42B1">
        <w:rPr>
          <w:rFonts w:cs="Arial"/>
          <w:szCs w:val="20"/>
        </w:rPr>
        <w:t xml:space="preserve">The Department of Energy and </w:t>
      </w:r>
      <w:r w:rsidR="008800FE">
        <w:rPr>
          <w:rFonts w:cs="Arial"/>
          <w:szCs w:val="20"/>
        </w:rPr>
        <w:t>Climate</w:t>
      </w:r>
      <w:r w:rsidRPr="009D42B1">
        <w:rPr>
          <w:rFonts w:cs="Arial"/>
          <w:szCs w:val="20"/>
        </w:rPr>
        <w:t xml:space="preserve"> disclaims all liability that may arise from the use of this document. This guide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sdt>
      <w:sdtPr>
        <w:rPr>
          <w:rFonts w:ascii="Arial" w:eastAsiaTheme="minorHAnsi" w:hAnsi="Arial" w:cstheme="minorBidi"/>
          <w:color w:val="auto"/>
          <w:sz w:val="20"/>
          <w:szCs w:val="22"/>
          <w:lang w:val="en-AU"/>
        </w:rPr>
        <w:id w:val="-2073189314"/>
        <w:docPartObj>
          <w:docPartGallery w:val="Table of Contents"/>
          <w:docPartUnique/>
        </w:docPartObj>
      </w:sdtPr>
      <w:sdtEndPr>
        <w:rPr>
          <w:b/>
          <w:bCs/>
          <w:noProof/>
        </w:rPr>
      </w:sdtEndPr>
      <w:sdtContent>
        <w:p w14:paraId="6FD8640A" w14:textId="027AF5DE" w:rsidR="009D42B1" w:rsidRDefault="009D42B1">
          <w:pPr>
            <w:pStyle w:val="TOCHeading"/>
          </w:pPr>
          <w:r>
            <w:t>Table of Contents</w:t>
          </w:r>
        </w:p>
        <w:p w14:paraId="55DBB4E2" w14:textId="1D0528DA" w:rsidR="00DB3C08" w:rsidRDefault="009D42B1">
          <w:pPr>
            <w:pStyle w:val="TOC1"/>
            <w:tabs>
              <w:tab w:val="right" w:leader="dot" w:pos="9016"/>
            </w:tabs>
            <w:rPr>
              <w:rFonts w:asciiTheme="minorHAnsi" w:eastAsiaTheme="minorEastAsia" w:hAnsiTheme="minorHAnsi"/>
              <w:noProof/>
              <w:kern w:val="2"/>
              <w:sz w:val="22"/>
              <w:lang w:eastAsia="en-AU"/>
              <w14:ligatures w14:val="standardContextual"/>
            </w:rPr>
          </w:pPr>
          <w:r>
            <w:fldChar w:fldCharType="begin"/>
          </w:r>
          <w:r>
            <w:instrText xml:space="preserve"> TOC \o "1-3" \h \z \u </w:instrText>
          </w:r>
          <w:r>
            <w:fldChar w:fldCharType="separate"/>
          </w:r>
          <w:hyperlink w:anchor="_Toc171520255" w:history="1">
            <w:r w:rsidR="00DB3C08" w:rsidRPr="006F1E85">
              <w:rPr>
                <w:rStyle w:val="Hyperlink"/>
                <w:noProof/>
              </w:rPr>
              <w:t>1 Terms and definitions</w:t>
            </w:r>
            <w:r w:rsidR="00DB3C08">
              <w:rPr>
                <w:noProof/>
                <w:webHidden/>
              </w:rPr>
              <w:tab/>
            </w:r>
            <w:r w:rsidR="00DB3C08">
              <w:rPr>
                <w:noProof/>
                <w:webHidden/>
              </w:rPr>
              <w:fldChar w:fldCharType="begin"/>
            </w:r>
            <w:r w:rsidR="00DB3C08">
              <w:rPr>
                <w:noProof/>
                <w:webHidden/>
              </w:rPr>
              <w:instrText xml:space="preserve"> PAGEREF _Toc171520255 \h </w:instrText>
            </w:r>
            <w:r w:rsidR="00DB3C08">
              <w:rPr>
                <w:noProof/>
                <w:webHidden/>
              </w:rPr>
            </w:r>
            <w:r w:rsidR="00DB3C08">
              <w:rPr>
                <w:noProof/>
                <w:webHidden/>
              </w:rPr>
              <w:fldChar w:fldCharType="separate"/>
            </w:r>
            <w:r w:rsidR="00DB3C08">
              <w:rPr>
                <w:noProof/>
                <w:webHidden/>
              </w:rPr>
              <w:t>4</w:t>
            </w:r>
            <w:r w:rsidR="00DB3C08">
              <w:rPr>
                <w:noProof/>
                <w:webHidden/>
              </w:rPr>
              <w:fldChar w:fldCharType="end"/>
            </w:r>
          </w:hyperlink>
        </w:p>
        <w:p w14:paraId="68B71A24" w14:textId="10817631" w:rsidR="00DB3C08" w:rsidRDefault="00C261F7">
          <w:pPr>
            <w:pStyle w:val="TOC1"/>
            <w:tabs>
              <w:tab w:val="right" w:leader="dot" w:pos="9016"/>
            </w:tabs>
            <w:rPr>
              <w:rFonts w:asciiTheme="minorHAnsi" w:eastAsiaTheme="minorEastAsia" w:hAnsiTheme="minorHAnsi"/>
              <w:noProof/>
              <w:kern w:val="2"/>
              <w:sz w:val="22"/>
              <w:lang w:eastAsia="en-AU"/>
              <w14:ligatures w14:val="standardContextual"/>
            </w:rPr>
          </w:pPr>
          <w:hyperlink w:anchor="_Toc171520256" w:history="1">
            <w:r w:rsidR="00DB3C08" w:rsidRPr="006F1E85">
              <w:rPr>
                <w:rStyle w:val="Hyperlink"/>
                <w:noProof/>
              </w:rPr>
              <w:t>2 Background</w:t>
            </w:r>
            <w:r w:rsidR="00DB3C08">
              <w:rPr>
                <w:noProof/>
                <w:webHidden/>
              </w:rPr>
              <w:tab/>
            </w:r>
            <w:r w:rsidR="00DB3C08">
              <w:rPr>
                <w:noProof/>
                <w:webHidden/>
              </w:rPr>
              <w:fldChar w:fldCharType="begin"/>
            </w:r>
            <w:r w:rsidR="00DB3C08">
              <w:rPr>
                <w:noProof/>
                <w:webHidden/>
              </w:rPr>
              <w:instrText xml:space="preserve"> PAGEREF _Toc171520256 \h </w:instrText>
            </w:r>
            <w:r w:rsidR="00DB3C08">
              <w:rPr>
                <w:noProof/>
                <w:webHidden/>
              </w:rPr>
            </w:r>
            <w:r w:rsidR="00DB3C08">
              <w:rPr>
                <w:noProof/>
                <w:webHidden/>
              </w:rPr>
              <w:fldChar w:fldCharType="separate"/>
            </w:r>
            <w:r w:rsidR="00DB3C08">
              <w:rPr>
                <w:noProof/>
                <w:webHidden/>
              </w:rPr>
              <w:t>5</w:t>
            </w:r>
            <w:r w:rsidR="00DB3C08">
              <w:rPr>
                <w:noProof/>
                <w:webHidden/>
              </w:rPr>
              <w:fldChar w:fldCharType="end"/>
            </w:r>
          </w:hyperlink>
        </w:p>
        <w:p w14:paraId="5372C153" w14:textId="565914E9" w:rsidR="00DB3C08" w:rsidRDefault="00C261F7">
          <w:pPr>
            <w:pStyle w:val="TOC1"/>
            <w:tabs>
              <w:tab w:val="right" w:leader="dot" w:pos="9016"/>
            </w:tabs>
            <w:rPr>
              <w:rFonts w:asciiTheme="minorHAnsi" w:eastAsiaTheme="minorEastAsia" w:hAnsiTheme="minorHAnsi"/>
              <w:noProof/>
              <w:kern w:val="2"/>
              <w:sz w:val="22"/>
              <w:lang w:eastAsia="en-AU"/>
              <w14:ligatures w14:val="standardContextual"/>
            </w:rPr>
          </w:pPr>
          <w:hyperlink w:anchor="_Toc171520257" w:history="1">
            <w:r w:rsidR="00DB3C08" w:rsidRPr="006F1E85">
              <w:rPr>
                <w:rStyle w:val="Hyperlink"/>
                <w:noProof/>
              </w:rPr>
              <w:t>3 Purpose of this publication</w:t>
            </w:r>
            <w:r w:rsidR="00DB3C08">
              <w:rPr>
                <w:noProof/>
                <w:webHidden/>
              </w:rPr>
              <w:tab/>
            </w:r>
            <w:r w:rsidR="00DB3C08">
              <w:rPr>
                <w:noProof/>
                <w:webHidden/>
              </w:rPr>
              <w:fldChar w:fldCharType="begin"/>
            </w:r>
            <w:r w:rsidR="00DB3C08">
              <w:rPr>
                <w:noProof/>
                <w:webHidden/>
              </w:rPr>
              <w:instrText xml:space="preserve"> PAGEREF _Toc171520257 \h </w:instrText>
            </w:r>
            <w:r w:rsidR="00DB3C08">
              <w:rPr>
                <w:noProof/>
                <w:webHidden/>
              </w:rPr>
            </w:r>
            <w:r w:rsidR="00DB3C08">
              <w:rPr>
                <w:noProof/>
                <w:webHidden/>
              </w:rPr>
              <w:fldChar w:fldCharType="separate"/>
            </w:r>
            <w:r w:rsidR="00DB3C08">
              <w:rPr>
                <w:noProof/>
                <w:webHidden/>
              </w:rPr>
              <w:t>5</w:t>
            </w:r>
            <w:r w:rsidR="00DB3C08">
              <w:rPr>
                <w:noProof/>
                <w:webHidden/>
              </w:rPr>
              <w:fldChar w:fldCharType="end"/>
            </w:r>
          </w:hyperlink>
        </w:p>
        <w:p w14:paraId="746F7CB8" w14:textId="7A4352E6" w:rsidR="00DB3C08" w:rsidRDefault="00C261F7">
          <w:pPr>
            <w:pStyle w:val="TOC1"/>
            <w:tabs>
              <w:tab w:val="right" w:leader="dot" w:pos="9016"/>
            </w:tabs>
            <w:rPr>
              <w:rFonts w:asciiTheme="minorHAnsi" w:eastAsiaTheme="minorEastAsia" w:hAnsiTheme="minorHAnsi"/>
              <w:noProof/>
              <w:kern w:val="2"/>
              <w:sz w:val="22"/>
              <w:lang w:eastAsia="en-AU"/>
              <w14:ligatures w14:val="standardContextual"/>
            </w:rPr>
          </w:pPr>
          <w:hyperlink w:anchor="_Toc171520258" w:history="1">
            <w:r w:rsidR="00DB3C08" w:rsidRPr="006F1E85">
              <w:rPr>
                <w:rStyle w:val="Hyperlink"/>
                <w:noProof/>
              </w:rPr>
              <w:t>4 Scope</w:t>
            </w:r>
            <w:r w:rsidR="00DB3C08">
              <w:rPr>
                <w:noProof/>
                <w:webHidden/>
              </w:rPr>
              <w:tab/>
            </w:r>
            <w:r w:rsidR="00DB3C08">
              <w:rPr>
                <w:noProof/>
                <w:webHidden/>
              </w:rPr>
              <w:fldChar w:fldCharType="begin"/>
            </w:r>
            <w:r w:rsidR="00DB3C08">
              <w:rPr>
                <w:noProof/>
                <w:webHidden/>
              </w:rPr>
              <w:instrText xml:space="preserve"> PAGEREF _Toc171520258 \h </w:instrText>
            </w:r>
            <w:r w:rsidR="00DB3C08">
              <w:rPr>
                <w:noProof/>
                <w:webHidden/>
              </w:rPr>
            </w:r>
            <w:r w:rsidR="00DB3C08">
              <w:rPr>
                <w:noProof/>
                <w:webHidden/>
              </w:rPr>
              <w:fldChar w:fldCharType="separate"/>
            </w:r>
            <w:r w:rsidR="00DB3C08">
              <w:rPr>
                <w:noProof/>
                <w:webHidden/>
              </w:rPr>
              <w:t>6</w:t>
            </w:r>
            <w:r w:rsidR="00DB3C08">
              <w:rPr>
                <w:noProof/>
                <w:webHidden/>
              </w:rPr>
              <w:fldChar w:fldCharType="end"/>
            </w:r>
          </w:hyperlink>
        </w:p>
        <w:p w14:paraId="74108A70" w14:textId="6F43B978"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59" w:history="1">
            <w:r w:rsidR="00DB3C08" w:rsidRPr="006F1E85">
              <w:rPr>
                <w:rStyle w:val="Hyperlink"/>
                <w:noProof/>
              </w:rPr>
              <w:t>4.1 Included</w:t>
            </w:r>
            <w:r w:rsidR="00DB3C08">
              <w:rPr>
                <w:noProof/>
                <w:webHidden/>
              </w:rPr>
              <w:tab/>
            </w:r>
            <w:r w:rsidR="00DB3C08">
              <w:rPr>
                <w:noProof/>
                <w:webHidden/>
              </w:rPr>
              <w:fldChar w:fldCharType="begin"/>
            </w:r>
            <w:r w:rsidR="00DB3C08">
              <w:rPr>
                <w:noProof/>
                <w:webHidden/>
              </w:rPr>
              <w:instrText xml:space="preserve"> PAGEREF _Toc171520259 \h </w:instrText>
            </w:r>
            <w:r w:rsidR="00DB3C08">
              <w:rPr>
                <w:noProof/>
                <w:webHidden/>
              </w:rPr>
            </w:r>
            <w:r w:rsidR="00DB3C08">
              <w:rPr>
                <w:noProof/>
                <w:webHidden/>
              </w:rPr>
              <w:fldChar w:fldCharType="separate"/>
            </w:r>
            <w:r w:rsidR="00DB3C08">
              <w:rPr>
                <w:noProof/>
                <w:webHidden/>
              </w:rPr>
              <w:t>6</w:t>
            </w:r>
            <w:r w:rsidR="00DB3C08">
              <w:rPr>
                <w:noProof/>
                <w:webHidden/>
              </w:rPr>
              <w:fldChar w:fldCharType="end"/>
            </w:r>
          </w:hyperlink>
        </w:p>
        <w:p w14:paraId="399BE499" w14:textId="6CC0EB9F"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60" w:history="1">
            <w:r w:rsidR="00DB3C08" w:rsidRPr="006F1E85">
              <w:rPr>
                <w:rStyle w:val="Hyperlink"/>
                <w:noProof/>
              </w:rPr>
              <w:t>4.2 Excluded</w:t>
            </w:r>
            <w:r w:rsidR="00DB3C08">
              <w:rPr>
                <w:noProof/>
                <w:webHidden/>
              </w:rPr>
              <w:tab/>
            </w:r>
            <w:r w:rsidR="00DB3C08">
              <w:rPr>
                <w:noProof/>
                <w:webHidden/>
              </w:rPr>
              <w:fldChar w:fldCharType="begin"/>
            </w:r>
            <w:r w:rsidR="00DB3C08">
              <w:rPr>
                <w:noProof/>
                <w:webHidden/>
              </w:rPr>
              <w:instrText xml:space="preserve"> PAGEREF _Toc171520260 \h </w:instrText>
            </w:r>
            <w:r w:rsidR="00DB3C08">
              <w:rPr>
                <w:noProof/>
                <w:webHidden/>
              </w:rPr>
            </w:r>
            <w:r w:rsidR="00DB3C08">
              <w:rPr>
                <w:noProof/>
                <w:webHidden/>
              </w:rPr>
              <w:fldChar w:fldCharType="separate"/>
            </w:r>
            <w:r w:rsidR="00DB3C08">
              <w:rPr>
                <w:noProof/>
                <w:webHidden/>
              </w:rPr>
              <w:t>6</w:t>
            </w:r>
            <w:r w:rsidR="00DB3C08">
              <w:rPr>
                <w:noProof/>
                <w:webHidden/>
              </w:rPr>
              <w:fldChar w:fldCharType="end"/>
            </w:r>
          </w:hyperlink>
        </w:p>
        <w:p w14:paraId="2C9D8971" w14:textId="14C5243A"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61" w:history="1">
            <w:r w:rsidR="00DB3C08" w:rsidRPr="006F1E85">
              <w:rPr>
                <w:rStyle w:val="Hyperlink"/>
                <w:noProof/>
                <w:lang w:val="en-GB"/>
              </w:rPr>
              <w:t>4.3 Assumptions</w:t>
            </w:r>
            <w:r w:rsidR="00DB3C08">
              <w:rPr>
                <w:noProof/>
                <w:webHidden/>
              </w:rPr>
              <w:tab/>
            </w:r>
            <w:r w:rsidR="00DB3C08">
              <w:rPr>
                <w:noProof/>
                <w:webHidden/>
              </w:rPr>
              <w:fldChar w:fldCharType="begin"/>
            </w:r>
            <w:r w:rsidR="00DB3C08">
              <w:rPr>
                <w:noProof/>
                <w:webHidden/>
              </w:rPr>
              <w:instrText xml:space="preserve"> PAGEREF _Toc171520261 \h </w:instrText>
            </w:r>
            <w:r w:rsidR="00DB3C08">
              <w:rPr>
                <w:noProof/>
                <w:webHidden/>
              </w:rPr>
            </w:r>
            <w:r w:rsidR="00DB3C08">
              <w:rPr>
                <w:noProof/>
                <w:webHidden/>
              </w:rPr>
              <w:fldChar w:fldCharType="separate"/>
            </w:r>
            <w:r w:rsidR="00DB3C08">
              <w:rPr>
                <w:noProof/>
                <w:webHidden/>
              </w:rPr>
              <w:t>6</w:t>
            </w:r>
            <w:r w:rsidR="00DB3C08">
              <w:rPr>
                <w:noProof/>
                <w:webHidden/>
              </w:rPr>
              <w:fldChar w:fldCharType="end"/>
            </w:r>
          </w:hyperlink>
        </w:p>
        <w:p w14:paraId="32AE6EF2" w14:textId="3D0B5495"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62" w:history="1">
            <w:r w:rsidR="00DB3C08" w:rsidRPr="006F1E85">
              <w:rPr>
                <w:rStyle w:val="Hyperlink"/>
                <w:noProof/>
              </w:rPr>
              <w:t>4.4 Publishing requirements</w:t>
            </w:r>
            <w:r w:rsidR="00DB3C08">
              <w:rPr>
                <w:noProof/>
                <w:webHidden/>
              </w:rPr>
              <w:tab/>
            </w:r>
            <w:r w:rsidR="00DB3C08">
              <w:rPr>
                <w:noProof/>
                <w:webHidden/>
              </w:rPr>
              <w:fldChar w:fldCharType="begin"/>
            </w:r>
            <w:r w:rsidR="00DB3C08">
              <w:rPr>
                <w:noProof/>
                <w:webHidden/>
              </w:rPr>
              <w:instrText xml:space="preserve"> PAGEREF _Toc171520262 \h </w:instrText>
            </w:r>
            <w:r w:rsidR="00DB3C08">
              <w:rPr>
                <w:noProof/>
                <w:webHidden/>
              </w:rPr>
            </w:r>
            <w:r w:rsidR="00DB3C08">
              <w:rPr>
                <w:noProof/>
                <w:webHidden/>
              </w:rPr>
              <w:fldChar w:fldCharType="separate"/>
            </w:r>
            <w:r w:rsidR="00DB3C08">
              <w:rPr>
                <w:noProof/>
                <w:webHidden/>
              </w:rPr>
              <w:t>6</w:t>
            </w:r>
            <w:r w:rsidR="00DB3C08">
              <w:rPr>
                <w:noProof/>
                <w:webHidden/>
              </w:rPr>
              <w:fldChar w:fldCharType="end"/>
            </w:r>
          </w:hyperlink>
        </w:p>
        <w:p w14:paraId="68E30AE9" w14:textId="35975887" w:rsidR="00DB3C08" w:rsidRDefault="00C261F7">
          <w:pPr>
            <w:pStyle w:val="TOC1"/>
            <w:tabs>
              <w:tab w:val="right" w:leader="dot" w:pos="9016"/>
            </w:tabs>
            <w:rPr>
              <w:rFonts w:asciiTheme="minorHAnsi" w:eastAsiaTheme="minorEastAsia" w:hAnsiTheme="minorHAnsi"/>
              <w:noProof/>
              <w:kern w:val="2"/>
              <w:sz w:val="22"/>
              <w:lang w:eastAsia="en-AU"/>
              <w14:ligatures w14:val="standardContextual"/>
            </w:rPr>
          </w:pPr>
          <w:hyperlink w:anchor="_Toc171520263" w:history="1">
            <w:r w:rsidR="00DB3C08" w:rsidRPr="006F1E85">
              <w:rPr>
                <w:rStyle w:val="Hyperlink"/>
                <w:noProof/>
              </w:rPr>
              <w:t>5 Roles and responsibilities</w:t>
            </w:r>
            <w:r w:rsidR="00DB3C08">
              <w:rPr>
                <w:noProof/>
                <w:webHidden/>
              </w:rPr>
              <w:tab/>
            </w:r>
            <w:r w:rsidR="00DB3C08">
              <w:rPr>
                <w:noProof/>
                <w:webHidden/>
              </w:rPr>
              <w:fldChar w:fldCharType="begin"/>
            </w:r>
            <w:r w:rsidR="00DB3C08">
              <w:rPr>
                <w:noProof/>
                <w:webHidden/>
              </w:rPr>
              <w:instrText xml:space="preserve"> PAGEREF _Toc171520263 \h </w:instrText>
            </w:r>
            <w:r w:rsidR="00DB3C08">
              <w:rPr>
                <w:noProof/>
                <w:webHidden/>
              </w:rPr>
            </w:r>
            <w:r w:rsidR="00DB3C08">
              <w:rPr>
                <w:noProof/>
                <w:webHidden/>
              </w:rPr>
              <w:fldChar w:fldCharType="separate"/>
            </w:r>
            <w:r w:rsidR="00DB3C08">
              <w:rPr>
                <w:noProof/>
                <w:webHidden/>
              </w:rPr>
              <w:t>6</w:t>
            </w:r>
            <w:r w:rsidR="00DB3C08">
              <w:rPr>
                <w:noProof/>
                <w:webHidden/>
              </w:rPr>
              <w:fldChar w:fldCharType="end"/>
            </w:r>
          </w:hyperlink>
        </w:p>
        <w:p w14:paraId="6926740B" w14:textId="0C1CB665"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64" w:history="1">
            <w:r w:rsidR="00DB3C08" w:rsidRPr="006F1E85">
              <w:rPr>
                <w:rStyle w:val="Hyperlink"/>
                <w:noProof/>
              </w:rPr>
              <w:t>5.1 QGP</w:t>
            </w:r>
            <w:r w:rsidR="00DB3C08" w:rsidRPr="006F1E85">
              <w:rPr>
                <w:rStyle w:val="Hyperlink"/>
                <w:noProof/>
                <w:spacing w:val="-11"/>
              </w:rPr>
              <w:t xml:space="preserve"> </w:t>
            </w:r>
            <w:r w:rsidR="00DB3C08" w:rsidRPr="006F1E85">
              <w:rPr>
                <w:rStyle w:val="Hyperlink"/>
                <w:noProof/>
              </w:rPr>
              <w:t>responsibilities</w:t>
            </w:r>
            <w:r w:rsidR="00DB3C08">
              <w:rPr>
                <w:noProof/>
                <w:webHidden/>
              </w:rPr>
              <w:tab/>
            </w:r>
            <w:r w:rsidR="00DB3C08">
              <w:rPr>
                <w:noProof/>
                <w:webHidden/>
              </w:rPr>
              <w:fldChar w:fldCharType="begin"/>
            </w:r>
            <w:r w:rsidR="00DB3C08">
              <w:rPr>
                <w:noProof/>
                <w:webHidden/>
              </w:rPr>
              <w:instrText xml:space="preserve"> PAGEREF _Toc171520264 \h </w:instrText>
            </w:r>
            <w:r w:rsidR="00DB3C08">
              <w:rPr>
                <w:noProof/>
                <w:webHidden/>
              </w:rPr>
            </w:r>
            <w:r w:rsidR="00DB3C08">
              <w:rPr>
                <w:noProof/>
                <w:webHidden/>
              </w:rPr>
              <w:fldChar w:fldCharType="separate"/>
            </w:r>
            <w:r w:rsidR="00DB3C08">
              <w:rPr>
                <w:noProof/>
                <w:webHidden/>
              </w:rPr>
              <w:t>6</w:t>
            </w:r>
            <w:r w:rsidR="00DB3C08">
              <w:rPr>
                <w:noProof/>
                <w:webHidden/>
              </w:rPr>
              <w:fldChar w:fldCharType="end"/>
            </w:r>
          </w:hyperlink>
        </w:p>
        <w:p w14:paraId="033EBD51" w14:textId="327D6EFC"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65" w:history="1">
            <w:r w:rsidR="00DB3C08" w:rsidRPr="006F1E85">
              <w:rPr>
                <w:rStyle w:val="Hyperlink"/>
                <w:noProof/>
              </w:rPr>
              <w:t>5.2 Agency</w:t>
            </w:r>
            <w:r w:rsidR="00DB3C08" w:rsidRPr="006F1E85">
              <w:rPr>
                <w:rStyle w:val="Hyperlink"/>
                <w:noProof/>
                <w:spacing w:val="-14"/>
              </w:rPr>
              <w:t xml:space="preserve"> </w:t>
            </w:r>
            <w:r w:rsidR="00DB3C08" w:rsidRPr="006F1E85">
              <w:rPr>
                <w:rStyle w:val="Hyperlink"/>
                <w:noProof/>
              </w:rPr>
              <w:t>responsibilities</w:t>
            </w:r>
            <w:r w:rsidR="00DB3C08">
              <w:rPr>
                <w:noProof/>
                <w:webHidden/>
              </w:rPr>
              <w:tab/>
            </w:r>
            <w:r w:rsidR="00DB3C08">
              <w:rPr>
                <w:noProof/>
                <w:webHidden/>
              </w:rPr>
              <w:fldChar w:fldCharType="begin"/>
            </w:r>
            <w:r w:rsidR="00DB3C08">
              <w:rPr>
                <w:noProof/>
                <w:webHidden/>
              </w:rPr>
              <w:instrText xml:space="preserve"> PAGEREF _Toc171520265 \h </w:instrText>
            </w:r>
            <w:r w:rsidR="00DB3C08">
              <w:rPr>
                <w:noProof/>
                <w:webHidden/>
              </w:rPr>
            </w:r>
            <w:r w:rsidR="00DB3C08">
              <w:rPr>
                <w:noProof/>
                <w:webHidden/>
              </w:rPr>
              <w:fldChar w:fldCharType="separate"/>
            </w:r>
            <w:r w:rsidR="00DB3C08">
              <w:rPr>
                <w:noProof/>
                <w:webHidden/>
              </w:rPr>
              <w:t>6</w:t>
            </w:r>
            <w:r w:rsidR="00DB3C08">
              <w:rPr>
                <w:noProof/>
                <w:webHidden/>
              </w:rPr>
              <w:fldChar w:fldCharType="end"/>
            </w:r>
          </w:hyperlink>
        </w:p>
        <w:p w14:paraId="18F16E72" w14:textId="59D79A46"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66" w:history="1">
            <w:r w:rsidR="00DB3C08" w:rsidRPr="006F1E85">
              <w:rPr>
                <w:rStyle w:val="Hyperlink"/>
                <w:noProof/>
              </w:rPr>
              <w:t>5.3 Smart Service Queensland</w:t>
            </w:r>
            <w:r w:rsidR="00DB3C08" w:rsidRPr="006F1E85">
              <w:rPr>
                <w:rStyle w:val="Hyperlink"/>
                <w:noProof/>
                <w:spacing w:val="-11"/>
              </w:rPr>
              <w:t xml:space="preserve"> </w:t>
            </w:r>
            <w:r w:rsidR="00DB3C08" w:rsidRPr="006F1E85">
              <w:rPr>
                <w:rStyle w:val="Hyperlink"/>
                <w:noProof/>
              </w:rPr>
              <w:t>responsibilities</w:t>
            </w:r>
            <w:r w:rsidR="00DB3C08">
              <w:rPr>
                <w:noProof/>
                <w:webHidden/>
              </w:rPr>
              <w:tab/>
            </w:r>
            <w:r w:rsidR="00DB3C08">
              <w:rPr>
                <w:noProof/>
                <w:webHidden/>
              </w:rPr>
              <w:fldChar w:fldCharType="begin"/>
            </w:r>
            <w:r w:rsidR="00DB3C08">
              <w:rPr>
                <w:noProof/>
                <w:webHidden/>
              </w:rPr>
              <w:instrText xml:space="preserve"> PAGEREF _Toc171520266 \h </w:instrText>
            </w:r>
            <w:r w:rsidR="00DB3C08">
              <w:rPr>
                <w:noProof/>
                <w:webHidden/>
              </w:rPr>
            </w:r>
            <w:r w:rsidR="00DB3C08">
              <w:rPr>
                <w:noProof/>
                <w:webHidden/>
              </w:rPr>
              <w:fldChar w:fldCharType="separate"/>
            </w:r>
            <w:r w:rsidR="00DB3C08">
              <w:rPr>
                <w:noProof/>
                <w:webHidden/>
              </w:rPr>
              <w:t>7</w:t>
            </w:r>
            <w:r w:rsidR="00DB3C08">
              <w:rPr>
                <w:noProof/>
                <w:webHidden/>
              </w:rPr>
              <w:fldChar w:fldCharType="end"/>
            </w:r>
          </w:hyperlink>
        </w:p>
        <w:p w14:paraId="0126D0BB" w14:textId="29E8E461" w:rsidR="00DB3C08" w:rsidRDefault="00C261F7">
          <w:pPr>
            <w:pStyle w:val="TOC1"/>
            <w:tabs>
              <w:tab w:val="right" w:leader="dot" w:pos="9016"/>
            </w:tabs>
            <w:rPr>
              <w:rFonts w:asciiTheme="minorHAnsi" w:eastAsiaTheme="minorEastAsia" w:hAnsiTheme="minorHAnsi"/>
              <w:noProof/>
              <w:kern w:val="2"/>
              <w:sz w:val="22"/>
              <w:lang w:eastAsia="en-AU"/>
              <w14:ligatures w14:val="standardContextual"/>
            </w:rPr>
          </w:pPr>
          <w:hyperlink w:anchor="_Toc171520267" w:history="1">
            <w:r w:rsidR="00DB3C08" w:rsidRPr="006F1E85">
              <w:rPr>
                <w:rStyle w:val="Hyperlink"/>
                <w:noProof/>
              </w:rPr>
              <w:t>6 Information dataset</w:t>
            </w:r>
            <w:r w:rsidR="00DB3C08">
              <w:rPr>
                <w:noProof/>
                <w:webHidden/>
              </w:rPr>
              <w:tab/>
            </w:r>
            <w:r w:rsidR="00DB3C08">
              <w:rPr>
                <w:noProof/>
                <w:webHidden/>
              </w:rPr>
              <w:fldChar w:fldCharType="begin"/>
            </w:r>
            <w:r w:rsidR="00DB3C08">
              <w:rPr>
                <w:noProof/>
                <w:webHidden/>
              </w:rPr>
              <w:instrText xml:space="preserve"> PAGEREF _Toc171520267 \h </w:instrText>
            </w:r>
            <w:r w:rsidR="00DB3C08">
              <w:rPr>
                <w:noProof/>
                <w:webHidden/>
              </w:rPr>
            </w:r>
            <w:r w:rsidR="00DB3C08">
              <w:rPr>
                <w:noProof/>
                <w:webHidden/>
              </w:rPr>
              <w:fldChar w:fldCharType="separate"/>
            </w:r>
            <w:r w:rsidR="00DB3C08">
              <w:rPr>
                <w:noProof/>
                <w:webHidden/>
              </w:rPr>
              <w:t>8</w:t>
            </w:r>
            <w:r w:rsidR="00DB3C08">
              <w:rPr>
                <w:noProof/>
                <w:webHidden/>
              </w:rPr>
              <w:fldChar w:fldCharType="end"/>
            </w:r>
          </w:hyperlink>
        </w:p>
        <w:p w14:paraId="49223AB9" w14:textId="15BBAF15"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68" w:history="1">
            <w:r w:rsidR="00DB3C08" w:rsidRPr="006F1E85">
              <w:rPr>
                <w:rStyle w:val="Hyperlink"/>
                <w:noProof/>
              </w:rPr>
              <w:t>6.1 Data disclosure fields</w:t>
            </w:r>
            <w:r w:rsidR="00DB3C08">
              <w:rPr>
                <w:noProof/>
                <w:webHidden/>
              </w:rPr>
              <w:tab/>
            </w:r>
            <w:r w:rsidR="00DB3C08">
              <w:rPr>
                <w:noProof/>
                <w:webHidden/>
              </w:rPr>
              <w:fldChar w:fldCharType="begin"/>
            </w:r>
            <w:r w:rsidR="00DB3C08">
              <w:rPr>
                <w:noProof/>
                <w:webHidden/>
              </w:rPr>
              <w:instrText xml:space="preserve"> PAGEREF _Toc171520268 \h </w:instrText>
            </w:r>
            <w:r w:rsidR="00DB3C08">
              <w:rPr>
                <w:noProof/>
                <w:webHidden/>
              </w:rPr>
            </w:r>
            <w:r w:rsidR="00DB3C08">
              <w:rPr>
                <w:noProof/>
                <w:webHidden/>
              </w:rPr>
              <w:fldChar w:fldCharType="separate"/>
            </w:r>
            <w:r w:rsidR="00DB3C08">
              <w:rPr>
                <w:noProof/>
                <w:webHidden/>
              </w:rPr>
              <w:t>8</w:t>
            </w:r>
            <w:r w:rsidR="00DB3C08">
              <w:rPr>
                <w:noProof/>
                <w:webHidden/>
              </w:rPr>
              <w:fldChar w:fldCharType="end"/>
            </w:r>
          </w:hyperlink>
        </w:p>
        <w:p w14:paraId="4133AC2A" w14:textId="1E98D165" w:rsidR="00DB3C08" w:rsidRDefault="00C261F7">
          <w:pPr>
            <w:pStyle w:val="TOC1"/>
            <w:tabs>
              <w:tab w:val="right" w:leader="dot" w:pos="9016"/>
            </w:tabs>
            <w:rPr>
              <w:rFonts w:asciiTheme="minorHAnsi" w:eastAsiaTheme="minorEastAsia" w:hAnsiTheme="minorHAnsi"/>
              <w:noProof/>
              <w:kern w:val="2"/>
              <w:sz w:val="22"/>
              <w:lang w:eastAsia="en-AU"/>
              <w14:ligatures w14:val="standardContextual"/>
            </w:rPr>
          </w:pPr>
          <w:hyperlink w:anchor="_Toc171520269" w:history="1">
            <w:r w:rsidR="00DB3C08" w:rsidRPr="006F1E85">
              <w:rPr>
                <w:rStyle w:val="Hyperlink"/>
                <w:noProof/>
              </w:rPr>
              <w:t>7 Process to prepare contract disclosure reports</w:t>
            </w:r>
            <w:r w:rsidR="00DB3C08">
              <w:rPr>
                <w:noProof/>
                <w:webHidden/>
              </w:rPr>
              <w:tab/>
            </w:r>
            <w:r w:rsidR="00DB3C08">
              <w:rPr>
                <w:noProof/>
                <w:webHidden/>
              </w:rPr>
              <w:fldChar w:fldCharType="begin"/>
            </w:r>
            <w:r w:rsidR="00DB3C08">
              <w:rPr>
                <w:noProof/>
                <w:webHidden/>
              </w:rPr>
              <w:instrText xml:space="preserve"> PAGEREF _Toc171520269 \h </w:instrText>
            </w:r>
            <w:r w:rsidR="00DB3C08">
              <w:rPr>
                <w:noProof/>
                <w:webHidden/>
              </w:rPr>
            </w:r>
            <w:r w:rsidR="00DB3C08">
              <w:rPr>
                <w:noProof/>
                <w:webHidden/>
              </w:rPr>
              <w:fldChar w:fldCharType="separate"/>
            </w:r>
            <w:r w:rsidR="00DB3C08">
              <w:rPr>
                <w:noProof/>
                <w:webHidden/>
              </w:rPr>
              <w:t>13</w:t>
            </w:r>
            <w:r w:rsidR="00DB3C08">
              <w:rPr>
                <w:noProof/>
                <w:webHidden/>
              </w:rPr>
              <w:fldChar w:fldCharType="end"/>
            </w:r>
          </w:hyperlink>
        </w:p>
        <w:p w14:paraId="7660AE35" w14:textId="5883530D" w:rsidR="00DB3C08" w:rsidRDefault="00C261F7">
          <w:pPr>
            <w:pStyle w:val="TOC1"/>
            <w:tabs>
              <w:tab w:val="right" w:leader="dot" w:pos="9016"/>
            </w:tabs>
            <w:rPr>
              <w:rFonts w:asciiTheme="minorHAnsi" w:eastAsiaTheme="minorEastAsia" w:hAnsiTheme="minorHAnsi"/>
              <w:noProof/>
              <w:kern w:val="2"/>
              <w:sz w:val="22"/>
              <w:lang w:eastAsia="en-AU"/>
              <w14:ligatures w14:val="standardContextual"/>
            </w:rPr>
          </w:pPr>
          <w:hyperlink w:anchor="_Toc171520270" w:history="1">
            <w:r w:rsidR="00DB3C08" w:rsidRPr="006F1E85">
              <w:rPr>
                <w:rStyle w:val="Hyperlink"/>
                <w:noProof/>
              </w:rPr>
              <w:t>8 Data field clarifications</w:t>
            </w:r>
            <w:r w:rsidR="00DB3C08">
              <w:rPr>
                <w:noProof/>
                <w:webHidden/>
              </w:rPr>
              <w:tab/>
            </w:r>
            <w:r w:rsidR="00DB3C08">
              <w:rPr>
                <w:noProof/>
                <w:webHidden/>
              </w:rPr>
              <w:fldChar w:fldCharType="begin"/>
            </w:r>
            <w:r w:rsidR="00DB3C08">
              <w:rPr>
                <w:noProof/>
                <w:webHidden/>
              </w:rPr>
              <w:instrText xml:space="preserve"> PAGEREF _Toc171520270 \h </w:instrText>
            </w:r>
            <w:r w:rsidR="00DB3C08">
              <w:rPr>
                <w:noProof/>
                <w:webHidden/>
              </w:rPr>
            </w:r>
            <w:r w:rsidR="00DB3C08">
              <w:rPr>
                <w:noProof/>
                <w:webHidden/>
              </w:rPr>
              <w:fldChar w:fldCharType="separate"/>
            </w:r>
            <w:r w:rsidR="00DB3C08">
              <w:rPr>
                <w:noProof/>
                <w:webHidden/>
              </w:rPr>
              <w:t>13</w:t>
            </w:r>
            <w:r w:rsidR="00DB3C08">
              <w:rPr>
                <w:noProof/>
                <w:webHidden/>
              </w:rPr>
              <w:fldChar w:fldCharType="end"/>
            </w:r>
          </w:hyperlink>
        </w:p>
        <w:p w14:paraId="7608171E" w14:textId="4CD85FEB"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71" w:history="1">
            <w:r w:rsidR="00DB3C08" w:rsidRPr="006F1E85">
              <w:rPr>
                <w:rStyle w:val="Hyperlink"/>
                <w:noProof/>
              </w:rPr>
              <w:t>8.1 Data publisher name</w:t>
            </w:r>
            <w:r w:rsidR="00DB3C08">
              <w:rPr>
                <w:noProof/>
                <w:webHidden/>
              </w:rPr>
              <w:tab/>
            </w:r>
            <w:r w:rsidR="00DB3C08">
              <w:rPr>
                <w:noProof/>
                <w:webHidden/>
              </w:rPr>
              <w:fldChar w:fldCharType="begin"/>
            </w:r>
            <w:r w:rsidR="00DB3C08">
              <w:rPr>
                <w:noProof/>
                <w:webHidden/>
              </w:rPr>
              <w:instrText xml:space="preserve"> PAGEREF _Toc171520271 \h </w:instrText>
            </w:r>
            <w:r w:rsidR="00DB3C08">
              <w:rPr>
                <w:noProof/>
                <w:webHidden/>
              </w:rPr>
            </w:r>
            <w:r w:rsidR="00DB3C08">
              <w:rPr>
                <w:noProof/>
                <w:webHidden/>
              </w:rPr>
              <w:fldChar w:fldCharType="separate"/>
            </w:r>
            <w:r w:rsidR="00DB3C08">
              <w:rPr>
                <w:noProof/>
                <w:webHidden/>
              </w:rPr>
              <w:t>13</w:t>
            </w:r>
            <w:r w:rsidR="00DB3C08">
              <w:rPr>
                <w:noProof/>
                <w:webHidden/>
              </w:rPr>
              <w:fldChar w:fldCharType="end"/>
            </w:r>
          </w:hyperlink>
        </w:p>
        <w:p w14:paraId="2F6BE172" w14:textId="51464F75"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72" w:history="1">
            <w:r w:rsidR="00DB3C08" w:rsidRPr="006F1E85">
              <w:rPr>
                <w:rStyle w:val="Hyperlink"/>
                <w:noProof/>
              </w:rPr>
              <w:t>8.2 Agency address</w:t>
            </w:r>
            <w:r w:rsidR="00DB3C08">
              <w:rPr>
                <w:noProof/>
                <w:webHidden/>
              </w:rPr>
              <w:tab/>
            </w:r>
            <w:r w:rsidR="00DB3C08">
              <w:rPr>
                <w:noProof/>
                <w:webHidden/>
              </w:rPr>
              <w:fldChar w:fldCharType="begin"/>
            </w:r>
            <w:r w:rsidR="00DB3C08">
              <w:rPr>
                <w:noProof/>
                <w:webHidden/>
              </w:rPr>
              <w:instrText xml:space="preserve"> PAGEREF _Toc171520272 \h </w:instrText>
            </w:r>
            <w:r w:rsidR="00DB3C08">
              <w:rPr>
                <w:noProof/>
                <w:webHidden/>
              </w:rPr>
            </w:r>
            <w:r w:rsidR="00DB3C08">
              <w:rPr>
                <w:noProof/>
                <w:webHidden/>
              </w:rPr>
              <w:fldChar w:fldCharType="separate"/>
            </w:r>
            <w:r w:rsidR="00DB3C08">
              <w:rPr>
                <w:noProof/>
                <w:webHidden/>
              </w:rPr>
              <w:t>13</w:t>
            </w:r>
            <w:r w:rsidR="00DB3C08">
              <w:rPr>
                <w:noProof/>
                <w:webHidden/>
              </w:rPr>
              <w:fldChar w:fldCharType="end"/>
            </w:r>
          </w:hyperlink>
        </w:p>
        <w:p w14:paraId="58B49C84" w14:textId="1708A417"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73" w:history="1">
            <w:r w:rsidR="00DB3C08" w:rsidRPr="006F1E85">
              <w:rPr>
                <w:rStyle w:val="Hyperlink"/>
                <w:noProof/>
              </w:rPr>
              <w:t>8.3 Variation of contract</w:t>
            </w:r>
            <w:r w:rsidR="00DB3C08">
              <w:rPr>
                <w:noProof/>
                <w:webHidden/>
              </w:rPr>
              <w:tab/>
            </w:r>
            <w:r w:rsidR="00DB3C08">
              <w:rPr>
                <w:noProof/>
                <w:webHidden/>
              </w:rPr>
              <w:fldChar w:fldCharType="begin"/>
            </w:r>
            <w:r w:rsidR="00DB3C08">
              <w:rPr>
                <w:noProof/>
                <w:webHidden/>
              </w:rPr>
              <w:instrText xml:space="preserve"> PAGEREF _Toc171520273 \h </w:instrText>
            </w:r>
            <w:r w:rsidR="00DB3C08">
              <w:rPr>
                <w:noProof/>
                <w:webHidden/>
              </w:rPr>
            </w:r>
            <w:r w:rsidR="00DB3C08">
              <w:rPr>
                <w:noProof/>
                <w:webHidden/>
              </w:rPr>
              <w:fldChar w:fldCharType="separate"/>
            </w:r>
            <w:r w:rsidR="00DB3C08">
              <w:rPr>
                <w:noProof/>
                <w:webHidden/>
              </w:rPr>
              <w:t>13</w:t>
            </w:r>
            <w:r w:rsidR="00DB3C08">
              <w:rPr>
                <w:noProof/>
                <w:webHidden/>
              </w:rPr>
              <w:fldChar w:fldCharType="end"/>
            </w:r>
          </w:hyperlink>
        </w:p>
        <w:p w14:paraId="23E56672" w14:textId="23A3FAB4"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74" w:history="1">
            <w:r w:rsidR="00DB3C08" w:rsidRPr="006F1E85">
              <w:rPr>
                <w:rStyle w:val="Hyperlink"/>
                <w:noProof/>
              </w:rPr>
              <w:t>8.4 Category group</w:t>
            </w:r>
            <w:r w:rsidR="00DB3C08">
              <w:rPr>
                <w:noProof/>
                <w:webHidden/>
              </w:rPr>
              <w:tab/>
            </w:r>
            <w:r w:rsidR="00DB3C08">
              <w:rPr>
                <w:noProof/>
                <w:webHidden/>
              </w:rPr>
              <w:fldChar w:fldCharType="begin"/>
            </w:r>
            <w:r w:rsidR="00DB3C08">
              <w:rPr>
                <w:noProof/>
                <w:webHidden/>
              </w:rPr>
              <w:instrText xml:space="preserve"> PAGEREF _Toc171520274 \h </w:instrText>
            </w:r>
            <w:r w:rsidR="00DB3C08">
              <w:rPr>
                <w:noProof/>
                <w:webHidden/>
              </w:rPr>
            </w:r>
            <w:r w:rsidR="00DB3C08">
              <w:rPr>
                <w:noProof/>
                <w:webHidden/>
              </w:rPr>
              <w:fldChar w:fldCharType="separate"/>
            </w:r>
            <w:r w:rsidR="00DB3C08">
              <w:rPr>
                <w:noProof/>
                <w:webHidden/>
              </w:rPr>
              <w:t>13</w:t>
            </w:r>
            <w:r w:rsidR="00DB3C08">
              <w:rPr>
                <w:noProof/>
                <w:webHidden/>
              </w:rPr>
              <w:fldChar w:fldCharType="end"/>
            </w:r>
          </w:hyperlink>
        </w:p>
        <w:p w14:paraId="3297EBDF" w14:textId="1F69B908"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75" w:history="1">
            <w:r w:rsidR="00DB3C08" w:rsidRPr="006F1E85">
              <w:rPr>
                <w:rStyle w:val="Hyperlink"/>
                <w:noProof/>
              </w:rPr>
              <w:t>8.5 Procurement method</w:t>
            </w:r>
            <w:r w:rsidR="00DB3C08">
              <w:rPr>
                <w:noProof/>
                <w:webHidden/>
              </w:rPr>
              <w:tab/>
            </w:r>
            <w:r w:rsidR="00DB3C08">
              <w:rPr>
                <w:noProof/>
                <w:webHidden/>
              </w:rPr>
              <w:fldChar w:fldCharType="begin"/>
            </w:r>
            <w:r w:rsidR="00DB3C08">
              <w:rPr>
                <w:noProof/>
                <w:webHidden/>
              </w:rPr>
              <w:instrText xml:space="preserve"> PAGEREF _Toc171520275 \h </w:instrText>
            </w:r>
            <w:r w:rsidR="00DB3C08">
              <w:rPr>
                <w:noProof/>
                <w:webHidden/>
              </w:rPr>
            </w:r>
            <w:r w:rsidR="00DB3C08">
              <w:rPr>
                <w:noProof/>
                <w:webHidden/>
              </w:rPr>
              <w:fldChar w:fldCharType="separate"/>
            </w:r>
            <w:r w:rsidR="00DB3C08">
              <w:rPr>
                <w:noProof/>
                <w:webHidden/>
              </w:rPr>
              <w:t>14</w:t>
            </w:r>
            <w:r w:rsidR="00DB3C08">
              <w:rPr>
                <w:noProof/>
                <w:webHidden/>
              </w:rPr>
              <w:fldChar w:fldCharType="end"/>
            </w:r>
          </w:hyperlink>
        </w:p>
        <w:p w14:paraId="0940964B" w14:textId="79A73CE2"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76" w:history="1">
            <w:r w:rsidR="00DB3C08" w:rsidRPr="006F1E85">
              <w:rPr>
                <w:rStyle w:val="Hyperlink"/>
                <w:noProof/>
              </w:rPr>
              <w:t>8.6 Reason for use of limited tendering</w:t>
            </w:r>
            <w:r w:rsidR="00DB3C08">
              <w:rPr>
                <w:noProof/>
                <w:webHidden/>
              </w:rPr>
              <w:tab/>
            </w:r>
            <w:r w:rsidR="00DB3C08">
              <w:rPr>
                <w:noProof/>
                <w:webHidden/>
              </w:rPr>
              <w:fldChar w:fldCharType="begin"/>
            </w:r>
            <w:r w:rsidR="00DB3C08">
              <w:rPr>
                <w:noProof/>
                <w:webHidden/>
              </w:rPr>
              <w:instrText xml:space="preserve"> PAGEREF _Toc171520276 \h </w:instrText>
            </w:r>
            <w:r w:rsidR="00DB3C08">
              <w:rPr>
                <w:noProof/>
                <w:webHidden/>
              </w:rPr>
            </w:r>
            <w:r w:rsidR="00DB3C08">
              <w:rPr>
                <w:noProof/>
                <w:webHidden/>
              </w:rPr>
              <w:fldChar w:fldCharType="separate"/>
            </w:r>
            <w:r w:rsidR="00DB3C08">
              <w:rPr>
                <w:noProof/>
                <w:webHidden/>
              </w:rPr>
              <w:t>14</w:t>
            </w:r>
            <w:r w:rsidR="00DB3C08">
              <w:rPr>
                <w:noProof/>
                <w:webHidden/>
              </w:rPr>
              <w:fldChar w:fldCharType="end"/>
            </w:r>
          </w:hyperlink>
        </w:p>
        <w:p w14:paraId="0DD26B47" w14:textId="0D2C2364" w:rsidR="00DB3C08" w:rsidRDefault="00C261F7">
          <w:pPr>
            <w:pStyle w:val="TOC1"/>
            <w:tabs>
              <w:tab w:val="right" w:leader="dot" w:pos="9016"/>
            </w:tabs>
            <w:rPr>
              <w:rFonts w:asciiTheme="minorHAnsi" w:eastAsiaTheme="minorEastAsia" w:hAnsiTheme="minorHAnsi"/>
              <w:noProof/>
              <w:kern w:val="2"/>
              <w:sz w:val="22"/>
              <w:lang w:eastAsia="en-AU"/>
              <w14:ligatures w14:val="standardContextual"/>
            </w:rPr>
          </w:pPr>
          <w:hyperlink w:anchor="_Toc171520277" w:history="1">
            <w:r w:rsidR="00DB3C08" w:rsidRPr="006F1E85">
              <w:rPr>
                <w:rStyle w:val="Hyperlink"/>
                <w:noProof/>
              </w:rPr>
              <w:t>9 Data update process and tools</w:t>
            </w:r>
            <w:r w:rsidR="00DB3C08">
              <w:rPr>
                <w:noProof/>
                <w:webHidden/>
              </w:rPr>
              <w:tab/>
            </w:r>
            <w:r w:rsidR="00DB3C08">
              <w:rPr>
                <w:noProof/>
                <w:webHidden/>
              </w:rPr>
              <w:fldChar w:fldCharType="begin"/>
            </w:r>
            <w:r w:rsidR="00DB3C08">
              <w:rPr>
                <w:noProof/>
                <w:webHidden/>
              </w:rPr>
              <w:instrText xml:space="preserve"> PAGEREF _Toc171520277 \h </w:instrText>
            </w:r>
            <w:r w:rsidR="00DB3C08">
              <w:rPr>
                <w:noProof/>
                <w:webHidden/>
              </w:rPr>
            </w:r>
            <w:r w:rsidR="00DB3C08">
              <w:rPr>
                <w:noProof/>
                <w:webHidden/>
              </w:rPr>
              <w:fldChar w:fldCharType="separate"/>
            </w:r>
            <w:r w:rsidR="00DB3C08">
              <w:rPr>
                <w:noProof/>
                <w:webHidden/>
              </w:rPr>
              <w:t>15</w:t>
            </w:r>
            <w:r w:rsidR="00DB3C08">
              <w:rPr>
                <w:noProof/>
                <w:webHidden/>
              </w:rPr>
              <w:fldChar w:fldCharType="end"/>
            </w:r>
          </w:hyperlink>
        </w:p>
        <w:p w14:paraId="5C6A46D4" w14:textId="0D37E3E8"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78" w:history="1">
            <w:r w:rsidR="00DB3C08" w:rsidRPr="006F1E85">
              <w:rPr>
                <w:rStyle w:val="Hyperlink"/>
                <w:noProof/>
              </w:rPr>
              <w:t>9.1 New contract disclosure process</w:t>
            </w:r>
            <w:r w:rsidR="00DB3C08">
              <w:rPr>
                <w:noProof/>
                <w:webHidden/>
              </w:rPr>
              <w:tab/>
            </w:r>
            <w:r w:rsidR="00DB3C08">
              <w:rPr>
                <w:noProof/>
                <w:webHidden/>
              </w:rPr>
              <w:fldChar w:fldCharType="begin"/>
            </w:r>
            <w:r w:rsidR="00DB3C08">
              <w:rPr>
                <w:noProof/>
                <w:webHidden/>
              </w:rPr>
              <w:instrText xml:space="preserve"> PAGEREF _Toc171520278 \h </w:instrText>
            </w:r>
            <w:r w:rsidR="00DB3C08">
              <w:rPr>
                <w:noProof/>
                <w:webHidden/>
              </w:rPr>
            </w:r>
            <w:r w:rsidR="00DB3C08">
              <w:rPr>
                <w:noProof/>
                <w:webHidden/>
              </w:rPr>
              <w:fldChar w:fldCharType="separate"/>
            </w:r>
            <w:r w:rsidR="00DB3C08">
              <w:rPr>
                <w:noProof/>
                <w:webHidden/>
              </w:rPr>
              <w:t>15</w:t>
            </w:r>
            <w:r w:rsidR="00DB3C08">
              <w:rPr>
                <w:noProof/>
                <w:webHidden/>
              </w:rPr>
              <w:fldChar w:fldCharType="end"/>
            </w:r>
          </w:hyperlink>
        </w:p>
        <w:p w14:paraId="742C0A28" w14:textId="2302068D" w:rsidR="00DB3C08" w:rsidRDefault="00C261F7">
          <w:pPr>
            <w:pStyle w:val="TOC2"/>
            <w:tabs>
              <w:tab w:val="right" w:leader="dot" w:pos="9016"/>
            </w:tabs>
            <w:rPr>
              <w:rFonts w:asciiTheme="minorHAnsi" w:eastAsiaTheme="minorEastAsia" w:hAnsiTheme="minorHAnsi"/>
              <w:noProof/>
              <w:kern w:val="2"/>
              <w:sz w:val="22"/>
              <w:lang w:eastAsia="en-AU"/>
              <w14:ligatures w14:val="standardContextual"/>
            </w:rPr>
          </w:pPr>
          <w:hyperlink w:anchor="_Toc171520279" w:history="1">
            <w:r w:rsidR="00DB3C08" w:rsidRPr="006F1E85">
              <w:rPr>
                <w:rStyle w:val="Hyperlink"/>
                <w:noProof/>
                <w:lang w:val="en-GB"/>
              </w:rPr>
              <w:t>9.2 New detailed contract disclosure publishing process</w:t>
            </w:r>
            <w:r w:rsidR="00DB3C08">
              <w:rPr>
                <w:noProof/>
                <w:webHidden/>
              </w:rPr>
              <w:tab/>
            </w:r>
            <w:r w:rsidR="00DB3C08">
              <w:rPr>
                <w:noProof/>
                <w:webHidden/>
              </w:rPr>
              <w:fldChar w:fldCharType="begin"/>
            </w:r>
            <w:r w:rsidR="00DB3C08">
              <w:rPr>
                <w:noProof/>
                <w:webHidden/>
              </w:rPr>
              <w:instrText xml:space="preserve"> PAGEREF _Toc171520279 \h </w:instrText>
            </w:r>
            <w:r w:rsidR="00DB3C08">
              <w:rPr>
                <w:noProof/>
                <w:webHidden/>
              </w:rPr>
            </w:r>
            <w:r w:rsidR="00DB3C08">
              <w:rPr>
                <w:noProof/>
                <w:webHidden/>
              </w:rPr>
              <w:fldChar w:fldCharType="separate"/>
            </w:r>
            <w:r w:rsidR="00DB3C08">
              <w:rPr>
                <w:noProof/>
                <w:webHidden/>
              </w:rPr>
              <w:t>16</w:t>
            </w:r>
            <w:r w:rsidR="00DB3C08">
              <w:rPr>
                <w:noProof/>
                <w:webHidden/>
              </w:rPr>
              <w:fldChar w:fldCharType="end"/>
            </w:r>
          </w:hyperlink>
        </w:p>
        <w:p w14:paraId="588E83E3" w14:textId="1F4D342B" w:rsidR="00DB3C08" w:rsidRDefault="00C261F7">
          <w:pPr>
            <w:pStyle w:val="TOC2"/>
            <w:tabs>
              <w:tab w:val="left" w:pos="880"/>
              <w:tab w:val="right" w:leader="dot" w:pos="9016"/>
            </w:tabs>
            <w:rPr>
              <w:rFonts w:asciiTheme="minorHAnsi" w:eastAsiaTheme="minorEastAsia" w:hAnsiTheme="minorHAnsi"/>
              <w:noProof/>
              <w:kern w:val="2"/>
              <w:sz w:val="22"/>
              <w:lang w:eastAsia="en-AU"/>
              <w14:ligatures w14:val="standardContextual"/>
            </w:rPr>
          </w:pPr>
          <w:hyperlink w:anchor="_Toc171520280" w:history="1">
            <w:r w:rsidR="00DB3C08" w:rsidRPr="006F1E85">
              <w:rPr>
                <w:rStyle w:val="Hyperlink"/>
                <w:noProof/>
                <w:lang w:val="en-GB"/>
              </w:rPr>
              <w:t>9.3</w:t>
            </w:r>
            <w:r w:rsidR="00DB3C08">
              <w:rPr>
                <w:rFonts w:asciiTheme="minorHAnsi" w:eastAsiaTheme="minorEastAsia" w:hAnsiTheme="minorHAnsi"/>
                <w:noProof/>
                <w:kern w:val="2"/>
                <w:sz w:val="22"/>
                <w:lang w:eastAsia="en-AU"/>
                <w14:ligatures w14:val="standardContextual"/>
              </w:rPr>
              <w:tab/>
            </w:r>
            <w:r w:rsidR="00DB3C08" w:rsidRPr="006F1E85">
              <w:rPr>
                <w:rStyle w:val="Hyperlink"/>
                <w:noProof/>
                <w:lang w:val="en-GB"/>
              </w:rPr>
              <w:t>Specific technical requirements</w:t>
            </w:r>
            <w:r w:rsidR="00DB3C08">
              <w:rPr>
                <w:noProof/>
                <w:webHidden/>
              </w:rPr>
              <w:tab/>
            </w:r>
            <w:r w:rsidR="00DB3C08">
              <w:rPr>
                <w:noProof/>
                <w:webHidden/>
              </w:rPr>
              <w:fldChar w:fldCharType="begin"/>
            </w:r>
            <w:r w:rsidR="00DB3C08">
              <w:rPr>
                <w:noProof/>
                <w:webHidden/>
              </w:rPr>
              <w:instrText xml:space="preserve"> PAGEREF _Toc171520280 \h </w:instrText>
            </w:r>
            <w:r w:rsidR="00DB3C08">
              <w:rPr>
                <w:noProof/>
                <w:webHidden/>
              </w:rPr>
            </w:r>
            <w:r w:rsidR="00DB3C08">
              <w:rPr>
                <w:noProof/>
                <w:webHidden/>
              </w:rPr>
              <w:fldChar w:fldCharType="separate"/>
            </w:r>
            <w:r w:rsidR="00DB3C08">
              <w:rPr>
                <w:noProof/>
                <w:webHidden/>
              </w:rPr>
              <w:t>17</w:t>
            </w:r>
            <w:r w:rsidR="00DB3C08">
              <w:rPr>
                <w:noProof/>
                <w:webHidden/>
              </w:rPr>
              <w:fldChar w:fldCharType="end"/>
            </w:r>
          </w:hyperlink>
        </w:p>
        <w:p w14:paraId="6E666FE8" w14:textId="6E80241B" w:rsidR="00DB3C08" w:rsidRDefault="00C261F7">
          <w:pPr>
            <w:pStyle w:val="TOC2"/>
            <w:tabs>
              <w:tab w:val="left" w:pos="880"/>
              <w:tab w:val="right" w:leader="dot" w:pos="9016"/>
            </w:tabs>
            <w:rPr>
              <w:rFonts w:asciiTheme="minorHAnsi" w:eastAsiaTheme="minorEastAsia" w:hAnsiTheme="minorHAnsi"/>
              <w:noProof/>
              <w:kern w:val="2"/>
              <w:sz w:val="22"/>
              <w:lang w:eastAsia="en-AU"/>
              <w14:ligatures w14:val="standardContextual"/>
            </w:rPr>
          </w:pPr>
          <w:hyperlink w:anchor="_Toc171520281" w:history="1">
            <w:r w:rsidR="00DB3C08" w:rsidRPr="006F1E85">
              <w:rPr>
                <w:rStyle w:val="Hyperlink"/>
                <w:noProof/>
              </w:rPr>
              <w:t>9.4</w:t>
            </w:r>
            <w:r w:rsidR="00DB3C08">
              <w:rPr>
                <w:rFonts w:asciiTheme="minorHAnsi" w:eastAsiaTheme="minorEastAsia" w:hAnsiTheme="minorHAnsi"/>
                <w:noProof/>
                <w:kern w:val="2"/>
                <w:sz w:val="22"/>
                <w:lang w:eastAsia="en-AU"/>
                <w14:ligatures w14:val="standardContextual"/>
              </w:rPr>
              <w:tab/>
            </w:r>
            <w:r w:rsidR="00DB3C08" w:rsidRPr="006F1E85">
              <w:rPr>
                <w:rStyle w:val="Hyperlink"/>
                <w:noProof/>
              </w:rPr>
              <w:t>Formatting</w:t>
            </w:r>
            <w:r w:rsidR="00DB3C08">
              <w:rPr>
                <w:noProof/>
                <w:webHidden/>
              </w:rPr>
              <w:tab/>
            </w:r>
            <w:r w:rsidR="00DB3C08">
              <w:rPr>
                <w:noProof/>
                <w:webHidden/>
              </w:rPr>
              <w:fldChar w:fldCharType="begin"/>
            </w:r>
            <w:r w:rsidR="00DB3C08">
              <w:rPr>
                <w:noProof/>
                <w:webHidden/>
              </w:rPr>
              <w:instrText xml:space="preserve"> PAGEREF _Toc171520281 \h </w:instrText>
            </w:r>
            <w:r w:rsidR="00DB3C08">
              <w:rPr>
                <w:noProof/>
                <w:webHidden/>
              </w:rPr>
            </w:r>
            <w:r w:rsidR="00DB3C08">
              <w:rPr>
                <w:noProof/>
                <w:webHidden/>
              </w:rPr>
              <w:fldChar w:fldCharType="separate"/>
            </w:r>
            <w:r w:rsidR="00DB3C08">
              <w:rPr>
                <w:noProof/>
                <w:webHidden/>
              </w:rPr>
              <w:t>17</w:t>
            </w:r>
            <w:r w:rsidR="00DB3C08">
              <w:rPr>
                <w:noProof/>
                <w:webHidden/>
              </w:rPr>
              <w:fldChar w:fldCharType="end"/>
            </w:r>
          </w:hyperlink>
        </w:p>
        <w:p w14:paraId="6AE00C51" w14:textId="792E24E1" w:rsidR="00DB3C08" w:rsidRDefault="00C261F7">
          <w:pPr>
            <w:pStyle w:val="TOC2"/>
            <w:tabs>
              <w:tab w:val="left" w:pos="880"/>
              <w:tab w:val="right" w:leader="dot" w:pos="9016"/>
            </w:tabs>
            <w:rPr>
              <w:rFonts w:asciiTheme="minorHAnsi" w:eastAsiaTheme="minorEastAsia" w:hAnsiTheme="minorHAnsi"/>
              <w:noProof/>
              <w:kern w:val="2"/>
              <w:sz w:val="22"/>
              <w:lang w:eastAsia="en-AU"/>
              <w14:ligatures w14:val="standardContextual"/>
            </w:rPr>
          </w:pPr>
          <w:hyperlink w:anchor="_Toc171520282" w:history="1">
            <w:r w:rsidR="00DB3C08" w:rsidRPr="006F1E85">
              <w:rPr>
                <w:rStyle w:val="Hyperlink"/>
                <w:noProof/>
              </w:rPr>
              <w:t>9.5</w:t>
            </w:r>
            <w:r w:rsidR="00DB3C08">
              <w:rPr>
                <w:rFonts w:asciiTheme="minorHAnsi" w:eastAsiaTheme="minorEastAsia" w:hAnsiTheme="minorHAnsi"/>
                <w:noProof/>
                <w:kern w:val="2"/>
                <w:sz w:val="22"/>
                <w:lang w:eastAsia="en-AU"/>
                <w14:ligatures w14:val="standardContextual"/>
              </w:rPr>
              <w:tab/>
            </w:r>
            <w:r w:rsidR="00DB3C08" w:rsidRPr="006F1E85">
              <w:rPr>
                <w:rStyle w:val="Hyperlink"/>
                <w:noProof/>
              </w:rPr>
              <w:t>Reference material and contacts</w:t>
            </w:r>
            <w:r w:rsidR="00DB3C08">
              <w:rPr>
                <w:noProof/>
                <w:webHidden/>
              </w:rPr>
              <w:tab/>
            </w:r>
            <w:r w:rsidR="00DB3C08">
              <w:rPr>
                <w:noProof/>
                <w:webHidden/>
              </w:rPr>
              <w:fldChar w:fldCharType="begin"/>
            </w:r>
            <w:r w:rsidR="00DB3C08">
              <w:rPr>
                <w:noProof/>
                <w:webHidden/>
              </w:rPr>
              <w:instrText xml:space="preserve"> PAGEREF _Toc171520282 \h </w:instrText>
            </w:r>
            <w:r w:rsidR="00DB3C08">
              <w:rPr>
                <w:noProof/>
                <w:webHidden/>
              </w:rPr>
            </w:r>
            <w:r w:rsidR="00DB3C08">
              <w:rPr>
                <w:noProof/>
                <w:webHidden/>
              </w:rPr>
              <w:fldChar w:fldCharType="separate"/>
            </w:r>
            <w:r w:rsidR="00DB3C08">
              <w:rPr>
                <w:noProof/>
                <w:webHidden/>
              </w:rPr>
              <w:t>18</w:t>
            </w:r>
            <w:r w:rsidR="00DB3C08">
              <w:rPr>
                <w:noProof/>
                <w:webHidden/>
              </w:rPr>
              <w:fldChar w:fldCharType="end"/>
            </w:r>
          </w:hyperlink>
        </w:p>
        <w:p w14:paraId="30457524" w14:textId="66CBAFA0" w:rsidR="00DB3C08" w:rsidRDefault="00C261F7">
          <w:pPr>
            <w:pStyle w:val="TOC1"/>
            <w:tabs>
              <w:tab w:val="right" w:leader="dot" w:pos="9016"/>
            </w:tabs>
            <w:rPr>
              <w:rFonts w:asciiTheme="minorHAnsi" w:eastAsiaTheme="minorEastAsia" w:hAnsiTheme="minorHAnsi"/>
              <w:noProof/>
              <w:kern w:val="2"/>
              <w:sz w:val="22"/>
              <w:lang w:eastAsia="en-AU"/>
              <w14:ligatures w14:val="standardContextual"/>
            </w:rPr>
          </w:pPr>
          <w:hyperlink w:anchor="_Toc171520283" w:history="1">
            <w:r w:rsidR="00DB3C08" w:rsidRPr="006F1E85">
              <w:rPr>
                <w:rStyle w:val="Hyperlink"/>
                <w:noProof/>
              </w:rPr>
              <w:t>10 Publishing to the open data portal</w:t>
            </w:r>
            <w:r w:rsidR="00DB3C08">
              <w:rPr>
                <w:noProof/>
                <w:webHidden/>
              </w:rPr>
              <w:tab/>
            </w:r>
            <w:r w:rsidR="00DB3C08">
              <w:rPr>
                <w:noProof/>
                <w:webHidden/>
              </w:rPr>
              <w:fldChar w:fldCharType="begin"/>
            </w:r>
            <w:r w:rsidR="00DB3C08">
              <w:rPr>
                <w:noProof/>
                <w:webHidden/>
              </w:rPr>
              <w:instrText xml:space="preserve"> PAGEREF _Toc171520283 \h </w:instrText>
            </w:r>
            <w:r w:rsidR="00DB3C08">
              <w:rPr>
                <w:noProof/>
                <w:webHidden/>
              </w:rPr>
            </w:r>
            <w:r w:rsidR="00DB3C08">
              <w:rPr>
                <w:noProof/>
                <w:webHidden/>
              </w:rPr>
              <w:fldChar w:fldCharType="separate"/>
            </w:r>
            <w:r w:rsidR="00DB3C08">
              <w:rPr>
                <w:noProof/>
                <w:webHidden/>
              </w:rPr>
              <w:t>18</w:t>
            </w:r>
            <w:r w:rsidR="00DB3C08">
              <w:rPr>
                <w:noProof/>
                <w:webHidden/>
              </w:rPr>
              <w:fldChar w:fldCharType="end"/>
            </w:r>
          </w:hyperlink>
        </w:p>
        <w:p w14:paraId="5B82C440" w14:textId="73ABA756" w:rsidR="009D42B1" w:rsidRDefault="009D42B1">
          <w:r>
            <w:rPr>
              <w:b/>
              <w:bCs/>
              <w:noProof/>
            </w:rPr>
            <w:fldChar w:fldCharType="end"/>
          </w:r>
        </w:p>
      </w:sdtContent>
    </w:sdt>
    <w:p w14:paraId="10FB03C1" w14:textId="77777777" w:rsidR="009D42B1" w:rsidRDefault="009D42B1">
      <w:pPr>
        <w:spacing w:line="259" w:lineRule="auto"/>
        <w:rPr>
          <w:rFonts w:cs="Arial"/>
          <w:szCs w:val="20"/>
        </w:rPr>
      </w:pPr>
      <w:r>
        <w:rPr>
          <w:rFonts w:cs="Arial"/>
          <w:szCs w:val="20"/>
        </w:rPr>
        <w:br w:type="page"/>
      </w:r>
    </w:p>
    <w:p w14:paraId="019C089C" w14:textId="24C0B035" w:rsidR="009D42B1" w:rsidRPr="00425E75" w:rsidRDefault="009D42B1" w:rsidP="009D42B1">
      <w:pPr>
        <w:pStyle w:val="Heading1"/>
      </w:pPr>
      <w:bookmarkStart w:id="0" w:name="_Toc81401366"/>
      <w:bookmarkStart w:id="1" w:name="_Toc171520255"/>
      <w:r>
        <w:lastRenderedPageBreak/>
        <w:t xml:space="preserve">1 </w:t>
      </w:r>
      <w:r w:rsidRPr="00425E75">
        <w:t>T</w:t>
      </w:r>
      <w:bookmarkStart w:id="2" w:name="_Toc529190113"/>
      <w:bookmarkStart w:id="3" w:name="_Toc530988451"/>
      <w:bookmarkStart w:id="4" w:name="_Toc534804852"/>
      <w:bookmarkStart w:id="5" w:name="_Toc534805066"/>
      <w:bookmarkStart w:id="6" w:name="_Toc536192867"/>
      <w:bookmarkStart w:id="7" w:name="_Toc536622965"/>
      <w:bookmarkStart w:id="8" w:name="_Toc536623330"/>
      <w:bookmarkStart w:id="9" w:name="_Toc359235"/>
      <w:bookmarkStart w:id="10" w:name="_Toc360246"/>
      <w:bookmarkStart w:id="11" w:name="_Toc360348"/>
      <w:bookmarkStart w:id="12" w:name="_Toc1463269"/>
      <w:r w:rsidRPr="00425E75">
        <w:t>erms and definitions</w:t>
      </w:r>
      <w:bookmarkEnd w:id="0"/>
      <w:bookmarkEnd w:id="2"/>
      <w:bookmarkEnd w:id="3"/>
      <w:bookmarkEnd w:id="4"/>
      <w:bookmarkEnd w:id="5"/>
      <w:bookmarkEnd w:id="6"/>
      <w:bookmarkEnd w:id="7"/>
      <w:bookmarkEnd w:id="8"/>
      <w:bookmarkEnd w:id="9"/>
      <w:bookmarkEnd w:id="10"/>
      <w:bookmarkEnd w:id="11"/>
      <w:bookmarkEnd w:id="12"/>
      <w:bookmarkEnd w:id="1"/>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1784"/>
        <w:gridCol w:w="7232"/>
      </w:tblGrid>
      <w:tr w:rsidR="009D42B1" w:rsidRPr="007A4016" w14:paraId="0C777E63" w14:textId="77777777" w:rsidTr="009D42B1">
        <w:tc>
          <w:tcPr>
            <w:tcW w:w="989" w:type="pct"/>
            <w:tcBorders>
              <w:top w:val="single" w:sz="4" w:space="0" w:color="A70240"/>
              <w:left w:val="single" w:sz="4" w:space="0" w:color="A70240"/>
              <w:bottom w:val="single" w:sz="4" w:space="0" w:color="A70240"/>
              <w:right w:val="single" w:sz="4" w:space="0" w:color="A70240"/>
            </w:tcBorders>
            <w:shd w:val="clear" w:color="auto" w:fill="8B153D" w:themeFill="accent1"/>
            <w:vAlign w:val="center"/>
          </w:tcPr>
          <w:p w14:paraId="5A0309B5" w14:textId="77777777" w:rsidR="009D42B1" w:rsidRPr="009D42B1" w:rsidRDefault="009D42B1" w:rsidP="00BF4FBA">
            <w:pPr>
              <w:spacing w:before="60"/>
              <w:rPr>
                <w:b/>
                <w:color w:val="FFFFFF" w:themeColor="background1"/>
                <w:szCs w:val="20"/>
                <w:lang w:val="en-GB"/>
              </w:rPr>
            </w:pPr>
            <w:r w:rsidRPr="009D42B1">
              <w:rPr>
                <w:b/>
                <w:color w:val="FFFFFF" w:themeColor="background1"/>
                <w:szCs w:val="20"/>
                <w:lang w:val="en-GB"/>
              </w:rPr>
              <w:t>Abbreviations</w:t>
            </w:r>
          </w:p>
        </w:tc>
        <w:tc>
          <w:tcPr>
            <w:tcW w:w="4011" w:type="pct"/>
            <w:tcBorders>
              <w:top w:val="single" w:sz="4" w:space="0" w:color="A70240"/>
              <w:left w:val="single" w:sz="4" w:space="0" w:color="A70240"/>
              <w:bottom w:val="single" w:sz="4" w:space="0" w:color="A70240"/>
              <w:right w:val="single" w:sz="4" w:space="0" w:color="A70240"/>
            </w:tcBorders>
            <w:shd w:val="clear" w:color="auto" w:fill="8B153D" w:themeFill="accent1"/>
            <w:vAlign w:val="center"/>
          </w:tcPr>
          <w:p w14:paraId="41985812" w14:textId="77777777" w:rsidR="009D42B1" w:rsidRPr="009D42B1" w:rsidRDefault="009D42B1" w:rsidP="00BF4FBA">
            <w:pPr>
              <w:spacing w:before="60"/>
              <w:rPr>
                <w:b/>
                <w:color w:val="FFFFFF" w:themeColor="background1"/>
                <w:szCs w:val="20"/>
                <w:lang w:val="en-GB"/>
              </w:rPr>
            </w:pPr>
            <w:r w:rsidRPr="009D42B1">
              <w:rPr>
                <w:b/>
                <w:color w:val="FFFFFF" w:themeColor="background1"/>
                <w:szCs w:val="20"/>
                <w:lang w:val="en-GB"/>
              </w:rPr>
              <w:t>Descriptions</w:t>
            </w:r>
          </w:p>
        </w:tc>
      </w:tr>
      <w:tr w:rsidR="009D42B1" w:rsidRPr="009D224C" w14:paraId="14088947" w14:textId="77777777" w:rsidTr="009D42B1">
        <w:tc>
          <w:tcPr>
            <w:tcW w:w="989" w:type="pct"/>
            <w:tcBorders>
              <w:top w:val="single" w:sz="4" w:space="0" w:color="A7024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5F385941" w14:textId="77777777" w:rsidR="009D42B1" w:rsidRPr="009D42B1" w:rsidRDefault="009D42B1" w:rsidP="00BF4FBA">
            <w:pPr>
              <w:rPr>
                <w:color w:val="FFFFFF" w:themeColor="background1"/>
                <w:szCs w:val="20"/>
              </w:rPr>
            </w:pPr>
            <w:r w:rsidRPr="009D42B1">
              <w:rPr>
                <w:color w:val="FFFFFF" w:themeColor="background1"/>
                <w:szCs w:val="20"/>
              </w:rPr>
              <w:t>Agency/Agencies</w:t>
            </w:r>
          </w:p>
        </w:tc>
        <w:tc>
          <w:tcPr>
            <w:tcW w:w="4011" w:type="pct"/>
            <w:tcBorders>
              <w:top w:val="single" w:sz="4" w:space="0" w:color="A70240"/>
              <w:left w:val="single" w:sz="4" w:space="0" w:color="C0C0C0"/>
              <w:bottom w:val="single" w:sz="4" w:space="0" w:color="C0C0C0"/>
              <w:tl2br w:val="nil"/>
              <w:tr2bl w:val="nil"/>
            </w:tcBorders>
            <w:shd w:val="clear" w:color="auto" w:fill="auto"/>
            <w:vAlign w:val="center"/>
          </w:tcPr>
          <w:p w14:paraId="0FC502C9" w14:textId="77777777" w:rsidR="009D42B1" w:rsidRPr="009D42B1" w:rsidRDefault="009D42B1" w:rsidP="00BF4FBA">
            <w:pPr>
              <w:spacing w:before="20" w:after="20" w:line="240" w:lineRule="auto"/>
              <w:rPr>
                <w:szCs w:val="20"/>
              </w:rPr>
            </w:pPr>
            <w:proofErr w:type="gramStart"/>
            <w:r w:rsidRPr="009D42B1">
              <w:rPr>
                <w:szCs w:val="20"/>
              </w:rPr>
              <w:t>For the purpose of</w:t>
            </w:r>
            <w:proofErr w:type="gramEnd"/>
            <w:r w:rsidRPr="009D42B1">
              <w:rPr>
                <w:szCs w:val="20"/>
              </w:rPr>
              <w:t xml:space="preserve"> this guide means budget sector agencies, departments, large statutory bodies and special purpose vehicles</w:t>
            </w:r>
          </w:p>
        </w:tc>
      </w:tr>
      <w:tr w:rsidR="009D42B1" w:rsidRPr="009F2F60" w14:paraId="0631EE85" w14:textId="77777777" w:rsidTr="009D42B1">
        <w:tc>
          <w:tcPr>
            <w:tcW w:w="989" w:type="pct"/>
            <w:tcBorders>
              <w:top w:val="single" w:sz="4" w:space="0" w:color="C0C0C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26871B5F" w14:textId="77777777" w:rsidR="009D42B1" w:rsidRPr="009D42B1" w:rsidRDefault="009D42B1" w:rsidP="00BF4FBA">
            <w:pPr>
              <w:rPr>
                <w:color w:val="FFFFFF" w:themeColor="background1"/>
                <w:szCs w:val="20"/>
              </w:rPr>
            </w:pPr>
            <w:r w:rsidRPr="009D42B1">
              <w:rPr>
                <w:color w:val="FFFFFF" w:themeColor="background1"/>
                <w:szCs w:val="20"/>
              </w:rPr>
              <w:t>Construction Services</w:t>
            </w:r>
          </w:p>
        </w:tc>
        <w:tc>
          <w:tcPr>
            <w:tcW w:w="4011" w:type="pct"/>
            <w:tcBorders>
              <w:top w:val="single" w:sz="4" w:space="0" w:color="C0C0C0"/>
              <w:left w:val="single" w:sz="4" w:space="0" w:color="C0C0C0"/>
              <w:bottom w:val="single" w:sz="4" w:space="0" w:color="C0C0C0"/>
              <w:right w:val="single" w:sz="4" w:space="0" w:color="C0C0C0"/>
              <w:tl2br w:val="nil"/>
              <w:tr2bl w:val="nil"/>
            </w:tcBorders>
            <w:shd w:val="clear" w:color="auto" w:fill="F2F2F2" w:themeFill="background1" w:themeFillShade="F2"/>
            <w:vAlign w:val="center"/>
          </w:tcPr>
          <w:p w14:paraId="2831D64B" w14:textId="77777777" w:rsidR="009D42B1" w:rsidRPr="009D42B1" w:rsidRDefault="009D42B1" w:rsidP="00BF4FBA">
            <w:pPr>
              <w:rPr>
                <w:rFonts w:cs="Arial"/>
                <w:color w:val="FF0000"/>
                <w:szCs w:val="20"/>
              </w:rPr>
            </w:pPr>
            <w:r w:rsidRPr="009D42B1">
              <w:rPr>
                <w:rFonts w:cs="Arial"/>
                <w:szCs w:val="20"/>
              </w:rPr>
              <w:t xml:space="preserve">The definition of ‘construction services’ for the purposes of contract disclosure is aligned to the </w:t>
            </w:r>
            <w:hyperlink r:id="rId14" w:history="1">
              <w:r w:rsidRPr="009D42B1">
                <w:rPr>
                  <w:rStyle w:val="Hyperlink"/>
                  <w:rFonts w:cs="Arial"/>
                  <w:szCs w:val="20"/>
                </w:rPr>
                <w:t>Commonwealth Procurement Rules</w:t>
              </w:r>
            </w:hyperlink>
            <w:r w:rsidRPr="009D42B1">
              <w:rPr>
                <w:rFonts w:cs="Arial"/>
                <w:color w:val="FF0000"/>
                <w:szCs w:val="20"/>
              </w:rPr>
              <w:t xml:space="preserve"> </w:t>
            </w:r>
            <w:r w:rsidRPr="009D42B1">
              <w:rPr>
                <w:rFonts w:cs="Arial"/>
                <w:szCs w:val="20"/>
              </w:rPr>
              <w:t xml:space="preserve">(Section 9.7) </w:t>
            </w:r>
          </w:p>
          <w:p w14:paraId="1AF6B95D" w14:textId="77777777" w:rsidR="009D42B1" w:rsidRPr="009D42B1" w:rsidRDefault="009D42B1" w:rsidP="00BF4FBA">
            <w:pPr>
              <w:rPr>
                <w:szCs w:val="20"/>
              </w:rPr>
            </w:pPr>
            <w:r w:rsidRPr="009D42B1">
              <w:rPr>
                <w:rFonts w:cs="Arial"/>
                <w:szCs w:val="20"/>
              </w:rPr>
              <w:t xml:space="preserve">Construction services – procurements related to the construction of buildings and procurements of works as defined by the </w:t>
            </w:r>
            <w:hyperlink r:id="rId15" w:history="1">
              <w:r w:rsidRPr="009D42B1">
                <w:rPr>
                  <w:rStyle w:val="Hyperlink"/>
                  <w:rFonts w:cs="Arial"/>
                  <w:i/>
                  <w:iCs/>
                  <w:color w:val="000099"/>
                  <w:szCs w:val="20"/>
                </w:rPr>
                <w:t>Public Works Committee Act 1969</w:t>
              </w:r>
            </w:hyperlink>
            <w:r w:rsidRPr="009D42B1">
              <w:rPr>
                <w:rFonts w:cs="Arial"/>
                <w:color w:val="000099"/>
                <w:szCs w:val="20"/>
              </w:rPr>
              <w:t xml:space="preserve"> </w:t>
            </w:r>
            <w:r w:rsidRPr="009D42B1">
              <w:rPr>
                <w:rFonts w:cs="Arial"/>
                <w:szCs w:val="20"/>
              </w:rPr>
              <w:t>(</w:t>
            </w:r>
            <w:proofErr w:type="spellStart"/>
            <w:r w:rsidRPr="009D42B1">
              <w:rPr>
                <w:rFonts w:cs="Arial"/>
                <w:szCs w:val="20"/>
              </w:rPr>
              <w:t>Cth</w:t>
            </w:r>
            <w:proofErr w:type="spellEnd"/>
            <w:r w:rsidRPr="009D42B1">
              <w:rPr>
                <w:rFonts w:cs="Arial"/>
                <w:szCs w:val="20"/>
              </w:rPr>
              <w:t xml:space="preserve">) </w:t>
            </w:r>
            <w:r w:rsidRPr="009D42B1">
              <w:rPr>
                <w:szCs w:val="20"/>
              </w:rPr>
              <w:t xml:space="preserve">and </w:t>
            </w:r>
            <w:hyperlink r:id="rId16" w:history="1">
              <w:r w:rsidRPr="009D42B1">
                <w:rPr>
                  <w:rStyle w:val="Hyperlink"/>
                  <w:i/>
                  <w:iCs/>
                  <w:szCs w:val="20"/>
                </w:rPr>
                <w:t>State Development and Public Works Organisation Act 1971</w:t>
              </w:r>
            </w:hyperlink>
            <w:r w:rsidRPr="009D42B1">
              <w:rPr>
                <w:szCs w:val="20"/>
              </w:rPr>
              <w:t xml:space="preserve"> (Qld)</w:t>
            </w:r>
            <w:r w:rsidRPr="009D42B1">
              <w:rPr>
                <w:rFonts w:cs="Arial"/>
                <w:color w:val="FF0000"/>
                <w:szCs w:val="20"/>
              </w:rPr>
              <w:t>.</w:t>
            </w:r>
          </w:p>
        </w:tc>
      </w:tr>
      <w:tr w:rsidR="009D42B1" w:rsidRPr="009D224C" w14:paraId="1CDCD922" w14:textId="77777777" w:rsidTr="009D42B1">
        <w:tc>
          <w:tcPr>
            <w:tcW w:w="989" w:type="pct"/>
            <w:tcBorders>
              <w:top w:val="single" w:sz="4" w:space="0" w:color="C0C0C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44980D9A" w14:textId="77777777" w:rsidR="009D42B1" w:rsidRPr="009D42B1" w:rsidRDefault="009D42B1" w:rsidP="00BF4FBA">
            <w:pPr>
              <w:rPr>
                <w:color w:val="FFFFFF" w:themeColor="background1"/>
                <w:szCs w:val="20"/>
              </w:rPr>
            </w:pPr>
            <w:r w:rsidRPr="009D42B1">
              <w:rPr>
                <w:color w:val="FFFFFF" w:themeColor="background1"/>
                <w:szCs w:val="20"/>
              </w:rPr>
              <w:t>CPTPP</w:t>
            </w:r>
          </w:p>
        </w:tc>
        <w:tc>
          <w:tcPr>
            <w:tcW w:w="4011" w:type="pct"/>
            <w:tcBorders>
              <w:top w:val="single" w:sz="4" w:space="0" w:color="C0C0C0"/>
              <w:left w:val="single" w:sz="4" w:space="0" w:color="C0C0C0"/>
              <w:bottom w:val="single" w:sz="4" w:space="0" w:color="C0C0C0"/>
              <w:right w:val="single" w:sz="4" w:space="0" w:color="C0C0C0"/>
              <w:tl2br w:val="nil"/>
              <w:tr2bl w:val="nil"/>
            </w:tcBorders>
            <w:shd w:val="clear" w:color="auto" w:fill="auto"/>
            <w:vAlign w:val="center"/>
          </w:tcPr>
          <w:p w14:paraId="184EAA02" w14:textId="77777777" w:rsidR="009D42B1" w:rsidRPr="009D42B1" w:rsidRDefault="00C261F7" w:rsidP="00BF4FBA">
            <w:pPr>
              <w:rPr>
                <w:szCs w:val="20"/>
              </w:rPr>
            </w:pPr>
            <w:hyperlink r:id="rId17" w:history="1">
              <w:r w:rsidR="009D42B1" w:rsidRPr="009D42B1">
                <w:rPr>
                  <w:rStyle w:val="Hyperlink"/>
                  <w:szCs w:val="20"/>
                </w:rPr>
                <w:t>Comprehensive and Progressive Agreement for Trans-Pacific Partnership</w:t>
              </w:r>
            </w:hyperlink>
          </w:p>
        </w:tc>
      </w:tr>
      <w:tr w:rsidR="009D42B1" w:rsidRPr="009D224C" w14:paraId="504984A9" w14:textId="77777777" w:rsidTr="009D42B1">
        <w:tc>
          <w:tcPr>
            <w:tcW w:w="989" w:type="pct"/>
            <w:tcBorders>
              <w:top w:val="single" w:sz="4" w:space="0" w:color="C0C0C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5F82AEFD" w14:textId="77777777" w:rsidR="009D42B1" w:rsidRPr="009D42B1" w:rsidRDefault="009D42B1" w:rsidP="00BF4FBA">
            <w:pPr>
              <w:rPr>
                <w:color w:val="FFFFFF" w:themeColor="background1"/>
                <w:szCs w:val="20"/>
              </w:rPr>
            </w:pPr>
            <w:r w:rsidRPr="009D42B1">
              <w:rPr>
                <w:color w:val="FFFFFF" w:themeColor="background1"/>
                <w:szCs w:val="20"/>
              </w:rPr>
              <w:t>CSV</w:t>
            </w:r>
          </w:p>
        </w:tc>
        <w:tc>
          <w:tcPr>
            <w:tcW w:w="4011" w:type="pct"/>
            <w:tcBorders>
              <w:top w:val="single" w:sz="4" w:space="0" w:color="C0C0C0"/>
              <w:left w:val="single" w:sz="4" w:space="0" w:color="C0C0C0"/>
              <w:bottom w:val="single" w:sz="4" w:space="0" w:color="C0C0C0"/>
              <w:tl2br w:val="nil"/>
              <w:tr2bl w:val="nil"/>
            </w:tcBorders>
            <w:shd w:val="clear" w:color="auto" w:fill="F2F2F2" w:themeFill="background1" w:themeFillShade="F2"/>
            <w:vAlign w:val="center"/>
          </w:tcPr>
          <w:p w14:paraId="337FFE3F" w14:textId="77777777" w:rsidR="009D42B1" w:rsidRPr="009D42B1" w:rsidRDefault="009D42B1" w:rsidP="00BF4FBA">
            <w:pPr>
              <w:spacing w:before="20" w:after="20" w:line="240" w:lineRule="auto"/>
              <w:rPr>
                <w:szCs w:val="20"/>
              </w:rPr>
            </w:pPr>
            <w:r w:rsidRPr="009D42B1">
              <w:rPr>
                <w:szCs w:val="20"/>
              </w:rPr>
              <w:t>Comma Separated Value. A plain text format data file using commas (,) as separator. This is the required file format for affected entities to upload their data to open data portal</w:t>
            </w:r>
          </w:p>
        </w:tc>
      </w:tr>
      <w:tr w:rsidR="009D42B1" w:rsidRPr="009D224C" w14:paraId="4EFDEE96" w14:textId="77777777" w:rsidTr="009D42B1">
        <w:tc>
          <w:tcPr>
            <w:tcW w:w="989" w:type="pct"/>
            <w:tcBorders>
              <w:top w:val="single" w:sz="4" w:space="0" w:color="C0C0C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2F733611" w14:textId="77777777" w:rsidR="009D42B1" w:rsidRPr="009D42B1" w:rsidRDefault="009D42B1" w:rsidP="00BF4FBA">
            <w:pPr>
              <w:rPr>
                <w:color w:val="FFFFFF" w:themeColor="background1"/>
                <w:szCs w:val="20"/>
              </w:rPr>
            </w:pPr>
            <w:r w:rsidRPr="009D42B1">
              <w:rPr>
                <w:color w:val="FFFFFF" w:themeColor="background1"/>
                <w:szCs w:val="20"/>
              </w:rPr>
              <w:t>FTA</w:t>
            </w:r>
          </w:p>
        </w:tc>
        <w:tc>
          <w:tcPr>
            <w:tcW w:w="4011" w:type="pct"/>
            <w:tcBorders>
              <w:top w:val="single" w:sz="4" w:space="0" w:color="C0C0C0"/>
              <w:left w:val="single" w:sz="4" w:space="0" w:color="C0C0C0"/>
              <w:bottom w:val="single" w:sz="4" w:space="0" w:color="C0C0C0"/>
              <w:right w:val="single" w:sz="4" w:space="0" w:color="C0C0C0"/>
              <w:tl2br w:val="nil"/>
              <w:tr2bl w:val="nil"/>
            </w:tcBorders>
            <w:shd w:val="clear" w:color="auto" w:fill="auto"/>
            <w:vAlign w:val="center"/>
          </w:tcPr>
          <w:p w14:paraId="71EDE883" w14:textId="77777777" w:rsidR="009D42B1" w:rsidRPr="009D42B1" w:rsidRDefault="009D42B1" w:rsidP="00BF4FBA">
            <w:pPr>
              <w:rPr>
                <w:szCs w:val="20"/>
              </w:rPr>
            </w:pPr>
            <w:r w:rsidRPr="009D42B1">
              <w:rPr>
                <w:szCs w:val="20"/>
              </w:rPr>
              <w:t xml:space="preserve">Free-Trade Agreements are international treaties between Australia and one or multiple economies with the objective to reduce and eliminate barriers to international trade and investment. </w:t>
            </w:r>
          </w:p>
        </w:tc>
      </w:tr>
      <w:tr w:rsidR="009D42B1" w:rsidRPr="009D224C" w14:paraId="3774DB95" w14:textId="77777777" w:rsidTr="009D42B1">
        <w:tc>
          <w:tcPr>
            <w:tcW w:w="989" w:type="pct"/>
            <w:tcBorders>
              <w:top w:val="single" w:sz="4" w:space="0" w:color="C0C0C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7EB6DA36" w14:textId="77777777" w:rsidR="009D42B1" w:rsidRPr="009D42B1" w:rsidRDefault="009D42B1" w:rsidP="00BF4FBA">
            <w:pPr>
              <w:rPr>
                <w:color w:val="FFFFFF" w:themeColor="background1"/>
                <w:szCs w:val="20"/>
              </w:rPr>
            </w:pPr>
            <w:r w:rsidRPr="009D42B1">
              <w:rPr>
                <w:color w:val="FFFFFF" w:themeColor="background1"/>
                <w:szCs w:val="20"/>
              </w:rPr>
              <w:t>ICT</w:t>
            </w:r>
          </w:p>
        </w:tc>
        <w:tc>
          <w:tcPr>
            <w:tcW w:w="4011" w:type="pct"/>
            <w:tcBorders>
              <w:top w:val="single" w:sz="4" w:space="0" w:color="C0C0C0"/>
              <w:left w:val="single" w:sz="4" w:space="0" w:color="C0C0C0"/>
              <w:bottom w:val="single" w:sz="4" w:space="0" w:color="C0C0C0"/>
              <w:tl2br w:val="nil"/>
              <w:tr2bl w:val="nil"/>
            </w:tcBorders>
            <w:shd w:val="clear" w:color="auto" w:fill="F2F2F2" w:themeFill="background1" w:themeFillShade="F2"/>
            <w:vAlign w:val="center"/>
          </w:tcPr>
          <w:p w14:paraId="47DE5522" w14:textId="77777777" w:rsidR="009D42B1" w:rsidRPr="009D42B1" w:rsidRDefault="009D42B1" w:rsidP="00BF4FBA">
            <w:pPr>
              <w:spacing w:before="20" w:after="20" w:line="240" w:lineRule="auto"/>
              <w:rPr>
                <w:szCs w:val="20"/>
              </w:rPr>
            </w:pPr>
            <w:r w:rsidRPr="009D42B1">
              <w:rPr>
                <w:szCs w:val="20"/>
              </w:rPr>
              <w:t>Information and Communications Technology</w:t>
            </w:r>
          </w:p>
        </w:tc>
      </w:tr>
      <w:tr w:rsidR="009D42B1" w:rsidRPr="009D224C" w14:paraId="7F39BA43" w14:textId="77777777" w:rsidTr="009D42B1">
        <w:tc>
          <w:tcPr>
            <w:tcW w:w="989" w:type="pct"/>
            <w:tcBorders>
              <w:top w:val="single" w:sz="4" w:space="0" w:color="C0C0C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1918C1FE" w14:textId="77777777" w:rsidR="009D42B1" w:rsidRPr="009D42B1" w:rsidRDefault="009D42B1" w:rsidP="00BF4FBA">
            <w:pPr>
              <w:rPr>
                <w:color w:val="FFFFFF" w:themeColor="background1"/>
                <w:szCs w:val="20"/>
              </w:rPr>
            </w:pPr>
            <w:r w:rsidRPr="009D42B1">
              <w:rPr>
                <w:color w:val="FFFFFF" w:themeColor="background1"/>
                <w:szCs w:val="20"/>
              </w:rPr>
              <w:t>KDS</w:t>
            </w:r>
          </w:p>
        </w:tc>
        <w:tc>
          <w:tcPr>
            <w:tcW w:w="4011" w:type="pct"/>
            <w:tcBorders>
              <w:top w:val="single" w:sz="4" w:space="0" w:color="C0C0C0"/>
              <w:left w:val="single" w:sz="4" w:space="0" w:color="C0C0C0"/>
              <w:bottom w:val="single" w:sz="4" w:space="0" w:color="C0C0C0"/>
              <w:tl2br w:val="nil"/>
              <w:tr2bl w:val="nil"/>
            </w:tcBorders>
            <w:shd w:val="clear" w:color="auto" w:fill="auto"/>
            <w:vAlign w:val="center"/>
          </w:tcPr>
          <w:p w14:paraId="65D6DF19" w14:textId="77777777" w:rsidR="009D42B1" w:rsidRPr="009D42B1" w:rsidRDefault="009D42B1" w:rsidP="00BF4FBA">
            <w:pPr>
              <w:spacing w:before="20" w:after="20" w:line="240" w:lineRule="auto"/>
              <w:rPr>
                <w:szCs w:val="20"/>
              </w:rPr>
            </w:pPr>
            <w:r w:rsidRPr="009D42B1">
              <w:rPr>
                <w:szCs w:val="20"/>
              </w:rPr>
              <w:t xml:space="preserve">Key Data Set </w:t>
            </w:r>
          </w:p>
        </w:tc>
      </w:tr>
      <w:tr w:rsidR="009D42B1" w:rsidRPr="009D224C" w14:paraId="67AEC7CC" w14:textId="77777777" w:rsidTr="009D42B1">
        <w:tc>
          <w:tcPr>
            <w:tcW w:w="989" w:type="pct"/>
            <w:tcBorders>
              <w:top w:val="single" w:sz="4" w:space="0" w:color="C0C0C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64ABAA07" w14:textId="77777777" w:rsidR="009D42B1" w:rsidRPr="009D42B1" w:rsidRDefault="009D42B1" w:rsidP="00BF4FBA">
            <w:pPr>
              <w:rPr>
                <w:color w:val="FFFFFF" w:themeColor="background1"/>
                <w:szCs w:val="20"/>
              </w:rPr>
            </w:pPr>
            <w:r w:rsidRPr="009D42B1">
              <w:rPr>
                <w:color w:val="FFFFFF" w:themeColor="background1"/>
                <w:szCs w:val="20"/>
              </w:rPr>
              <w:t>Limited</w:t>
            </w:r>
          </w:p>
        </w:tc>
        <w:tc>
          <w:tcPr>
            <w:tcW w:w="4011" w:type="pct"/>
            <w:tcBorders>
              <w:top w:val="single" w:sz="4" w:space="0" w:color="C0C0C0"/>
              <w:left w:val="single" w:sz="4" w:space="0" w:color="C0C0C0"/>
              <w:bottom w:val="single" w:sz="4" w:space="0" w:color="C0C0C0"/>
              <w:right w:val="single" w:sz="4" w:space="0" w:color="C0C0C0"/>
              <w:tl2br w:val="nil"/>
              <w:tr2bl w:val="nil"/>
            </w:tcBorders>
            <w:shd w:val="clear" w:color="auto" w:fill="F2F2F2" w:themeFill="background1" w:themeFillShade="F2"/>
            <w:vAlign w:val="center"/>
          </w:tcPr>
          <w:p w14:paraId="28A6BAF7" w14:textId="77777777" w:rsidR="009D42B1" w:rsidRPr="009D42B1" w:rsidRDefault="009D42B1" w:rsidP="00BF4FBA">
            <w:pPr>
              <w:spacing w:before="120"/>
              <w:rPr>
                <w:b/>
                <w:szCs w:val="20"/>
              </w:rPr>
            </w:pPr>
            <w:r w:rsidRPr="009D42B1">
              <w:rPr>
                <w:bCs/>
                <w:szCs w:val="20"/>
              </w:rPr>
              <w:t xml:space="preserve">This is a procurement method where the agency invites a supplier/s of its choice to offer. </w:t>
            </w:r>
          </w:p>
          <w:p w14:paraId="1F5F6934" w14:textId="77777777" w:rsidR="009D42B1" w:rsidRPr="009D42B1" w:rsidRDefault="009D42B1" w:rsidP="00BF4FBA">
            <w:pPr>
              <w:spacing w:before="120"/>
              <w:rPr>
                <w:b/>
                <w:szCs w:val="20"/>
              </w:rPr>
            </w:pPr>
            <w:r w:rsidRPr="009D42B1">
              <w:rPr>
                <w:rFonts w:cs="Arial"/>
                <w:szCs w:val="20"/>
                <w:shd w:val="clear" w:color="auto" w:fill="FFFFFF"/>
              </w:rPr>
              <w:t xml:space="preserve">Limited tenders usually only occur in very specific circumstances, such as under states of emergency or if goods and services can only genuinely be provided by one supplier (e.g. where a supplier holds exclusive rights/patents for an essential good). </w:t>
            </w:r>
            <w:r w:rsidRPr="009D42B1">
              <w:rPr>
                <w:bCs/>
                <w:szCs w:val="20"/>
              </w:rPr>
              <w:t>Other terms sometimes used to refer to a ‘limited offer method’ include sole supply, sole source, single sourcing, and direct supply.</w:t>
            </w:r>
            <w:r w:rsidRPr="009D42B1">
              <w:rPr>
                <w:b/>
                <w:szCs w:val="20"/>
              </w:rPr>
              <w:t xml:space="preserve"> </w:t>
            </w:r>
          </w:p>
          <w:p w14:paraId="2A53B0B5" w14:textId="77777777" w:rsidR="009D42B1" w:rsidRPr="009D42B1" w:rsidRDefault="009D42B1" w:rsidP="00BF4FBA">
            <w:pPr>
              <w:spacing w:before="120"/>
              <w:rPr>
                <w:bCs/>
                <w:szCs w:val="20"/>
              </w:rPr>
            </w:pPr>
            <w:r w:rsidRPr="009D42B1">
              <w:rPr>
                <w:bCs/>
                <w:szCs w:val="20"/>
              </w:rPr>
              <w:t>For clarity,</w:t>
            </w:r>
            <w:r w:rsidRPr="009D42B1">
              <w:rPr>
                <w:b/>
                <w:szCs w:val="20"/>
              </w:rPr>
              <w:t xml:space="preserve"> </w:t>
            </w:r>
            <w:r w:rsidRPr="009D42B1">
              <w:rPr>
                <w:bCs/>
                <w:szCs w:val="20"/>
              </w:rPr>
              <w:t xml:space="preserve">a ‘limited offer method’ </w:t>
            </w:r>
            <w:r w:rsidRPr="009D42B1">
              <w:rPr>
                <w:bCs/>
                <w:i/>
                <w:iCs/>
                <w:szCs w:val="20"/>
              </w:rPr>
              <w:t>does not necessarily</w:t>
            </w:r>
            <w:r w:rsidRPr="009D42B1">
              <w:rPr>
                <w:bCs/>
                <w:szCs w:val="20"/>
              </w:rPr>
              <w:t xml:space="preserve"> include directly approaching a supplier from an arrangement already established (see Section 1.5 of the</w:t>
            </w:r>
            <w:r w:rsidRPr="009D42B1">
              <w:rPr>
                <w:szCs w:val="20"/>
              </w:rPr>
              <w:t xml:space="preserve"> </w:t>
            </w:r>
            <w:hyperlink r:id="rId18" w:history="1">
              <w:r w:rsidRPr="009D42B1">
                <w:rPr>
                  <w:rStyle w:val="Hyperlink"/>
                  <w:i/>
                  <w:szCs w:val="20"/>
                </w:rPr>
                <w:t>Procurement Guidelines: Contract Disclosure</w:t>
              </w:r>
            </w:hyperlink>
            <w:r w:rsidRPr="009D42B1">
              <w:rPr>
                <w:bCs/>
                <w:szCs w:val="20"/>
              </w:rPr>
              <w:t xml:space="preserve">). </w:t>
            </w:r>
          </w:p>
        </w:tc>
      </w:tr>
      <w:tr w:rsidR="009D42B1" w:rsidRPr="009D224C" w14:paraId="101CD26F" w14:textId="77777777" w:rsidTr="009D42B1">
        <w:tc>
          <w:tcPr>
            <w:tcW w:w="989" w:type="pct"/>
            <w:tcBorders>
              <w:top w:val="single" w:sz="4" w:space="0" w:color="C0C0C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3733D838" w14:textId="77777777" w:rsidR="009D42B1" w:rsidRPr="009D42B1" w:rsidRDefault="009D42B1" w:rsidP="00BF4FBA">
            <w:pPr>
              <w:rPr>
                <w:color w:val="FFFFFF" w:themeColor="background1"/>
                <w:szCs w:val="20"/>
              </w:rPr>
            </w:pPr>
            <w:r w:rsidRPr="009D42B1">
              <w:rPr>
                <w:color w:val="FFFFFF" w:themeColor="background1"/>
                <w:szCs w:val="20"/>
              </w:rPr>
              <w:t>OCDS</w:t>
            </w:r>
          </w:p>
        </w:tc>
        <w:tc>
          <w:tcPr>
            <w:tcW w:w="4011" w:type="pct"/>
            <w:tcBorders>
              <w:top w:val="single" w:sz="4" w:space="0" w:color="C0C0C0"/>
              <w:left w:val="single" w:sz="4" w:space="0" w:color="C0C0C0"/>
              <w:bottom w:val="single" w:sz="4" w:space="0" w:color="C0C0C0"/>
              <w:tl2br w:val="nil"/>
              <w:tr2bl w:val="nil"/>
            </w:tcBorders>
            <w:shd w:val="clear" w:color="auto" w:fill="auto"/>
            <w:vAlign w:val="center"/>
          </w:tcPr>
          <w:p w14:paraId="5AFAA087" w14:textId="77777777" w:rsidR="009D42B1" w:rsidRPr="009D42B1" w:rsidRDefault="009D42B1" w:rsidP="00BF4FBA">
            <w:pPr>
              <w:spacing w:before="20" w:after="100" w:afterAutospacing="1" w:line="240" w:lineRule="auto"/>
              <w:rPr>
                <w:szCs w:val="20"/>
              </w:rPr>
            </w:pPr>
            <w:r w:rsidRPr="009D42B1">
              <w:rPr>
                <w:szCs w:val="20"/>
              </w:rPr>
              <w:t>Open Contracting Data Specifications. The Open Contracting Data Standard (OCDS) enables disclosure of data and documents at all stages of the contracting process by defining a common data model.</w:t>
            </w:r>
            <w:r w:rsidRPr="009D42B1">
              <w:rPr>
                <w:szCs w:val="20"/>
              </w:rPr>
              <w:br/>
            </w:r>
            <w:r w:rsidRPr="009D42B1">
              <w:rPr>
                <w:szCs w:val="20"/>
              </w:rPr>
              <w:br/>
              <w:t>It was created to support organisations to increase contracting transparency and allow deeper analysis of contracting data by a wide range of users.</w:t>
            </w:r>
          </w:p>
          <w:p w14:paraId="5BED401F" w14:textId="77777777" w:rsidR="009D42B1" w:rsidRPr="009D42B1" w:rsidRDefault="009D42B1" w:rsidP="00BF4FBA">
            <w:pPr>
              <w:spacing w:before="20" w:after="20" w:line="240" w:lineRule="auto"/>
              <w:rPr>
                <w:szCs w:val="20"/>
              </w:rPr>
            </w:pPr>
            <w:r w:rsidRPr="009D42B1">
              <w:rPr>
                <w:szCs w:val="20"/>
              </w:rPr>
              <w:t>The Open Contracting Data Standard is a core product of the Open Contracting Partnership (OCP).</w:t>
            </w:r>
          </w:p>
          <w:p w14:paraId="37C1C060" w14:textId="77777777" w:rsidR="009D42B1" w:rsidRPr="009D42B1" w:rsidRDefault="009D42B1" w:rsidP="00BF4FBA">
            <w:pPr>
              <w:spacing w:before="20" w:after="20" w:line="240" w:lineRule="auto"/>
              <w:rPr>
                <w:szCs w:val="20"/>
              </w:rPr>
            </w:pPr>
            <w:r w:rsidRPr="009D42B1">
              <w:rPr>
                <w:szCs w:val="20"/>
              </w:rPr>
              <w:br/>
              <w:t>Version 1.0 of the standard was developed for the OCP by the World Wide Web Foundation, through a project supported by the Omidyar Network and the World Bank. Ongoing development is managed by Open Data Services Co-</w:t>
            </w:r>
            <w:r w:rsidRPr="009D42B1">
              <w:rPr>
                <w:szCs w:val="20"/>
              </w:rPr>
              <w:lastRenderedPageBreak/>
              <w:t>operative under contract to OCP.</w:t>
            </w:r>
            <w:r w:rsidRPr="009D42B1">
              <w:rPr>
                <w:szCs w:val="20"/>
              </w:rPr>
              <w:br/>
            </w:r>
          </w:p>
          <w:p w14:paraId="1EFDF7EC" w14:textId="77777777" w:rsidR="009D42B1" w:rsidRPr="009D42B1" w:rsidRDefault="009D42B1" w:rsidP="00BF4FBA">
            <w:pPr>
              <w:spacing w:before="20" w:after="20"/>
              <w:rPr>
                <w:szCs w:val="20"/>
              </w:rPr>
            </w:pPr>
            <w:r w:rsidRPr="009D42B1">
              <w:rPr>
                <w:szCs w:val="20"/>
              </w:rPr>
              <w:t xml:space="preserve">More information can be found here: </w:t>
            </w:r>
            <w:hyperlink r:id="rId19" w:history="1">
              <w:r w:rsidRPr="009D42B1">
                <w:rPr>
                  <w:rStyle w:val="Hyperlink"/>
                  <w:szCs w:val="20"/>
                </w:rPr>
                <w:t>http://standard.open-contracting.org/latest/en/</w:t>
              </w:r>
            </w:hyperlink>
            <w:r w:rsidRPr="009D42B1">
              <w:rPr>
                <w:szCs w:val="20"/>
              </w:rPr>
              <w:t xml:space="preserve"> </w:t>
            </w:r>
          </w:p>
        </w:tc>
      </w:tr>
      <w:tr w:rsidR="009D42B1" w:rsidRPr="009D224C" w14:paraId="69D85C3B" w14:textId="77777777" w:rsidTr="009D42B1">
        <w:tc>
          <w:tcPr>
            <w:tcW w:w="989" w:type="pct"/>
            <w:tcBorders>
              <w:top w:val="single" w:sz="4" w:space="0" w:color="C0C0C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3CC19A8E" w14:textId="77777777" w:rsidR="009D42B1" w:rsidRPr="009D42B1" w:rsidRDefault="009D42B1" w:rsidP="00BF4FBA">
            <w:pPr>
              <w:rPr>
                <w:color w:val="FFFFFF" w:themeColor="background1"/>
                <w:szCs w:val="20"/>
              </w:rPr>
            </w:pPr>
            <w:r w:rsidRPr="009D42B1">
              <w:rPr>
                <w:color w:val="FFFFFF" w:themeColor="background1"/>
                <w:szCs w:val="20"/>
              </w:rPr>
              <w:lastRenderedPageBreak/>
              <w:t>Open</w:t>
            </w:r>
          </w:p>
        </w:tc>
        <w:tc>
          <w:tcPr>
            <w:tcW w:w="4011" w:type="pct"/>
            <w:tcBorders>
              <w:top w:val="single" w:sz="4" w:space="0" w:color="C0C0C0"/>
              <w:left w:val="single" w:sz="4" w:space="0" w:color="C0C0C0"/>
              <w:bottom w:val="single" w:sz="4" w:space="0" w:color="C0C0C0"/>
              <w:tl2br w:val="nil"/>
              <w:tr2bl w:val="nil"/>
            </w:tcBorders>
            <w:shd w:val="clear" w:color="auto" w:fill="F2F2F2" w:themeFill="background1" w:themeFillShade="F2"/>
            <w:vAlign w:val="center"/>
          </w:tcPr>
          <w:p w14:paraId="6A531632" w14:textId="77777777" w:rsidR="009D42B1" w:rsidRPr="009D42B1" w:rsidRDefault="009D42B1" w:rsidP="00BF4FBA">
            <w:pPr>
              <w:spacing w:before="120"/>
              <w:rPr>
                <w:bCs/>
                <w:szCs w:val="20"/>
              </w:rPr>
            </w:pPr>
            <w:r w:rsidRPr="009D42B1">
              <w:rPr>
                <w:bCs/>
                <w:szCs w:val="20"/>
              </w:rPr>
              <w:t xml:space="preserve">This is a procurement method where all interested suppliers may submit an offer. </w:t>
            </w:r>
          </w:p>
          <w:p w14:paraId="1087697D" w14:textId="77777777" w:rsidR="009D42B1" w:rsidRPr="009D42B1" w:rsidRDefault="009D42B1" w:rsidP="00BF4FBA">
            <w:pPr>
              <w:spacing w:before="120"/>
              <w:rPr>
                <w:bCs/>
                <w:szCs w:val="20"/>
              </w:rPr>
            </w:pPr>
            <w:r w:rsidRPr="009D42B1">
              <w:rPr>
                <w:szCs w:val="20"/>
              </w:rPr>
              <w:t>For example, an open tender is an ‘open offer method’. In addition, common-use supply arrangements as defined in the QPP, including standing offer arrangements and panels, will usually be established via an open tender (where any interested supplier may submit an offer to be on the arrangement/panel).</w:t>
            </w:r>
          </w:p>
          <w:p w14:paraId="35E69469" w14:textId="77777777" w:rsidR="009D42B1" w:rsidRPr="009D42B1" w:rsidRDefault="009D42B1" w:rsidP="00BF4FBA">
            <w:pPr>
              <w:spacing w:before="20" w:after="100" w:afterAutospacing="1" w:line="240" w:lineRule="auto"/>
              <w:rPr>
                <w:szCs w:val="20"/>
              </w:rPr>
            </w:pPr>
          </w:p>
        </w:tc>
      </w:tr>
      <w:tr w:rsidR="009D42B1" w:rsidRPr="009D224C" w14:paraId="4B59439B" w14:textId="77777777" w:rsidTr="009D42B1">
        <w:tc>
          <w:tcPr>
            <w:tcW w:w="989" w:type="pct"/>
            <w:tcBorders>
              <w:top w:val="single" w:sz="4" w:space="0" w:color="C0C0C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2C572657" w14:textId="77777777" w:rsidR="009D42B1" w:rsidRPr="009D42B1" w:rsidRDefault="009D42B1" w:rsidP="00BF4FBA">
            <w:pPr>
              <w:rPr>
                <w:color w:val="FFFFFF" w:themeColor="background1"/>
                <w:szCs w:val="20"/>
              </w:rPr>
            </w:pPr>
            <w:r w:rsidRPr="009D42B1">
              <w:rPr>
                <w:color w:val="FFFFFF" w:themeColor="background1"/>
                <w:szCs w:val="20"/>
              </w:rPr>
              <w:t xml:space="preserve">QGP </w:t>
            </w:r>
          </w:p>
        </w:tc>
        <w:tc>
          <w:tcPr>
            <w:tcW w:w="4011" w:type="pct"/>
            <w:tcBorders>
              <w:top w:val="single" w:sz="4" w:space="0" w:color="C0C0C0"/>
              <w:left w:val="single" w:sz="4" w:space="0" w:color="C0C0C0"/>
              <w:bottom w:val="single" w:sz="4" w:space="0" w:color="C0C0C0"/>
              <w:right w:val="single" w:sz="4" w:space="0" w:color="C0C0C0"/>
              <w:tl2br w:val="nil"/>
              <w:tr2bl w:val="nil"/>
            </w:tcBorders>
            <w:shd w:val="clear" w:color="auto" w:fill="auto"/>
            <w:vAlign w:val="center"/>
          </w:tcPr>
          <w:p w14:paraId="2666A874" w14:textId="77777777" w:rsidR="009D42B1" w:rsidRPr="009D42B1" w:rsidRDefault="009D42B1" w:rsidP="00BF4FBA">
            <w:pPr>
              <w:spacing w:before="20" w:after="100" w:afterAutospacing="1" w:line="240" w:lineRule="auto"/>
              <w:rPr>
                <w:szCs w:val="20"/>
              </w:rPr>
            </w:pPr>
            <w:r w:rsidRPr="009D42B1">
              <w:rPr>
                <w:szCs w:val="20"/>
              </w:rPr>
              <w:t>Queensland Government Procurement</w:t>
            </w:r>
          </w:p>
        </w:tc>
      </w:tr>
      <w:tr w:rsidR="009D42B1" w:rsidRPr="009D224C" w14:paraId="476B167D" w14:textId="77777777" w:rsidTr="009D42B1">
        <w:tc>
          <w:tcPr>
            <w:tcW w:w="989" w:type="pct"/>
            <w:tcBorders>
              <w:top w:val="single" w:sz="4" w:space="0" w:color="C0C0C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3A836681" w14:textId="77777777" w:rsidR="009D42B1" w:rsidRPr="009D42B1" w:rsidRDefault="009D42B1" w:rsidP="00BF4FBA">
            <w:pPr>
              <w:rPr>
                <w:color w:val="FFFFFF" w:themeColor="background1"/>
                <w:szCs w:val="20"/>
              </w:rPr>
            </w:pPr>
            <w:r w:rsidRPr="009D42B1">
              <w:rPr>
                <w:color w:val="FFFFFF" w:themeColor="background1"/>
                <w:szCs w:val="20"/>
              </w:rPr>
              <w:t>QPP</w:t>
            </w:r>
          </w:p>
        </w:tc>
        <w:tc>
          <w:tcPr>
            <w:tcW w:w="4011" w:type="pct"/>
            <w:tcBorders>
              <w:top w:val="single" w:sz="4" w:space="0" w:color="C0C0C0"/>
              <w:left w:val="single" w:sz="4" w:space="0" w:color="C0C0C0"/>
              <w:bottom w:val="single" w:sz="4" w:space="0" w:color="C0C0C0"/>
              <w:right w:val="single" w:sz="4" w:space="0" w:color="C0C0C0"/>
              <w:tl2br w:val="nil"/>
              <w:tr2bl w:val="nil"/>
            </w:tcBorders>
            <w:shd w:val="clear" w:color="auto" w:fill="F2F2F2" w:themeFill="background1" w:themeFillShade="F2"/>
            <w:vAlign w:val="center"/>
          </w:tcPr>
          <w:p w14:paraId="5E002A7E" w14:textId="77777777" w:rsidR="009D42B1" w:rsidRPr="009D42B1" w:rsidRDefault="00C261F7" w:rsidP="00BF4FBA">
            <w:pPr>
              <w:spacing w:before="20" w:after="100" w:afterAutospacing="1" w:line="240" w:lineRule="auto"/>
              <w:rPr>
                <w:szCs w:val="20"/>
              </w:rPr>
            </w:pPr>
            <w:hyperlink r:id="rId20" w:history="1">
              <w:r w:rsidR="009D42B1" w:rsidRPr="009D42B1">
                <w:rPr>
                  <w:rStyle w:val="Hyperlink"/>
                  <w:szCs w:val="20"/>
                </w:rPr>
                <w:t>Queensland Procurement Policy</w:t>
              </w:r>
            </w:hyperlink>
          </w:p>
        </w:tc>
      </w:tr>
      <w:tr w:rsidR="009D42B1" w:rsidRPr="009D224C" w14:paraId="0C6F8821" w14:textId="77777777" w:rsidTr="009D42B1">
        <w:tc>
          <w:tcPr>
            <w:tcW w:w="989" w:type="pct"/>
            <w:tcBorders>
              <w:top w:val="single" w:sz="4" w:space="0" w:color="C0C0C0"/>
              <w:left w:val="single" w:sz="4" w:space="0" w:color="C0C0C0"/>
              <w:bottom w:val="single" w:sz="4" w:space="0" w:color="C0C0C0"/>
              <w:right w:val="single" w:sz="4" w:space="0" w:color="C0C0C0"/>
              <w:tl2br w:val="nil"/>
              <w:tr2bl w:val="nil"/>
            </w:tcBorders>
            <w:shd w:val="clear" w:color="auto" w:fill="808080" w:themeFill="background1" w:themeFillShade="80"/>
            <w:vAlign w:val="center"/>
          </w:tcPr>
          <w:p w14:paraId="724A96C5" w14:textId="77777777" w:rsidR="009D42B1" w:rsidRPr="009D42B1" w:rsidRDefault="009D42B1" w:rsidP="00BF4FBA">
            <w:pPr>
              <w:rPr>
                <w:color w:val="FFFFFF" w:themeColor="background1"/>
                <w:szCs w:val="20"/>
              </w:rPr>
            </w:pPr>
            <w:bookmarkStart w:id="13" w:name="_Hlk66267913"/>
            <w:r w:rsidRPr="009D42B1">
              <w:rPr>
                <w:color w:val="FFFFFF" w:themeColor="background1"/>
                <w:szCs w:val="20"/>
              </w:rPr>
              <w:t>Selective</w:t>
            </w:r>
          </w:p>
        </w:tc>
        <w:tc>
          <w:tcPr>
            <w:tcW w:w="4011" w:type="pct"/>
            <w:tcBorders>
              <w:top w:val="single" w:sz="4" w:space="0" w:color="C0C0C0"/>
              <w:left w:val="single" w:sz="4" w:space="0" w:color="C0C0C0"/>
              <w:bottom w:val="single" w:sz="4" w:space="0" w:color="C0C0C0"/>
              <w:tl2br w:val="nil"/>
              <w:tr2bl w:val="nil"/>
            </w:tcBorders>
            <w:shd w:val="clear" w:color="auto" w:fill="auto"/>
            <w:vAlign w:val="center"/>
          </w:tcPr>
          <w:p w14:paraId="3286E9D8" w14:textId="77777777" w:rsidR="009D42B1" w:rsidRPr="009D42B1" w:rsidRDefault="009D42B1" w:rsidP="00BF4FBA">
            <w:pPr>
              <w:spacing w:before="120"/>
              <w:rPr>
                <w:szCs w:val="20"/>
              </w:rPr>
            </w:pPr>
            <w:r w:rsidRPr="009D42B1">
              <w:rPr>
                <w:bCs/>
                <w:szCs w:val="20"/>
              </w:rPr>
              <w:t xml:space="preserve">This is a procurement method where suppliers that have met pre-established criteria are invited to offer. </w:t>
            </w:r>
          </w:p>
          <w:p w14:paraId="7CC5DB0E" w14:textId="77777777" w:rsidR="009D42B1" w:rsidRPr="009D42B1" w:rsidRDefault="009D42B1" w:rsidP="00BF4FBA">
            <w:pPr>
              <w:spacing w:before="120"/>
              <w:rPr>
                <w:szCs w:val="20"/>
              </w:rPr>
            </w:pPr>
            <w:r w:rsidRPr="009D42B1">
              <w:rPr>
                <w:szCs w:val="20"/>
              </w:rPr>
              <w:t xml:space="preserve">For example, suppliers may be required to hold a certain qualification, accreditation, </w:t>
            </w:r>
            <w:proofErr w:type="gramStart"/>
            <w:r w:rsidRPr="009D42B1">
              <w:rPr>
                <w:szCs w:val="20"/>
              </w:rPr>
              <w:t>certification</w:t>
            </w:r>
            <w:proofErr w:type="gramEnd"/>
            <w:r w:rsidRPr="009D42B1">
              <w:rPr>
                <w:szCs w:val="20"/>
              </w:rPr>
              <w:t xml:space="preserve"> or licence that is relevant to the good/service being procured. Arrangements that may be ‘selective’ include: </w:t>
            </w:r>
          </w:p>
          <w:p w14:paraId="4D71B540" w14:textId="77777777" w:rsidR="009D42B1" w:rsidRPr="009D42B1" w:rsidRDefault="009D42B1" w:rsidP="009D42B1">
            <w:pPr>
              <w:pStyle w:val="ListParagraph"/>
              <w:numPr>
                <w:ilvl w:val="1"/>
                <w:numId w:val="10"/>
              </w:numPr>
              <w:spacing w:before="120" w:line="264" w:lineRule="auto"/>
              <w:contextualSpacing/>
              <w:rPr>
                <w:szCs w:val="20"/>
              </w:rPr>
            </w:pPr>
            <w:r w:rsidRPr="009D42B1">
              <w:rPr>
                <w:szCs w:val="20"/>
              </w:rPr>
              <w:t>pre-registration processes/systems</w:t>
            </w:r>
          </w:p>
          <w:p w14:paraId="1E433A2F" w14:textId="77777777" w:rsidR="009D42B1" w:rsidRPr="009D42B1" w:rsidRDefault="009D42B1" w:rsidP="009D42B1">
            <w:pPr>
              <w:pStyle w:val="ListParagraph"/>
              <w:numPr>
                <w:ilvl w:val="1"/>
                <w:numId w:val="10"/>
              </w:numPr>
              <w:spacing w:before="120" w:line="264" w:lineRule="auto"/>
              <w:contextualSpacing/>
              <w:rPr>
                <w:szCs w:val="20"/>
              </w:rPr>
            </w:pPr>
            <w:r w:rsidRPr="009D42B1">
              <w:rPr>
                <w:szCs w:val="20"/>
              </w:rPr>
              <w:t>Pre-Qualification System (PQC)</w:t>
            </w:r>
          </w:p>
          <w:p w14:paraId="141BE010" w14:textId="77777777" w:rsidR="009D42B1" w:rsidRPr="009D42B1" w:rsidRDefault="009D42B1" w:rsidP="00BF4FBA">
            <w:pPr>
              <w:pStyle w:val="ListParagraph"/>
              <w:spacing w:before="20" w:after="100" w:afterAutospacing="1" w:line="240" w:lineRule="auto"/>
              <w:rPr>
                <w:szCs w:val="20"/>
              </w:rPr>
            </w:pPr>
          </w:p>
        </w:tc>
      </w:tr>
    </w:tbl>
    <w:p w14:paraId="56DFAC42" w14:textId="0E484EB6" w:rsidR="009D42B1" w:rsidRPr="00425E75" w:rsidRDefault="009D42B1" w:rsidP="009D42B1">
      <w:pPr>
        <w:pStyle w:val="Heading1"/>
      </w:pPr>
      <w:bookmarkStart w:id="14" w:name="_Toc534804853"/>
      <w:bookmarkStart w:id="15" w:name="_Toc534805067"/>
      <w:bookmarkStart w:id="16" w:name="_Toc536192868"/>
      <w:bookmarkStart w:id="17" w:name="_Toc536622966"/>
      <w:bookmarkStart w:id="18" w:name="_Toc536623331"/>
      <w:bookmarkStart w:id="19" w:name="_Toc359236"/>
      <w:bookmarkStart w:id="20" w:name="_Toc360247"/>
      <w:bookmarkStart w:id="21" w:name="_Toc360349"/>
      <w:bookmarkStart w:id="22" w:name="_Toc1463270"/>
      <w:bookmarkStart w:id="23" w:name="_Toc1657018"/>
      <w:bookmarkStart w:id="24" w:name="_Toc81401367"/>
      <w:bookmarkStart w:id="25" w:name="_Toc171520256"/>
      <w:bookmarkEnd w:id="13"/>
      <w:r>
        <w:t xml:space="preserve">2 </w:t>
      </w:r>
      <w:r w:rsidRPr="00425E75">
        <w:t>Background</w:t>
      </w:r>
      <w:bookmarkEnd w:id="14"/>
      <w:bookmarkEnd w:id="15"/>
      <w:bookmarkEnd w:id="16"/>
      <w:bookmarkEnd w:id="17"/>
      <w:bookmarkEnd w:id="18"/>
      <w:bookmarkEnd w:id="19"/>
      <w:bookmarkEnd w:id="20"/>
      <w:bookmarkEnd w:id="21"/>
      <w:bookmarkEnd w:id="22"/>
      <w:bookmarkEnd w:id="23"/>
      <w:bookmarkEnd w:id="24"/>
      <w:bookmarkEnd w:id="25"/>
    </w:p>
    <w:p w14:paraId="5DE03A1D" w14:textId="58E728A1" w:rsidR="009D42B1" w:rsidRDefault="009D42B1" w:rsidP="009D42B1">
      <w:pPr>
        <w:jc w:val="both"/>
      </w:pPr>
      <w:r>
        <w:t xml:space="preserve">Clause </w:t>
      </w:r>
      <w:r w:rsidR="008800FE">
        <w:t>31</w:t>
      </w:r>
      <w:r>
        <w:t xml:space="preserve"> of the </w:t>
      </w:r>
      <w:hyperlink r:id="rId21" w:history="1">
        <w:r w:rsidRPr="00A57B70">
          <w:rPr>
            <w:rStyle w:val="Hyperlink"/>
          </w:rPr>
          <w:t>Queensland Procurement Policy</w:t>
        </w:r>
      </w:hyperlink>
      <w:r>
        <w:t xml:space="preserve"> (QPP) requires b</w:t>
      </w:r>
      <w:r w:rsidRPr="00884F47">
        <w:t xml:space="preserve">udget sector agencies, large statutory bodies and special purpose vehicles </w:t>
      </w:r>
      <w:r>
        <w:t>(agencies) to publish certain information about awarded contracts valued at $10,000 and over</w:t>
      </w:r>
      <w:r>
        <w:rPr>
          <w:rStyle w:val="FootnoteReference"/>
        </w:rPr>
        <w:footnoteReference w:id="1"/>
      </w:r>
      <w:r>
        <w:t>.</w:t>
      </w:r>
    </w:p>
    <w:p w14:paraId="7E225814" w14:textId="77777777" w:rsidR="009D42B1" w:rsidRPr="00920911" w:rsidRDefault="009D42B1" w:rsidP="009D42B1">
      <w:proofErr w:type="gramStart"/>
      <w:r>
        <w:t>This manual assists agencies</w:t>
      </w:r>
      <w:proofErr w:type="gramEnd"/>
      <w:r>
        <w:t xml:space="preserve"> to publish this information on the Open Data website. It should be read together with the </w:t>
      </w:r>
      <w:hyperlink r:id="rId22" w:history="1">
        <w:r w:rsidRPr="009F2F60">
          <w:rPr>
            <w:rStyle w:val="Hyperlink"/>
            <w:i/>
          </w:rPr>
          <w:t>Procurement Guidelines: Contract Disclosure</w:t>
        </w:r>
      </w:hyperlink>
      <w:r>
        <w:rPr>
          <w:i/>
        </w:rPr>
        <w:t xml:space="preserve"> </w:t>
      </w:r>
      <w:r>
        <w:t xml:space="preserve">document and </w:t>
      </w:r>
      <w:r w:rsidRPr="00D46A00">
        <w:rPr>
          <w:iCs/>
        </w:rPr>
        <w:t xml:space="preserve">the guide </w:t>
      </w:r>
      <w:hyperlink r:id="rId23" w:history="1">
        <w:r w:rsidRPr="00DA36F9">
          <w:rPr>
            <w:rStyle w:val="Hyperlink"/>
            <w:iCs/>
          </w:rPr>
          <w:t>Use and disclosure of con</w:t>
        </w:r>
        <w:r w:rsidRPr="00D46A00">
          <w:rPr>
            <w:rStyle w:val="Hyperlink"/>
            <w:iCs/>
          </w:rPr>
          <w:t>fidentiality provisions in government contracts</w:t>
        </w:r>
      </w:hyperlink>
      <w:r w:rsidRPr="00032CFC">
        <w:t>.</w:t>
      </w:r>
    </w:p>
    <w:p w14:paraId="0699E68A" w14:textId="408BB958" w:rsidR="009D42B1" w:rsidRPr="00425E75" w:rsidRDefault="009D42B1" w:rsidP="009D42B1">
      <w:pPr>
        <w:pStyle w:val="Heading1"/>
      </w:pPr>
      <w:bookmarkStart w:id="26" w:name="_Toc429890"/>
      <w:bookmarkStart w:id="27" w:name="_Toc429891"/>
      <w:bookmarkStart w:id="28" w:name="_Toc429892"/>
      <w:bookmarkStart w:id="29" w:name="_Toc429893"/>
      <w:bookmarkStart w:id="30" w:name="_Toc531599290"/>
      <w:bookmarkStart w:id="31" w:name="_Toc534804854"/>
      <w:bookmarkStart w:id="32" w:name="_Toc534805068"/>
      <w:bookmarkStart w:id="33" w:name="_Toc536192869"/>
      <w:bookmarkStart w:id="34" w:name="_Toc536622967"/>
      <w:bookmarkStart w:id="35" w:name="_Toc536623332"/>
      <w:bookmarkStart w:id="36" w:name="_Toc359237"/>
      <w:bookmarkStart w:id="37" w:name="_Toc360248"/>
      <w:bookmarkStart w:id="38" w:name="_Toc360350"/>
      <w:bookmarkStart w:id="39" w:name="_Toc1463271"/>
      <w:bookmarkStart w:id="40" w:name="_Toc1657019"/>
      <w:bookmarkStart w:id="41" w:name="_Toc81401368"/>
      <w:bookmarkStart w:id="42" w:name="_Toc171520257"/>
      <w:bookmarkEnd w:id="26"/>
      <w:bookmarkEnd w:id="27"/>
      <w:bookmarkEnd w:id="28"/>
      <w:bookmarkEnd w:id="29"/>
      <w:r>
        <w:t xml:space="preserve">3 </w:t>
      </w:r>
      <w:r w:rsidRPr="00425E75">
        <w:t>Purpose of this publication</w:t>
      </w:r>
      <w:bookmarkEnd w:id="30"/>
      <w:bookmarkEnd w:id="31"/>
      <w:bookmarkEnd w:id="32"/>
      <w:bookmarkEnd w:id="33"/>
      <w:bookmarkEnd w:id="34"/>
      <w:bookmarkEnd w:id="35"/>
      <w:bookmarkEnd w:id="36"/>
      <w:bookmarkEnd w:id="37"/>
      <w:bookmarkEnd w:id="38"/>
      <w:bookmarkEnd w:id="39"/>
      <w:bookmarkEnd w:id="40"/>
      <w:bookmarkEnd w:id="41"/>
      <w:bookmarkEnd w:id="42"/>
    </w:p>
    <w:p w14:paraId="592DE591" w14:textId="25C49BB6" w:rsidR="009D42B1" w:rsidRDefault="009D42B1" w:rsidP="009D42B1">
      <w:pPr>
        <w:spacing w:after="120"/>
        <w:jc w:val="both"/>
      </w:pPr>
      <w:r>
        <w:t xml:space="preserve">The purpose of this user manual is to assist agencies to disclose details of the awarded contracts as required by clause </w:t>
      </w:r>
      <w:r w:rsidR="008800FE">
        <w:t>31</w:t>
      </w:r>
      <w:r>
        <w:t xml:space="preserve"> of the QPP and to provide step-by-step instructions and supporting documentation to representatives of agencies for the publishing of contract disclosure data to the open data portal. The following information is included in this document:</w:t>
      </w:r>
    </w:p>
    <w:p w14:paraId="50CCD6AC" w14:textId="77777777" w:rsidR="009D42B1" w:rsidRDefault="009D42B1" w:rsidP="009D42B1">
      <w:pPr>
        <w:pStyle w:val="ListParagraph"/>
        <w:numPr>
          <w:ilvl w:val="0"/>
          <w:numId w:val="12"/>
        </w:numPr>
        <w:spacing w:before="180" w:line="264" w:lineRule="auto"/>
        <w:contextualSpacing/>
      </w:pPr>
      <w:r>
        <w:t>mapping existing data structures to new data structures for contract disclosure</w:t>
      </w:r>
    </w:p>
    <w:p w14:paraId="5D546D02" w14:textId="77777777" w:rsidR="009D42B1" w:rsidRDefault="009D42B1" w:rsidP="009D42B1">
      <w:pPr>
        <w:pStyle w:val="ListParagraph"/>
        <w:numPr>
          <w:ilvl w:val="0"/>
          <w:numId w:val="12"/>
        </w:numPr>
        <w:spacing w:before="180" w:line="264" w:lineRule="auto"/>
        <w:contextualSpacing/>
      </w:pPr>
      <w:r>
        <w:t xml:space="preserve">step-by-step guide to disclose contracts valued at $10,000 and over in accordance with the QPP and data </w:t>
      </w:r>
      <w:proofErr w:type="gramStart"/>
      <w:r>
        <w:t>specifications</w:t>
      </w:r>
      <w:proofErr w:type="gramEnd"/>
    </w:p>
    <w:p w14:paraId="0AE6CE7B" w14:textId="77777777" w:rsidR="009D42B1" w:rsidRPr="009F2F60" w:rsidRDefault="009D42B1" w:rsidP="009D42B1">
      <w:pPr>
        <w:pStyle w:val="ListParagraph"/>
        <w:numPr>
          <w:ilvl w:val="0"/>
          <w:numId w:val="12"/>
        </w:numPr>
        <w:spacing w:before="180" w:line="264" w:lineRule="auto"/>
        <w:contextualSpacing/>
      </w:pPr>
      <w:r w:rsidRPr="009F2F60">
        <w:lastRenderedPageBreak/>
        <w:t xml:space="preserve">guidance to disclose limited procurement method </w:t>
      </w:r>
      <w:proofErr w:type="gramStart"/>
      <w:r w:rsidRPr="009F2F60">
        <w:t>contracts</w:t>
      </w:r>
      <w:proofErr w:type="gramEnd"/>
      <w:r w:rsidRPr="009F2F60">
        <w:t xml:space="preserve"> </w:t>
      </w:r>
    </w:p>
    <w:p w14:paraId="538BF59C" w14:textId="77777777" w:rsidR="009D42B1" w:rsidRDefault="009D42B1" w:rsidP="009D42B1">
      <w:pPr>
        <w:pStyle w:val="ListParagraph"/>
        <w:numPr>
          <w:ilvl w:val="0"/>
          <w:numId w:val="12"/>
        </w:numPr>
        <w:spacing w:before="180" w:line="264" w:lineRule="auto"/>
        <w:contextualSpacing/>
      </w:pPr>
      <w:r>
        <w:t>specific technical requirements to upload the data file to open data portal.</w:t>
      </w:r>
    </w:p>
    <w:p w14:paraId="1BB7EE2C" w14:textId="63C7A5F3" w:rsidR="009D42B1" w:rsidRPr="00425E75" w:rsidRDefault="009D42B1" w:rsidP="009D42B1">
      <w:pPr>
        <w:pStyle w:val="Heading1"/>
      </w:pPr>
      <w:bookmarkStart w:id="43" w:name="_Toc536192870"/>
      <w:bookmarkStart w:id="44" w:name="_Toc536622968"/>
      <w:bookmarkStart w:id="45" w:name="_Toc536623333"/>
      <w:bookmarkStart w:id="46" w:name="_Toc359238"/>
      <w:bookmarkStart w:id="47" w:name="_Toc360249"/>
      <w:bookmarkStart w:id="48" w:name="_Toc360351"/>
      <w:bookmarkStart w:id="49" w:name="_Toc1463272"/>
      <w:bookmarkStart w:id="50" w:name="_Toc1657020"/>
      <w:bookmarkStart w:id="51" w:name="_Toc81401369"/>
      <w:bookmarkStart w:id="52" w:name="_Toc171520258"/>
      <w:r>
        <w:t xml:space="preserve">4 </w:t>
      </w:r>
      <w:r w:rsidRPr="00425E75">
        <w:t>Scope</w:t>
      </w:r>
      <w:bookmarkEnd w:id="43"/>
      <w:bookmarkEnd w:id="44"/>
      <w:bookmarkEnd w:id="45"/>
      <w:bookmarkEnd w:id="46"/>
      <w:bookmarkEnd w:id="47"/>
      <w:bookmarkEnd w:id="48"/>
      <w:bookmarkEnd w:id="49"/>
      <w:bookmarkEnd w:id="50"/>
      <w:bookmarkEnd w:id="51"/>
      <w:bookmarkEnd w:id="52"/>
    </w:p>
    <w:p w14:paraId="7A38C248" w14:textId="4C5ADF38" w:rsidR="009D42B1" w:rsidRPr="00DD4A6B" w:rsidRDefault="009D42B1" w:rsidP="009D42B1">
      <w:pPr>
        <w:pStyle w:val="Heading2"/>
        <w:ind w:left="567" w:hanging="567"/>
      </w:pPr>
      <w:bookmarkStart w:id="53" w:name="_Toc530988454"/>
      <w:bookmarkStart w:id="54" w:name="_Toc534804856"/>
      <w:bookmarkStart w:id="55" w:name="_Toc534805070"/>
      <w:bookmarkStart w:id="56" w:name="_Toc536192871"/>
      <w:bookmarkStart w:id="57" w:name="_Toc536622969"/>
      <w:bookmarkStart w:id="58" w:name="_Toc536623334"/>
      <w:bookmarkStart w:id="59" w:name="_Toc359239"/>
      <w:bookmarkStart w:id="60" w:name="_Toc360250"/>
      <w:bookmarkStart w:id="61" w:name="_Toc360352"/>
      <w:bookmarkStart w:id="62" w:name="_Toc1463273"/>
      <w:bookmarkStart w:id="63" w:name="_Toc1657021"/>
      <w:bookmarkStart w:id="64" w:name="_Toc81401370"/>
      <w:bookmarkStart w:id="65" w:name="_Toc171520259"/>
      <w:r>
        <w:t>4.</w:t>
      </w:r>
      <w:r w:rsidR="00422BA9">
        <w:t xml:space="preserve">1 </w:t>
      </w:r>
      <w:r>
        <w:t>Included</w:t>
      </w:r>
      <w:bookmarkEnd w:id="53"/>
      <w:bookmarkEnd w:id="54"/>
      <w:bookmarkEnd w:id="55"/>
      <w:bookmarkEnd w:id="56"/>
      <w:bookmarkEnd w:id="57"/>
      <w:bookmarkEnd w:id="58"/>
      <w:bookmarkEnd w:id="59"/>
      <w:bookmarkEnd w:id="60"/>
      <w:bookmarkEnd w:id="61"/>
      <w:bookmarkEnd w:id="62"/>
      <w:bookmarkEnd w:id="63"/>
      <w:bookmarkEnd w:id="64"/>
      <w:bookmarkEnd w:id="65"/>
    </w:p>
    <w:p w14:paraId="6E823C1D" w14:textId="77777777" w:rsidR="009D42B1" w:rsidRDefault="009D42B1" w:rsidP="009D42B1">
      <w:pPr>
        <w:pStyle w:val="ListParagraph"/>
        <w:numPr>
          <w:ilvl w:val="0"/>
          <w:numId w:val="12"/>
        </w:numPr>
        <w:spacing w:before="180" w:line="264" w:lineRule="auto"/>
        <w:contextualSpacing/>
      </w:pPr>
      <w:r>
        <w:t>Detailed information on publishing requirements and a suggested decision tree to assist with the contract disclosure process.</w:t>
      </w:r>
    </w:p>
    <w:p w14:paraId="15491D66" w14:textId="77777777" w:rsidR="009D42B1" w:rsidRDefault="009D42B1" w:rsidP="009D42B1">
      <w:pPr>
        <w:pStyle w:val="ListParagraph"/>
        <w:numPr>
          <w:ilvl w:val="0"/>
          <w:numId w:val="12"/>
        </w:numPr>
        <w:spacing w:before="180" w:line="264" w:lineRule="auto"/>
        <w:contextualSpacing/>
      </w:pPr>
      <w:r>
        <w:t>Technical information on data specifications and related information to publish data on the open data portal.</w:t>
      </w:r>
    </w:p>
    <w:p w14:paraId="30F98515" w14:textId="02D646F1" w:rsidR="009D42B1" w:rsidRPr="00DD4A6B" w:rsidRDefault="009D42B1" w:rsidP="009D42B1">
      <w:pPr>
        <w:pStyle w:val="Heading2"/>
        <w:ind w:left="567" w:hanging="567"/>
      </w:pPr>
      <w:bookmarkStart w:id="66" w:name="_Toc530988455"/>
      <w:bookmarkStart w:id="67" w:name="_Toc534804857"/>
      <w:bookmarkStart w:id="68" w:name="_Toc534805071"/>
      <w:bookmarkStart w:id="69" w:name="_Toc536192872"/>
      <w:bookmarkStart w:id="70" w:name="_Toc536622970"/>
      <w:bookmarkStart w:id="71" w:name="_Toc536623335"/>
      <w:bookmarkStart w:id="72" w:name="_Toc359240"/>
      <w:bookmarkStart w:id="73" w:name="_Toc360251"/>
      <w:bookmarkStart w:id="74" w:name="_Toc360353"/>
      <w:bookmarkStart w:id="75" w:name="_Toc1463274"/>
      <w:bookmarkStart w:id="76" w:name="_Toc1657022"/>
      <w:bookmarkStart w:id="77" w:name="_Toc81401371"/>
      <w:bookmarkStart w:id="78" w:name="_Toc171520260"/>
      <w:r>
        <w:t>4.2</w:t>
      </w:r>
      <w:r w:rsidR="00422BA9">
        <w:t xml:space="preserve"> </w:t>
      </w:r>
      <w:r w:rsidRPr="007A4016">
        <w:t>Excluded</w:t>
      </w:r>
      <w:bookmarkEnd w:id="66"/>
      <w:bookmarkEnd w:id="67"/>
      <w:bookmarkEnd w:id="68"/>
      <w:bookmarkEnd w:id="69"/>
      <w:bookmarkEnd w:id="70"/>
      <w:bookmarkEnd w:id="71"/>
      <w:bookmarkEnd w:id="72"/>
      <w:bookmarkEnd w:id="73"/>
      <w:bookmarkEnd w:id="74"/>
      <w:bookmarkEnd w:id="75"/>
      <w:bookmarkEnd w:id="76"/>
      <w:bookmarkEnd w:id="77"/>
      <w:bookmarkEnd w:id="78"/>
    </w:p>
    <w:p w14:paraId="6F7344DA" w14:textId="77777777" w:rsidR="009D42B1" w:rsidRDefault="009D42B1" w:rsidP="009D42B1">
      <w:pPr>
        <w:pStyle w:val="ListParagraph"/>
        <w:numPr>
          <w:ilvl w:val="0"/>
          <w:numId w:val="12"/>
        </w:numPr>
        <w:spacing w:before="180" w:line="264" w:lineRule="auto"/>
        <w:contextualSpacing/>
      </w:pPr>
      <w:r>
        <w:t>Specific technical ICT user guide on how to use a PC and internet browsers.</w:t>
      </w:r>
    </w:p>
    <w:p w14:paraId="34255150" w14:textId="77777777" w:rsidR="009D42B1" w:rsidRDefault="009D42B1" w:rsidP="009D42B1">
      <w:pPr>
        <w:pStyle w:val="ListParagraph"/>
        <w:numPr>
          <w:ilvl w:val="0"/>
          <w:numId w:val="12"/>
        </w:numPr>
        <w:spacing w:before="180" w:line="264" w:lineRule="auto"/>
        <w:contextualSpacing/>
      </w:pPr>
      <w:r>
        <w:t>Specific technical ICT user guide on how to access the open data portal.</w:t>
      </w:r>
    </w:p>
    <w:p w14:paraId="16AD361E" w14:textId="41C3F219" w:rsidR="009D42B1" w:rsidRPr="00B72226" w:rsidRDefault="00422BA9" w:rsidP="00422BA9">
      <w:pPr>
        <w:pStyle w:val="Heading2"/>
        <w:rPr>
          <w:lang w:val="en-GB"/>
        </w:rPr>
      </w:pPr>
      <w:bookmarkStart w:id="79" w:name="_Toc530988456"/>
      <w:bookmarkStart w:id="80" w:name="_Toc534804858"/>
      <w:bookmarkStart w:id="81" w:name="_Toc534805072"/>
      <w:bookmarkStart w:id="82" w:name="_Toc536192873"/>
      <w:bookmarkStart w:id="83" w:name="_Toc536622971"/>
      <w:bookmarkStart w:id="84" w:name="_Toc536623336"/>
      <w:bookmarkStart w:id="85" w:name="_Toc359241"/>
      <w:bookmarkStart w:id="86" w:name="_Toc360252"/>
      <w:bookmarkStart w:id="87" w:name="_Toc360354"/>
      <w:bookmarkStart w:id="88" w:name="_Toc1463275"/>
      <w:bookmarkStart w:id="89" w:name="_Toc1657023"/>
      <w:bookmarkStart w:id="90" w:name="_Toc81401372"/>
      <w:bookmarkStart w:id="91" w:name="_Toc171520261"/>
      <w:r>
        <w:rPr>
          <w:lang w:val="en-GB"/>
        </w:rPr>
        <w:t xml:space="preserve">4.3 </w:t>
      </w:r>
      <w:r w:rsidR="009D42B1" w:rsidRPr="00B72226">
        <w:rPr>
          <w:lang w:val="en-GB"/>
        </w:rPr>
        <w:t>Assumptions</w:t>
      </w:r>
      <w:bookmarkEnd w:id="79"/>
      <w:bookmarkEnd w:id="80"/>
      <w:bookmarkEnd w:id="81"/>
      <w:bookmarkEnd w:id="82"/>
      <w:bookmarkEnd w:id="83"/>
      <w:bookmarkEnd w:id="84"/>
      <w:bookmarkEnd w:id="85"/>
      <w:bookmarkEnd w:id="86"/>
      <w:bookmarkEnd w:id="87"/>
      <w:bookmarkEnd w:id="88"/>
      <w:bookmarkEnd w:id="89"/>
      <w:bookmarkEnd w:id="90"/>
      <w:bookmarkEnd w:id="91"/>
    </w:p>
    <w:p w14:paraId="0E01DE64" w14:textId="77777777" w:rsidR="009D42B1" w:rsidRDefault="009D42B1" w:rsidP="009D42B1">
      <w:pPr>
        <w:spacing w:after="120"/>
      </w:pPr>
      <w:r>
        <w:t>This guide assumes the following:</w:t>
      </w:r>
    </w:p>
    <w:p w14:paraId="78BD4C5C" w14:textId="77777777" w:rsidR="009D42B1" w:rsidRDefault="009D42B1" w:rsidP="009D42B1">
      <w:pPr>
        <w:pStyle w:val="ListParagraph"/>
        <w:numPr>
          <w:ilvl w:val="0"/>
          <w:numId w:val="12"/>
        </w:numPr>
        <w:spacing w:before="180" w:line="264" w:lineRule="auto"/>
        <w:contextualSpacing/>
      </w:pPr>
      <w:r>
        <w:t xml:space="preserve">users are familiar with the disclosure requirements in the QPP and the </w:t>
      </w:r>
      <w:hyperlink r:id="rId24" w:history="1">
        <w:r w:rsidRPr="009F2F60">
          <w:rPr>
            <w:rStyle w:val="Hyperlink"/>
            <w:i/>
          </w:rPr>
          <w:t>Procurement Guidelines: Contract Disclosure</w:t>
        </w:r>
      </w:hyperlink>
      <w:r>
        <w:t xml:space="preserve"> (the Guidelines).</w:t>
      </w:r>
    </w:p>
    <w:p w14:paraId="112761CE" w14:textId="77777777" w:rsidR="009D42B1" w:rsidRDefault="009D42B1" w:rsidP="009D42B1">
      <w:pPr>
        <w:pStyle w:val="ListParagraph"/>
        <w:numPr>
          <w:ilvl w:val="0"/>
          <w:numId w:val="12"/>
        </w:numPr>
        <w:spacing w:before="180" w:line="264" w:lineRule="auto"/>
        <w:contextualSpacing/>
      </w:pPr>
      <w:r>
        <w:t xml:space="preserve">agencies are aware of Queensland Government’s </w:t>
      </w:r>
      <w:hyperlink r:id="rId25" w:history="1">
        <w:r w:rsidRPr="00C23013">
          <w:rPr>
            <w:rStyle w:val="Hyperlink"/>
          </w:rPr>
          <w:t>open data portal</w:t>
        </w:r>
      </w:hyperlink>
      <w:r>
        <w:t xml:space="preserve"> and can access this website.</w:t>
      </w:r>
    </w:p>
    <w:p w14:paraId="2EDFE365" w14:textId="77777777" w:rsidR="009D42B1" w:rsidRDefault="009D42B1" w:rsidP="009D42B1">
      <w:pPr>
        <w:pStyle w:val="ListParagraph"/>
        <w:numPr>
          <w:ilvl w:val="0"/>
          <w:numId w:val="12"/>
        </w:numPr>
        <w:spacing w:before="180" w:line="264" w:lineRule="auto"/>
        <w:contextualSpacing/>
      </w:pPr>
      <w:r>
        <w:t>users within agencies can access the open data portal and know how to use internet browser.</w:t>
      </w:r>
    </w:p>
    <w:p w14:paraId="5E235F13" w14:textId="77777777" w:rsidR="009D42B1" w:rsidRDefault="009D42B1" w:rsidP="009D42B1">
      <w:pPr>
        <w:pStyle w:val="bullet1"/>
        <w:numPr>
          <w:ilvl w:val="0"/>
          <w:numId w:val="0"/>
        </w:numPr>
      </w:pPr>
    </w:p>
    <w:p w14:paraId="0E033D63" w14:textId="66F367CA" w:rsidR="009D42B1" w:rsidRDefault="00422BA9" w:rsidP="00422BA9">
      <w:pPr>
        <w:pStyle w:val="Heading2"/>
      </w:pPr>
      <w:bookmarkStart w:id="92" w:name="_Toc429901"/>
      <w:bookmarkStart w:id="93" w:name="_Toc1463234"/>
      <w:bookmarkStart w:id="94" w:name="_Toc1463277"/>
      <w:bookmarkStart w:id="95" w:name="_Toc429902"/>
      <w:bookmarkStart w:id="96" w:name="_Toc1463235"/>
      <w:bookmarkStart w:id="97" w:name="_Toc1463278"/>
      <w:bookmarkStart w:id="98" w:name="_Toc429903"/>
      <w:bookmarkStart w:id="99" w:name="_Toc1463236"/>
      <w:bookmarkStart w:id="100" w:name="_Toc1463279"/>
      <w:bookmarkStart w:id="101" w:name="_Toc429904"/>
      <w:bookmarkStart w:id="102" w:name="_Toc1463237"/>
      <w:bookmarkStart w:id="103" w:name="_Toc1463280"/>
      <w:bookmarkStart w:id="104" w:name="_Toc534804860"/>
      <w:bookmarkStart w:id="105" w:name="_Toc534805074"/>
      <w:bookmarkStart w:id="106" w:name="_Toc536192875"/>
      <w:bookmarkStart w:id="107" w:name="_Toc536622973"/>
      <w:bookmarkStart w:id="108" w:name="_Toc536623338"/>
      <w:bookmarkStart w:id="109" w:name="_Toc359243"/>
      <w:bookmarkStart w:id="110" w:name="_Toc360254"/>
      <w:bookmarkStart w:id="111" w:name="_Toc360356"/>
      <w:bookmarkStart w:id="112" w:name="_Toc1463281"/>
      <w:bookmarkStart w:id="113" w:name="_Toc1657024"/>
      <w:bookmarkStart w:id="114" w:name="_Toc81401373"/>
      <w:bookmarkStart w:id="115" w:name="_Toc171520262"/>
      <w:bookmarkEnd w:id="92"/>
      <w:bookmarkEnd w:id="93"/>
      <w:bookmarkEnd w:id="94"/>
      <w:bookmarkEnd w:id="95"/>
      <w:bookmarkEnd w:id="96"/>
      <w:bookmarkEnd w:id="97"/>
      <w:bookmarkEnd w:id="98"/>
      <w:bookmarkEnd w:id="99"/>
      <w:bookmarkEnd w:id="100"/>
      <w:bookmarkEnd w:id="101"/>
      <w:bookmarkEnd w:id="102"/>
      <w:bookmarkEnd w:id="103"/>
      <w:r>
        <w:t xml:space="preserve">4.4 </w:t>
      </w:r>
      <w:r w:rsidR="009D42B1">
        <w:t>Publishing requirements</w:t>
      </w:r>
      <w:bookmarkEnd w:id="104"/>
      <w:bookmarkEnd w:id="105"/>
      <w:bookmarkEnd w:id="106"/>
      <w:bookmarkEnd w:id="107"/>
      <w:bookmarkEnd w:id="108"/>
      <w:bookmarkEnd w:id="109"/>
      <w:bookmarkEnd w:id="110"/>
      <w:bookmarkEnd w:id="111"/>
      <w:bookmarkEnd w:id="112"/>
      <w:bookmarkEnd w:id="113"/>
      <w:bookmarkEnd w:id="114"/>
      <w:bookmarkEnd w:id="115"/>
    </w:p>
    <w:p w14:paraId="2D56BE81" w14:textId="77777777" w:rsidR="009D42B1" w:rsidRDefault="009D42B1" w:rsidP="009D42B1">
      <w:r>
        <w:t xml:space="preserve">Agencies </w:t>
      </w:r>
      <w:r w:rsidRPr="00F96E94">
        <w:t>must</w:t>
      </w:r>
      <w:r>
        <w:t xml:space="preserve"> have a dataset custodian who is responsible for creating and publishing the required dataset resource on the open data portal.</w:t>
      </w:r>
    </w:p>
    <w:p w14:paraId="73D735E6" w14:textId="77777777" w:rsidR="009D42B1" w:rsidRDefault="009D42B1" w:rsidP="009D42B1">
      <w:r>
        <w:t xml:space="preserve">The custodian will require a self-publishing account to publish contract disclosure datasets on the open data portal. A new account should be requested via an online form at: </w:t>
      </w:r>
      <w:hyperlink r:id="rId26">
        <w:r w:rsidRPr="006D5088">
          <w:rPr>
            <w:color w:val="3BB0A0" w:themeColor="accent6" w:themeShade="BF"/>
            <w:u w:val="single"/>
          </w:rPr>
          <w:t>https://www.forgov.qld.gov.au/request-publishing-access-data-and-publications-portals</w:t>
        </w:r>
      </w:hyperlink>
      <w:r w:rsidRPr="006D5088">
        <w:rPr>
          <w:color w:val="3BB0A0" w:themeColor="accent6" w:themeShade="BF"/>
          <w:u w:val="single"/>
        </w:rPr>
        <w:t>.</w:t>
      </w:r>
    </w:p>
    <w:p w14:paraId="223BACFF" w14:textId="77777777" w:rsidR="009D42B1" w:rsidRPr="00920911" w:rsidRDefault="009D42B1" w:rsidP="009D42B1">
      <w:r>
        <w:t xml:space="preserve">This data is loaded and updated using the instructions found in </w:t>
      </w:r>
      <w:r w:rsidRPr="00380322">
        <w:rPr>
          <w:b/>
        </w:rPr>
        <w:t xml:space="preserve">Appendix </w:t>
      </w:r>
      <w:r>
        <w:rPr>
          <w:b/>
        </w:rPr>
        <w:t>A</w:t>
      </w:r>
      <w:r w:rsidRPr="00380322">
        <w:rPr>
          <w:b/>
        </w:rPr>
        <w:t xml:space="preserve">, </w:t>
      </w:r>
      <w:r w:rsidRPr="00920911">
        <w:rPr>
          <w:i/>
        </w:rPr>
        <w:t>Publishing to the open data portal</w:t>
      </w:r>
      <w:r w:rsidRPr="00920911">
        <w:t>.</w:t>
      </w:r>
    </w:p>
    <w:p w14:paraId="0048771B" w14:textId="3531E5E0" w:rsidR="00422BA9" w:rsidRPr="00425E75" w:rsidRDefault="00422BA9" w:rsidP="00422BA9">
      <w:pPr>
        <w:pStyle w:val="Heading1"/>
      </w:pPr>
      <w:bookmarkStart w:id="116" w:name="_Toc534804861"/>
      <w:bookmarkStart w:id="117" w:name="_Toc534805075"/>
      <w:bookmarkStart w:id="118" w:name="_Toc536192876"/>
      <w:bookmarkStart w:id="119" w:name="_Toc536622974"/>
      <w:bookmarkStart w:id="120" w:name="_Toc536623339"/>
      <w:bookmarkStart w:id="121" w:name="_Toc359244"/>
      <w:bookmarkStart w:id="122" w:name="_Toc360255"/>
      <w:bookmarkStart w:id="123" w:name="_Toc360357"/>
      <w:bookmarkStart w:id="124" w:name="_Toc1463282"/>
      <w:bookmarkStart w:id="125" w:name="_Toc1657025"/>
      <w:bookmarkStart w:id="126" w:name="_Toc81401374"/>
      <w:bookmarkStart w:id="127" w:name="_Toc171520263"/>
      <w:r>
        <w:t xml:space="preserve">5 </w:t>
      </w:r>
      <w:r w:rsidRPr="00425E75">
        <w:t>Roles and responsibilities</w:t>
      </w:r>
      <w:bookmarkEnd w:id="116"/>
      <w:bookmarkEnd w:id="117"/>
      <w:bookmarkEnd w:id="118"/>
      <w:bookmarkEnd w:id="119"/>
      <w:bookmarkEnd w:id="120"/>
      <w:bookmarkEnd w:id="121"/>
      <w:bookmarkEnd w:id="122"/>
      <w:bookmarkEnd w:id="123"/>
      <w:bookmarkEnd w:id="124"/>
      <w:bookmarkEnd w:id="125"/>
      <w:bookmarkEnd w:id="126"/>
      <w:bookmarkEnd w:id="127"/>
    </w:p>
    <w:p w14:paraId="770E07D8" w14:textId="42991C19" w:rsidR="00422BA9" w:rsidRDefault="00422BA9" w:rsidP="00422BA9">
      <w:pPr>
        <w:pStyle w:val="Heading2"/>
      </w:pPr>
      <w:bookmarkStart w:id="128" w:name="_Toc534804862"/>
      <w:bookmarkStart w:id="129" w:name="_Toc534805076"/>
      <w:bookmarkStart w:id="130" w:name="_Toc536192877"/>
      <w:bookmarkStart w:id="131" w:name="_Toc536622975"/>
      <w:bookmarkStart w:id="132" w:name="_Toc536623340"/>
      <w:bookmarkStart w:id="133" w:name="_Toc359245"/>
      <w:bookmarkStart w:id="134" w:name="_Toc360256"/>
      <w:bookmarkStart w:id="135" w:name="_Toc360358"/>
      <w:bookmarkStart w:id="136" w:name="_Toc1463283"/>
      <w:bookmarkStart w:id="137" w:name="_Toc1657026"/>
      <w:bookmarkStart w:id="138" w:name="_Toc81401375"/>
      <w:bookmarkStart w:id="139" w:name="_Toc171520264"/>
      <w:r>
        <w:t>5.1 QGP</w:t>
      </w:r>
      <w:r>
        <w:rPr>
          <w:spacing w:val="-11"/>
        </w:rPr>
        <w:t xml:space="preserve"> </w:t>
      </w:r>
      <w:r>
        <w:t>responsibilities</w:t>
      </w:r>
      <w:bookmarkEnd w:id="128"/>
      <w:bookmarkEnd w:id="129"/>
      <w:bookmarkEnd w:id="130"/>
      <w:bookmarkEnd w:id="131"/>
      <w:bookmarkEnd w:id="132"/>
      <w:bookmarkEnd w:id="133"/>
      <w:bookmarkEnd w:id="134"/>
      <w:bookmarkEnd w:id="135"/>
      <w:bookmarkEnd w:id="136"/>
      <w:bookmarkEnd w:id="137"/>
      <w:bookmarkEnd w:id="138"/>
      <w:bookmarkEnd w:id="139"/>
    </w:p>
    <w:p w14:paraId="704FDCC8" w14:textId="77777777" w:rsidR="00422BA9" w:rsidRDefault="00422BA9" w:rsidP="00422BA9">
      <w:r>
        <w:t>QGP is responsible for custodianship and management of the QPP and the Guidelines, specifically:</w:t>
      </w:r>
    </w:p>
    <w:p w14:paraId="42D5E1DD" w14:textId="77777777" w:rsidR="00422BA9" w:rsidRDefault="00422BA9" w:rsidP="00422BA9">
      <w:pPr>
        <w:pStyle w:val="ListParagraph"/>
        <w:numPr>
          <w:ilvl w:val="0"/>
          <w:numId w:val="12"/>
        </w:numPr>
        <w:spacing w:before="180" w:line="264" w:lineRule="auto"/>
        <w:contextualSpacing/>
      </w:pPr>
      <w:r>
        <w:t>coordinating the identification and implementation of updates to the QPP, the Guidelines and publishing user manual</w:t>
      </w:r>
    </w:p>
    <w:p w14:paraId="2246A2D8" w14:textId="77777777" w:rsidR="00422BA9" w:rsidRDefault="00422BA9" w:rsidP="00422BA9">
      <w:pPr>
        <w:pStyle w:val="ListParagraph"/>
        <w:numPr>
          <w:ilvl w:val="0"/>
          <w:numId w:val="12"/>
        </w:numPr>
        <w:spacing w:before="180" w:line="264" w:lineRule="auto"/>
        <w:contextualSpacing/>
      </w:pPr>
      <w:r>
        <w:t>providing templates and instructions about contract disclosure</w:t>
      </w:r>
    </w:p>
    <w:p w14:paraId="0AE1FDDB" w14:textId="77777777" w:rsidR="00422BA9" w:rsidRDefault="00422BA9" w:rsidP="00422BA9">
      <w:pPr>
        <w:pStyle w:val="ListParagraph"/>
        <w:numPr>
          <w:ilvl w:val="0"/>
          <w:numId w:val="12"/>
        </w:numPr>
        <w:spacing w:before="180" w:line="264" w:lineRule="auto"/>
        <w:contextualSpacing/>
      </w:pPr>
      <w:r>
        <w:t>consulting with agency representatives on any global changes</w:t>
      </w:r>
      <w:r w:rsidRPr="00CF6D23">
        <w:t xml:space="preserve"> </w:t>
      </w:r>
      <w:r>
        <w:t>required.</w:t>
      </w:r>
    </w:p>
    <w:p w14:paraId="63B353C0" w14:textId="2835D8A3" w:rsidR="00422BA9" w:rsidRDefault="00422BA9" w:rsidP="00422BA9">
      <w:pPr>
        <w:pStyle w:val="Heading2"/>
      </w:pPr>
      <w:bookmarkStart w:id="140" w:name="_bookmark6"/>
      <w:bookmarkStart w:id="141" w:name="_Toc534804863"/>
      <w:bookmarkStart w:id="142" w:name="_Toc534805077"/>
      <w:bookmarkStart w:id="143" w:name="_Toc536192878"/>
      <w:bookmarkStart w:id="144" w:name="_Toc536622976"/>
      <w:bookmarkStart w:id="145" w:name="_Toc536623341"/>
      <w:bookmarkStart w:id="146" w:name="_Toc359246"/>
      <w:bookmarkStart w:id="147" w:name="_Toc360257"/>
      <w:bookmarkStart w:id="148" w:name="_Toc360359"/>
      <w:bookmarkStart w:id="149" w:name="_Toc1463284"/>
      <w:bookmarkStart w:id="150" w:name="_Toc1657027"/>
      <w:bookmarkStart w:id="151" w:name="_Toc81401376"/>
      <w:bookmarkStart w:id="152" w:name="_Toc171520265"/>
      <w:bookmarkEnd w:id="140"/>
      <w:r>
        <w:t xml:space="preserve">5.2 </w:t>
      </w:r>
      <w:r w:rsidRPr="00F53016">
        <w:t>Agency</w:t>
      </w:r>
      <w:r>
        <w:rPr>
          <w:spacing w:val="-14"/>
        </w:rPr>
        <w:t xml:space="preserve"> </w:t>
      </w:r>
      <w:r>
        <w:t>responsibilities</w:t>
      </w:r>
      <w:bookmarkEnd w:id="141"/>
      <w:bookmarkEnd w:id="142"/>
      <w:bookmarkEnd w:id="143"/>
      <w:bookmarkEnd w:id="144"/>
      <w:bookmarkEnd w:id="145"/>
      <w:bookmarkEnd w:id="146"/>
      <w:bookmarkEnd w:id="147"/>
      <w:bookmarkEnd w:id="148"/>
      <w:bookmarkEnd w:id="149"/>
      <w:bookmarkEnd w:id="150"/>
      <w:bookmarkEnd w:id="151"/>
      <w:bookmarkEnd w:id="152"/>
    </w:p>
    <w:p w14:paraId="71A0C7C9" w14:textId="77777777" w:rsidR="00422BA9" w:rsidRDefault="00422BA9" w:rsidP="00422BA9">
      <w:r>
        <w:t>Each agency is responsible for:</w:t>
      </w:r>
    </w:p>
    <w:p w14:paraId="401D5E75" w14:textId="77777777" w:rsidR="00422BA9" w:rsidRDefault="00422BA9" w:rsidP="00422BA9">
      <w:pPr>
        <w:pStyle w:val="ListParagraph"/>
        <w:numPr>
          <w:ilvl w:val="0"/>
          <w:numId w:val="12"/>
        </w:numPr>
        <w:spacing w:before="180" w:line="264" w:lineRule="auto"/>
        <w:contextualSpacing/>
      </w:pPr>
      <w:r>
        <w:lastRenderedPageBreak/>
        <w:t xml:space="preserve">allocating dedicated resources to prepare, validate and cleanse the data to meet specific publishing requirements and publish their contract disclosure updates in line with the QPP and the Guidelines. It is strongly recommended that all agencies have a resource trained to backfill when </w:t>
      </w:r>
      <w:proofErr w:type="gramStart"/>
      <w:r>
        <w:t>required</w:t>
      </w:r>
      <w:proofErr w:type="gramEnd"/>
    </w:p>
    <w:p w14:paraId="41BD92D5" w14:textId="77777777" w:rsidR="00422BA9" w:rsidRDefault="00422BA9" w:rsidP="00422BA9">
      <w:pPr>
        <w:pStyle w:val="ListParagraph"/>
        <w:numPr>
          <w:ilvl w:val="0"/>
          <w:numId w:val="12"/>
        </w:numPr>
        <w:spacing w:before="180" w:line="264" w:lineRule="auto"/>
        <w:contextualSpacing/>
      </w:pPr>
      <w:r>
        <w:t xml:space="preserve">collecting data and creating the Comma separated value (CSV) file and uploading to open data as outlined in </w:t>
      </w:r>
      <w:r w:rsidRPr="00E250C6">
        <w:rPr>
          <w:b/>
        </w:rPr>
        <w:t>Section 9</w:t>
      </w:r>
      <w:r w:rsidRPr="00CF6D23">
        <w:t xml:space="preserve">, </w:t>
      </w:r>
      <w:r>
        <w:t xml:space="preserve">to prepare contract disclosure reporting. Data should be refreshed periodically in line with </w:t>
      </w:r>
      <w:r w:rsidRPr="009F2F60">
        <w:t>QPP and the Guidelines.</w:t>
      </w:r>
      <w:r>
        <w:t xml:space="preserve"> Data is to be approved by each agency’s relevant governance body or delegate prior to</w:t>
      </w:r>
      <w:r w:rsidRPr="00CF6D23">
        <w:t xml:space="preserve"> </w:t>
      </w:r>
      <w:proofErr w:type="gramStart"/>
      <w:r>
        <w:t>refreshing</w:t>
      </w:r>
      <w:proofErr w:type="gramEnd"/>
    </w:p>
    <w:p w14:paraId="20B6D78A" w14:textId="77777777" w:rsidR="00422BA9" w:rsidRDefault="00422BA9" w:rsidP="00422BA9">
      <w:pPr>
        <w:pStyle w:val="ListParagraph"/>
        <w:numPr>
          <w:ilvl w:val="0"/>
          <w:numId w:val="12"/>
        </w:numPr>
        <w:spacing w:before="180" w:line="264" w:lineRule="auto"/>
        <w:contextualSpacing/>
      </w:pPr>
      <w:r>
        <w:t>refreshing the data in the production environment (i.e. open</w:t>
      </w:r>
      <w:r w:rsidRPr="00CF6D23">
        <w:t xml:space="preserve"> </w:t>
      </w:r>
      <w:r>
        <w:t>data)</w:t>
      </w:r>
    </w:p>
    <w:p w14:paraId="21777AAA" w14:textId="77777777" w:rsidR="00422BA9" w:rsidRDefault="00422BA9" w:rsidP="00422BA9">
      <w:pPr>
        <w:pStyle w:val="ListParagraph"/>
        <w:numPr>
          <w:ilvl w:val="0"/>
          <w:numId w:val="12"/>
        </w:numPr>
        <w:spacing w:before="180" w:line="264" w:lineRule="auto"/>
        <w:contextualSpacing/>
      </w:pPr>
      <w:r>
        <w:t>cross-checking the accuracy of the contract disclosure data loaded to open data in the production environment following each</w:t>
      </w:r>
      <w:r w:rsidRPr="00CF6D23">
        <w:t xml:space="preserve"> </w:t>
      </w:r>
      <w:proofErr w:type="gramStart"/>
      <w:r>
        <w:t>refresh</w:t>
      </w:r>
      <w:proofErr w:type="gramEnd"/>
    </w:p>
    <w:p w14:paraId="7FA981B4" w14:textId="77777777" w:rsidR="00422BA9" w:rsidRDefault="00422BA9" w:rsidP="00422BA9">
      <w:pPr>
        <w:pStyle w:val="ListParagraph"/>
        <w:numPr>
          <w:ilvl w:val="0"/>
          <w:numId w:val="12"/>
        </w:numPr>
        <w:spacing w:before="180" w:line="264" w:lineRule="auto"/>
        <w:contextualSpacing/>
      </w:pPr>
      <w:r>
        <w:t>retaining a copy of each dataset on the agency’s own network drive or electronic documents records management system to provide a historical record or for right to information</w:t>
      </w:r>
      <w:r w:rsidRPr="00CF6D23">
        <w:t xml:space="preserve"> </w:t>
      </w:r>
      <w:r>
        <w:t>requests. Only the current resources will be available in open</w:t>
      </w:r>
      <w:r w:rsidRPr="00CF6D23">
        <w:t xml:space="preserve"> </w:t>
      </w:r>
      <w:proofErr w:type="gramStart"/>
      <w:r>
        <w:t>data</w:t>
      </w:r>
      <w:proofErr w:type="gramEnd"/>
    </w:p>
    <w:p w14:paraId="24E1CE34" w14:textId="77777777" w:rsidR="00422BA9" w:rsidRDefault="00422BA9" w:rsidP="00422BA9">
      <w:pPr>
        <w:pStyle w:val="ListParagraph"/>
        <w:numPr>
          <w:ilvl w:val="0"/>
          <w:numId w:val="12"/>
        </w:numPr>
        <w:spacing w:before="180" w:line="264" w:lineRule="auto"/>
        <w:contextualSpacing/>
      </w:pPr>
      <w:r>
        <w:t>responding to any media requests for their agency’s contract disclosure, which are displayed on the contract disclosure open data portal.</w:t>
      </w:r>
    </w:p>
    <w:p w14:paraId="05B06574" w14:textId="75490441" w:rsidR="00422BA9" w:rsidRDefault="00422BA9" w:rsidP="00422BA9">
      <w:pPr>
        <w:pStyle w:val="Heading2"/>
      </w:pPr>
      <w:bookmarkStart w:id="153" w:name="_Toc429909"/>
      <w:bookmarkStart w:id="154" w:name="_Toc433715"/>
      <w:bookmarkStart w:id="155" w:name="_Toc1463242"/>
      <w:bookmarkStart w:id="156" w:name="_Toc1463285"/>
      <w:bookmarkStart w:id="157" w:name="_bookmark7"/>
      <w:bookmarkStart w:id="158" w:name="_Toc534804864"/>
      <w:bookmarkStart w:id="159" w:name="_Toc534805078"/>
      <w:bookmarkStart w:id="160" w:name="_Toc536192879"/>
      <w:bookmarkStart w:id="161" w:name="_Toc536622977"/>
      <w:bookmarkStart w:id="162" w:name="_Toc536623342"/>
      <w:bookmarkStart w:id="163" w:name="_Toc359247"/>
      <w:bookmarkStart w:id="164" w:name="_Toc360258"/>
      <w:bookmarkStart w:id="165" w:name="_Toc360360"/>
      <w:bookmarkStart w:id="166" w:name="_Toc1463286"/>
      <w:bookmarkStart w:id="167" w:name="_Toc1657028"/>
      <w:bookmarkStart w:id="168" w:name="_Toc81401377"/>
      <w:bookmarkStart w:id="169" w:name="_Toc171520266"/>
      <w:bookmarkEnd w:id="153"/>
      <w:bookmarkEnd w:id="154"/>
      <w:bookmarkEnd w:id="155"/>
      <w:bookmarkEnd w:id="156"/>
      <w:bookmarkEnd w:id="157"/>
      <w:r>
        <w:t>5.3 Smart Service Queensland</w:t>
      </w:r>
      <w:r>
        <w:rPr>
          <w:spacing w:val="-11"/>
        </w:rPr>
        <w:t xml:space="preserve"> </w:t>
      </w:r>
      <w:r>
        <w:t>responsibilities</w:t>
      </w:r>
      <w:bookmarkEnd w:id="158"/>
      <w:bookmarkEnd w:id="159"/>
      <w:bookmarkEnd w:id="160"/>
      <w:bookmarkEnd w:id="161"/>
      <w:bookmarkEnd w:id="162"/>
      <w:bookmarkEnd w:id="163"/>
      <w:bookmarkEnd w:id="164"/>
      <w:bookmarkEnd w:id="165"/>
      <w:bookmarkEnd w:id="166"/>
      <w:bookmarkEnd w:id="167"/>
      <w:bookmarkEnd w:id="168"/>
      <w:bookmarkEnd w:id="169"/>
    </w:p>
    <w:p w14:paraId="5B30CE55" w14:textId="77777777" w:rsidR="00422BA9" w:rsidRDefault="00422BA9" w:rsidP="00422BA9">
      <w:pPr>
        <w:spacing w:after="120"/>
      </w:pPr>
      <w:r>
        <w:t>Smart Service Queensland is responsible for:</w:t>
      </w:r>
    </w:p>
    <w:p w14:paraId="7A687FBF" w14:textId="77777777" w:rsidR="00422BA9" w:rsidRDefault="00422BA9" w:rsidP="00422BA9">
      <w:pPr>
        <w:pStyle w:val="ListParagraph"/>
        <w:numPr>
          <w:ilvl w:val="0"/>
          <w:numId w:val="12"/>
        </w:numPr>
        <w:spacing w:before="180" w:line="264" w:lineRule="auto"/>
        <w:contextualSpacing/>
      </w:pPr>
      <w:r>
        <w:t>providing assistance to agencies, as required, to identify and resolve any open data platform related issues for future</w:t>
      </w:r>
      <w:r w:rsidRPr="00CF6D23">
        <w:t xml:space="preserve"> </w:t>
      </w:r>
      <w:proofErr w:type="gramStart"/>
      <w:r>
        <w:t>refreshes</w:t>
      </w:r>
      <w:proofErr w:type="gramEnd"/>
    </w:p>
    <w:p w14:paraId="15F9BFAB" w14:textId="77777777" w:rsidR="00422BA9" w:rsidRDefault="00422BA9" w:rsidP="00422BA9">
      <w:pPr>
        <w:pStyle w:val="ListParagraph"/>
        <w:numPr>
          <w:ilvl w:val="0"/>
          <w:numId w:val="12"/>
        </w:numPr>
        <w:spacing w:before="180" w:line="264" w:lineRule="auto"/>
        <w:contextualSpacing/>
      </w:pPr>
      <w:r>
        <w:t>investigating non-urgent issues and to respond within three working</w:t>
      </w:r>
      <w:r w:rsidRPr="00CF6D23">
        <w:t xml:space="preserve"> </w:t>
      </w:r>
      <w:proofErr w:type="gramStart"/>
      <w:r>
        <w:t>days</w:t>
      </w:r>
      <w:proofErr w:type="gramEnd"/>
    </w:p>
    <w:p w14:paraId="293AD193" w14:textId="77777777" w:rsidR="00422BA9" w:rsidRDefault="00422BA9" w:rsidP="00422BA9">
      <w:pPr>
        <w:pStyle w:val="ListParagraph"/>
        <w:numPr>
          <w:ilvl w:val="0"/>
          <w:numId w:val="12"/>
        </w:numPr>
        <w:spacing w:before="180" w:line="264" w:lineRule="auto"/>
        <w:contextualSpacing/>
      </w:pPr>
      <w:r>
        <w:t xml:space="preserve">investigating urgent requests where there </w:t>
      </w:r>
      <w:proofErr w:type="gramStart"/>
      <w:r>
        <w:t>are</w:t>
      </w:r>
      <w:proofErr w:type="gramEnd"/>
      <w:r>
        <w:t xml:space="preserve"> extenuating</w:t>
      </w:r>
      <w:r w:rsidRPr="00CF6D23">
        <w:t xml:space="preserve"> </w:t>
      </w:r>
      <w:r>
        <w:t>circumstances</w:t>
      </w:r>
    </w:p>
    <w:p w14:paraId="5086AEB2" w14:textId="77777777" w:rsidR="00422BA9" w:rsidRDefault="00422BA9" w:rsidP="00422BA9">
      <w:pPr>
        <w:pStyle w:val="ListParagraph"/>
        <w:numPr>
          <w:ilvl w:val="0"/>
          <w:numId w:val="12"/>
        </w:numPr>
        <w:spacing w:before="180" w:line="264" w:lineRule="auto"/>
        <w:contextualSpacing/>
      </w:pPr>
      <w:r>
        <w:t xml:space="preserve">implementing changes to the data attributes as requested by QGP, following consultation with the </w:t>
      </w:r>
      <w:proofErr w:type="gramStart"/>
      <w:r>
        <w:t>agencies</w:t>
      </w:r>
      <w:proofErr w:type="gramEnd"/>
      <w:r>
        <w:t xml:space="preserve"> </w:t>
      </w:r>
    </w:p>
    <w:p w14:paraId="59E8C8A4" w14:textId="77777777" w:rsidR="00422BA9" w:rsidRDefault="00422BA9" w:rsidP="00422BA9">
      <w:pPr>
        <w:pStyle w:val="ListParagraph"/>
        <w:numPr>
          <w:ilvl w:val="0"/>
          <w:numId w:val="12"/>
        </w:numPr>
        <w:spacing w:before="180" w:line="264" w:lineRule="auto"/>
        <w:contextualSpacing/>
      </w:pPr>
      <w:r>
        <w:t>updating static global data as requested by QGP.</w:t>
      </w:r>
    </w:p>
    <w:p w14:paraId="1B46569F" w14:textId="77777777" w:rsidR="00422BA9" w:rsidRDefault="00422BA9" w:rsidP="009D42B1">
      <w:pPr>
        <w:sectPr w:rsidR="00422BA9" w:rsidSect="003A1CD0">
          <w:headerReference w:type="default"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pPr>
    </w:p>
    <w:p w14:paraId="39AA8561" w14:textId="5A8E0013" w:rsidR="00422BA9" w:rsidRPr="00425E75" w:rsidRDefault="00422BA9" w:rsidP="00422BA9">
      <w:pPr>
        <w:pStyle w:val="Heading1"/>
      </w:pPr>
      <w:bookmarkStart w:id="170" w:name="_Toc534804865"/>
      <w:bookmarkStart w:id="171" w:name="_Toc534805079"/>
      <w:bookmarkStart w:id="172" w:name="_Toc536192880"/>
      <w:bookmarkStart w:id="173" w:name="_Toc536622978"/>
      <w:bookmarkStart w:id="174" w:name="_Toc536623343"/>
      <w:bookmarkStart w:id="175" w:name="_Toc359248"/>
      <w:bookmarkStart w:id="176" w:name="_Toc360259"/>
      <w:bookmarkStart w:id="177" w:name="_Toc360361"/>
      <w:bookmarkStart w:id="178" w:name="_Toc1463287"/>
      <w:bookmarkStart w:id="179" w:name="_Toc1657029"/>
      <w:bookmarkStart w:id="180" w:name="_Toc81401378"/>
      <w:bookmarkStart w:id="181" w:name="_Toc171520267"/>
      <w:r>
        <w:lastRenderedPageBreak/>
        <w:t>6 I</w:t>
      </w:r>
      <w:r w:rsidRPr="00425E75">
        <w:t>nformation dataset</w:t>
      </w:r>
      <w:bookmarkEnd w:id="170"/>
      <w:bookmarkEnd w:id="171"/>
      <w:bookmarkEnd w:id="172"/>
      <w:bookmarkEnd w:id="173"/>
      <w:bookmarkEnd w:id="174"/>
      <w:bookmarkEnd w:id="175"/>
      <w:bookmarkEnd w:id="176"/>
      <w:bookmarkEnd w:id="177"/>
      <w:bookmarkEnd w:id="178"/>
      <w:bookmarkEnd w:id="179"/>
      <w:bookmarkEnd w:id="180"/>
      <w:bookmarkEnd w:id="181"/>
    </w:p>
    <w:p w14:paraId="5DCB9E0D" w14:textId="64BB1593" w:rsidR="00422BA9" w:rsidRDefault="00422BA9" w:rsidP="00422BA9">
      <w:pPr>
        <w:pStyle w:val="Heading2"/>
      </w:pPr>
      <w:bookmarkStart w:id="182" w:name="_Toc530988468"/>
      <w:bookmarkStart w:id="183" w:name="_Toc534804867"/>
      <w:bookmarkStart w:id="184" w:name="_Toc534805081"/>
      <w:bookmarkStart w:id="185" w:name="_Toc536192882"/>
      <w:bookmarkStart w:id="186" w:name="_Toc536622980"/>
      <w:bookmarkStart w:id="187" w:name="_Toc536623345"/>
      <w:bookmarkStart w:id="188" w:name="_Toc359250"/>
      <w:bookmarkStart w:id="189" w:name="_Toc360261"/>
      <w:bookmarkStart w:id="190" w:name="_Toc360363"/>
      <w:bookmarkStart w:id="191" w:name="_Toc81401379"/>
      <w:bookmarkStart w:id="192" w:name="_Toc171520268"/>
      <w:r>
        <w:t>6.</w:t>
      </w:r>
      <w:bookmarkStart w:id="193" w:name="_Toc1463289"/>
      <w:bookmarkStart w:id="194" w:name="_Toc1657032"/>
      <w:r>
        <w:t xml:space="preserve">1 Data </w:t>
      </w:r>
      <w:bookmarkEnd w:id="182"/>
      <w:bookmarkEnd w:id="183"/>
      <w:bookmarkEnd w:id="184"/>
      <w:bookmarkEnd w:id="185"/>
      <w:bookmarkEnd w:id="186"/>
      <w:bookmarkEnd w:id="187"/>
      <w:bookmarkEnd w:id="188"/>
      <w:bookmarkEnd w:id="189"/>
      <w:bookmarkEnd w:id="190"/>
      <w:r>
        <w:t>disclosure fields</w:t>
      </w:r>
      <w:bookmarkEnd w:id="191"/>
      <w:bookmarkEnd w:id="193"/>
      <w:bookmarkEnd w:id="194"/>
      <w:bookmarkEnd w:id="192"/>
    </w:p>
    <w:p w14:paraId="677B31F6" w14:textId="77777777" w:rsidR="00422BA9" w:rsidRPr="00422BA9" w:rsidRDefault="00422BA9" w:rsidP="00422BA9">
      <w:pPr>
        <w:rPr>
          <w:rFonts w:cs="Arial"/>
          <w:szCs w:val="20"/>
        </w:rPr>
      </w:pPr>
      <w:r w:rsidRPr="00422BA9">
        <w:rPr>
          <w:rFonts w:cs="Arial"/>
          <w:szCs w:val="20"/>
        </w:rPr>
        <w:t>The following table provides data field names and short descriptions of the information provided for the contract disclosure dataset and how each field maps to Procurement Key Data Sets (KDS) and the international, open standard Open Contracting Data Standard (OCDS).</w:t>
      </w:r>
    </w:p>
    <w:p w14:paraId="7C389104" w14:textId="77777777" w:rsidR="00422BA9" w:rsidRPr="00422BA9" w:rsidRDefault="00422BA9" w:rsidP="00422BA9">
      <w:pPr>
        <w:rPr>
          <w:rFonts w:cs="Arial"/>
          <w:b/>
          <w:szCs w:val="20"/>
        </w:rPr>
      </w:pPr>
      <w:r w:rsidRPr="00422BA9">
        <w:rPr>
          <w:rFonts w:cs="Arial"/>
          <w:b/>
          <w:szCs w:val="20"/>
        </w:rPr>
        <w:t>Contract disclosure fields</w:t>
      </w:r>
    </w:p>
    <w:tbl>
      <w:tblPr>
        <w:tblW w:w="72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0"/>
      </w:tblGrid>
      <w:tr w:rsidR="00422BA9" w:rsidRPr="00422BA9" w14:paraId="0B15ACC6" w14:textId="77777777" w:rsidTr="00422BA9">
        <w:trPr>
          <w:trHeight w:val="300"/>
        </w:trPr>
        <w:tc>
          <w:tcPr>
            <w:tcW w:w="7230" w:type="dxa"/>
            <w:shd w:val="clear" w:color="auto" w:fill="8B153D" w:themeFill="accent1"/>
            <w:noWrap/>
            <w:vAlign w:val="bottom"/>
          </w:tcPr>
          <w:p w14:paraId="5F1A32A4" w14:textId="57001B19" w:rsidR="00422BA9" w:rsidRPr="00422BA9" w:rsidRDefault="00422BA9" w:rsidP="00BF4FBA">
            <w:pPr>
              <w:spacing w:after="0" w:line="240" w:lineRule="auto"/>
              <w:rPr>
                <w:rFonts w:cs="Arial"/>
                <w:b/>
                <w:bCs/>
                <w:color w:val="000000"/>
                <w:szCs w:val="20"/>
                <w:lang w:eastAsia="en-AU"/>
              </w:rPr>
            </w:pPr>
            <w:r w:rsidRPr="00422BA9">
              <w:rPr>
                <w:rFonts w:cs="Arial"/>
                <w:b/>
                <w:bCs/>
                <w:color w:val="FFFFFF" w:themeColor="background1"/>
                <w:szCs w:val="20"/>
                <w:lang w:eastAsia="en-AU"/>
              </w:rPr>
              <w:t>Legend</w:t>
            </w:r>
          </w:p>
        </w:tc>
      </w:tr>
      <w:tr w:rsidR="00422BA9" w:rsidRPr="00422BA9" w14:paraId="6D6336DD" w14:textId="77777777" w:rsidTr="00422BA9">
        <w:trPr>
          <w:trHeight w:val="300"/>
        </w:trPr>
        <w:tc>
          <w:tcPr>
            <w:tcW w:w="7230" w:type="dxa"/>
            <w:shd w:val="clear" w:color="auto" w:fill="C46332"/>
            <w:noWrap/>
            <w:vAlign w:val="bottom"/>
            <w:hideMark/>
          </w:tcPr>
          <w:p w14:paraId="212040D0" w14:textId="77777777" w:rsidR="00422BA9" w:rsidRPr="00422BA9" w:rsidRDefault="00422BA9" w:rsidP="00BF4FBA">
            <w:pPr>
              <w:spacing w:after="0" w:line="240" w:lineRule="auto"/>
              <w:rPr>
                <w:rFonts w:cs="Arial"/>
                <w:b/>
                <w:bCs/>
                <w:color w:val="000000"/>
                <w:szCs w:val="20"/>
                <w:lang w:eastAsia="en-AU"/>
              </w:rPr>
            </w:pPr>
            <w:r w:rsidRPr="00422BA9">
              <w:rPr>
                <w:rFonts w:cs="Arial"/>
                <w:b/>
                <w:bCs/>
                <w:color w:val="FFFFFF" w:themeColor="background1"/>
                <w:szCs w:val="20"/>
                <w:lang w:eastAsia="en-AU"/>
              </w:rPr>
              <w:t>Mandatory for contracts over $10,000</w:t>
            </w:r>
          </w:p>
        </w:tc>
      </w:tr>
      <w:tr w:rsidR="00422BA9" w:rsidRPr="00422BA9" w14:paraId="3C7FD6F5" w14:textId="77777777" w:rsidTr="00422BA9">
        <w:trPr>
          <w:trHeight w:val="300"/>
        </w:trPr>
        <w:tc>
          <w:tcPr>
            <w:tcW w:w="7230" w:type="dxa"/>
            <w:shd w:val="clear" w:color="auto" w:fill="A70240"/>
            <w:noWrap/>
            <w:vAlign w:val="bottom"/>
            <w:hideMark/>
          </w:tcPr>
          <w:p w14:paraId="123CAB2F" w14:textId="77777777" w:rsidR="00422BA9" w:rsidRPr="00422BA9" w:rsidRDefault="00422BA9" w:rsidP="00BF4FBA">
            <w:pPr>
              <w:spacing w:after="0" w:line="240" w:lineRule="auto"/>
              <w:rPr>
                <w:rFonts w:cs="Arial"/>
                <w:b/>
                <w:bCs/>
                <w:color w:val="FFFFFF"/>
                <w:szCs w:val="20"/>
                <w:lang w:eastAsia="en-AU"/>
              </w:rPr>
            </w:pPr>
            <w:r w:rsidRPr="00422BA9">
              <w:rPr>
                <w:rFonts w:cs="Arial"/>
                <w:b/>
                <w:bCs/>
                <w:color w:val="FFFFFF"/>
                <w:szCs w:val="20"/>
                <w:lang w:eastAsia="en-AU"/>
              </w:rPr>
              <w:t>Mandatory for contracts over $500,000 additional field to complete</w:t>
            </w:r>
          </w:p>
        </w:tc>
      </w:tr>
      <w:tr w:rsidR="00422BA9" w:rsidRPr="00422BA9" w14:paraId="61C93333" w14:textId="77777777" w:rsidTr="00422BA9">
        <w:trPr>
          <w:trHeight w:val="300"/>
        </w:trPr>
        <w:tc>
          <w:tcPr>
            <w:tcW w:w="7230" w:type="dxa"/>
            <w:shd w:val="clear" w:color="auto" w:fill="8E3493"/>
            <w:noWrap/>
            <w:vAlign w:val="bottom"/>
          </w:tcPr>
          <w:p w14:paraId="0F664747" w14:textId="4E709D05" w:rsidR="00422BA9" w:rsidRPr="00422BA9" w:rsidRDefault="00422BA9" w:rsidP="00BF4FBA">
            <w:pPr>
              <w:spacing w:after="0" w:line="240" w:lineRule="auto"/>
              <w:rPr>
                <w:rFonts w:cs="Arial"/>
                <w:b/>
                <w:bCs/>
                <w:color w:val="FFFFFF" w:themeColor="background1"/>
                <w:szCs w:val="20"/>
                <w:lang w:eastAsia="en-AU"/>
              </w:rPr>
            </w:pPr>
            <w:r w:rsidRPr="00422BA9">
              <w:rPr>
                <w:rFonts w:cs="Arial"/>
                <w:b/>
                <w:bCs/>
                <w:color w:val="FFFFFF" w:themeColor="background1"/>
                <w:szCs w:val="20"/>
                <w:lang w:eastAsia="en-AU"/>
              </w:rPr>
              <w:t>Mandatory for goods and services contracts over $500,000 and construction contracts over $8.5 million additional field to comply with FTA obligations</w:t>
            </w:r>
          </w:p>
        </w:tc>
      </w:tr>
      <w:tr w:rsidR="00422BA9" w:rsidRPr="00422BA9" w14:paraId="5FB1E156" w14:textId="77777777" w:rsidTr="00422BA9">
        <w:trPr>
          <w:trHeight w:val="300"/>
        </w:trPr>
        <w:tc>
          <w:tcPr>
            <w:tcW w:w="7230" w:type="dxa"/>
            <w:shd w:val="clear" w:color="auto" w:fill="6ECEC1"/>
            <w:noWrap/>
            <w:vAlign w:val="bottom"/>
            <w:hideMark/>
          </w:tcPr>
          <w:p w14:paraId="7EBE2582" w14:textId="77777777" w:rsidR="00422BA9" w:rsidRPr="00422BA9" w:rsidRDefault="00422BA9" w:rsidP="00BF4FBA">
            <w:pPr>
              <w:spacing w:after="0" w:line="240" w:lineRule="auto"/>
              <w:rPr>
                <w:rFonts w:cs="Arial"/>
                <w:b/>
                <w:bCs/>
                <w:color w:val="000000"/>
                <w:szCs w:val="20"/>
                <w:highlight w:val="yellow"/>
                <w:lang w:eastAsia="en-AU"/>
              </w:rPr>
            </w:pPr>
            <w:r w:rsidRPr="00422BA9">
              <w:rPr>
                <w:rFonts w:cs="Arial"/>
                <w:b/>
                <w:bCs/>
                <w:color w:val="000000"/>
                <w:szCs w:val="20"/>
                <w:lang w:eastAsia="en-AU"/>
              </w:rPr>
              <w:t>Mandatory for contracts over $10 million additional fields to complete</w:t>
            </w:r>
          </w:p>
        </w:tc>
      </w:tr>
      <w:tr w:rsidR="00422BA9" w:rsidRPr="00422BA9" w14:paraId="1F740D4C" w14:textId="77777777" w:rsidTr="00422BA9">
        <w:trPr>
          <w:trHeight w:val="300"/>
        </w:trPr>
        <w:tc>
          <w:tcPr>
            <w:tcW w:w="7230" w:type="dxa"/>
            <w:shd w:val="clear" w:color="auto" w:fill="F3D148"/>
            <w:noWrap/>
            <w:vAlign w:val="bottom"/>
            <w:hideMark/>
          </w:tcPr>
          <w:p w14:paraId="461E9CD9" w14:textId="77777777" w:rsidR="00422BA9" w:rsidRPr="00422BA9" w:rsidRDefault="00422BA9" w:rsidP="00BF4FBA">
            <w:pPr>
              <w:spacing w:after="0" w:line="240" w:lineRule="auto"/>
              <w:rPr>
                <w:rFonts w:cs="Arial"/>
                <w:b/>
                <w:bCs/>
                <w:color w:val="000000"/>
                <w:szCs w:val="20"/>
                <w:lang w:eastAsia="en-AU"/>
              </w:rPr>
            </w:pPr>
            <w:r w:rsidRPr="00422BA9">
              <w:rPr>
                <w:rFonts w:cs="Arial"/>
                <w:b/>
                <w:bCs/>
                <w:color w:val="000000"/>
                <w:szCs w:val="20"/>
                <w:lang w:eastAsia="en-AU"/>
              </w:rPr>
              <w:t>Optional fields recommended for comprehensive recordkeeping</w:t>
            </w:r>
          </w:p>
        </w:tc>
      </w:tr>
    </w:tbl>
    <w:tbl>
      <w:tblPr>
        <w:tblStyle w:val="TableGrid"/>
        <w:tblW w:w="5000" w:type="pct"/>
        <w:tblLook w:val="04A0" w:firstRow="1" w:lastRow="0" w:firstColumn="1" w:lastColumn="0" w:noHBand="0" w:noVBand="1"/>
      </w:tblPr>
      <w:tblGrid>
        <w:gridCol w:w="3818"/>
        <w:gridCol w:w="1645"/>
        <w:gridCol w:w="1904"/>
        <w:gridCol w:w="1706"/>
        <w:gridCol w:w="1845"/>
        <w:gridCol w:w="928"/>
        <w:gridCol w:w="2102"/>
      </w:tblGrid>
      <w:tr w:rsidR="00422BA9" w:rsidRPr="00422BA9" w14:paraId="041EA601" w14:textId="77777777" w:rsidTr="00422BA9">
        <w:trPr>
          <w:tblHeader/>
        </w:trPr>
        <w:tc>
          <w:tcPr>
            <w:tcW w:w="10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153D" w:themeFill="accent1"/>
          </w:tcPr>
          <w:p w14:paraId="422ED5A1" w14:textId="77777777" w:rsidR="00422BA9" w:rsidRPr="00422BA9" w:rsidRDefault="00422BA9" w:rsidP="00BF4FBA">
            <w:pPr>
              <w:rPr>
                <w:rFonts w:cs="Arial"/>
                <w:b/>
                <w:color w:val="FFFFFF" w:themeColor="background1"/>
                <w:szCs w:val="20"/>
              </w:rPr>
            </w:pPr>
            <w:r w:rsidRPr="00422BA9">
              <w:rPr>
                <w:rFonts w:cs="Arial"/>
                <w:b/>
                <w:color w:val="FFFFFF" w:themeColor="background1"/>
                <w:szCs w:val="20"/>
              </w:rPr>
              <w:t>OCDS name</w:t>
            </w:r>
          </w:p>
        </w:tc>
        <w:tc>
          <w:tcPr>
            <w:tcW w:w="6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153D" w:themeFill="accent1"/>
          </w:tcPr>
          <w:p w14:paraId="19C66419" w14:textId="77777777" w:rsidR="00422BA9" w:rsidRPr="00422BA9" w:rsidRDefault="00422BA9" w:rsidP="00BF4FBA">
            <w:pPr>
              <w:rPr>
                <w:rFonts w:cs="Arial"/>
                <w:b/>
                <w:color w:val="FFFFFF" w:themeColor="background1"/>
                <w:szCs w:val="20"/>
              </w:rPr>
            </w:pPr>
            <w:r w:rsidRPr="00422BA9">
              <w:rPr>
                <w:rFonts w:cs="Arial"/>
                <w:b/>
                <w:color w:val="FFFFFF" w:themeColor="background1"/>
                <w:szCs w:val="20"/>
              </w:rPr>
              <w:t>KDS</w:t>
            </w:r>
          </w:p>
        </w:tc>
        <w:tc>
          <w:tcPr>
            <w:tcW w:w="74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153D" w:themeFill="accent1"/>
          </w:tcPr>
          <w:p w14:paraId="6AFAC80E" w14:textId="77777777" w:rsidR="00422BA9" w:rsidRPr="00422BA9" w:rsidRDefault="00422BA9" w:rsidP="00BF4FBA">
            <w:pPr>
              <w:rPr>
                <w:rFonts w:cs="Arial"/>
                <w:b/>
                <w:color w:val="FFFFFF" w:themeColor="background1"/>
                <w:szCs w:val="20"/>
              </w:rPr>
            </w:pPr>
            <w:r w:rsidRPr="00422BA9">
              <w:rPr>
                <w:rFonts w:cs="Arial"/>
                <w:b/>
                <w:color w:val="FFFFFF" w:themeColor="background1"/>
                <w:szCs w:val="20"/>
              </w:rPr>
              <w:t>Contract disclosure field name</w:t>
            </w:r>
          </w:p>
        </w:tc>
        <w:tc>
          <w:tcPr>
            <w:tcW w:w="6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153D" w:themeFill="accent1"/>
          </w:tcPr>
          <w:p w14:paraId="31D9AB09" w14:textId="77777777" w:rsidR="00422BA9" w:rsidRPr="00422BA9" w:rsidRDefault="00422BA9" w:rsidP="00BF4FBA">
            <w:pPr>
              <w:rPr>
                <w:rFonts w:cs="Arial"/>
                <w:b/>
                <w:color w:val="FFFFFF" w:themeColor="background1"/>
                <w:szCs w:val="20"/>
              </w:rPr>
            </w:pPr>
            <w:r w:rsidRPr="00422BA9">
              <w:rPr>
                <w:rFonts w:cs="Arial"/>
                <w:b/>
                <w:color w:val="FFFFFF" w:themeColor="background1"/>
                <w:szCs w:val="20"/>
              </w:rPr>
              <w:t>Description</w:t>
            </w:r>
          </w:p>
        </w:tc>
        <w:tc>
          <w:tcPr>
            <w:tcW w:w="74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153D" w:themeFill="accent1"/>
          </w:tcPr>
          <w:p w14:paraId="06834C1E" w14:textId="77777777" w:rsidR="00422BA9" w:rsidRPr="00422BA9" w:rsidRDefault="00422BA9" w:rsidP="00BF4FBA">
            <w:pPr>
              <w:rPr>
                <w:rFonts w:cs="Arial"/>
                <w:b/>
                <w:color w:val="FFFFFF" w:themeColor="background1"/>
                <w:szCs w:val="20"/>
              </w:rPr>
            </w:pPr>
            <w:r w:rsidRPr="00422BA9">
              <w:rPr>
                <w:rFonts w:cs="Arial"/>
                <w:b/>
                <w:color w:val="FFFFFF" w:themeColor="background1"/>
                <w:szCs w:val="20"/>
              </w:rPr>
              <w:t>Status</w:t>
            </w:r>
          </w:p>
        </w:tc>
        <w:tc>
          <w:tcPr>
            <w:tcW w:w="3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153D" w:themeFill="accent1"/>
          </w:tcPr>
          <w:p w14:paraId="760BD830" w14:textId="77777777" w:rsidR="00422BA9" w:rsidRPr="00422BA9" w:rsidRDefault="00422BA9" w:rsidP="00BF4FBA">
            <w:pPr>
              <w:rPr>
                <w:rFonts w:cs="Arial"/>
                <w:b/>
                <w:color w:val="FFFFFF" w:themeColor="background1"/>
                <w:szCs w:val="20"/>
              </w:rPr>
            </w:pPr>
            <w:r w:rsidRPr="00422BA9">
              <w:rPr>
                <w:rFonts w:cs="Arial"/>
                <w:b/>
                <w:color w:val="FFFFFF" w:themeColor="background1"/>
                <w:szCs w:val="20"/>
              </w:rPr>
              <w:t>Type</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153D" w:themeFill="accent1"/>
          </w:tcPr>
          <w:p w14:paraId="3F71999B" w14:textId="77777777" w:rsidR="00422BA9" w:rsidRPr="00422BA9" w:rsidRDefault="00422BA9" w:rsidP="00BF4FBA">
            <w:pPr>
              <w:rPr>
                <w:rFonts w:cs="Arial"/>
                <w:b/>
                <w:color w:val="FFFFFF" w:themeColor="background1"/>
                <w:szCs w:val="20"/>
              </w:rPr>
            </w:pPr>
            <w:r w:rsidRPr="00422BA9">
              <w:rPr>
                <w:rFonts w:cs="Arial"/>
                <w:b/>
                <w:color w:val="FFFFFF" w:themeColor="background1"/>
                <w:szCs w:val="20"/>
              </w:rPr>
              <w:t>Comment</w:t>
            </w:r>
          </w:p>
        </w:tc>
      </w:tr>
      <w:tr w:rsidR="00422BA9" w:rsidRPr="00422BA9" w14:paraId="4D0661C2" w14:textId="77777777" w:rsidTr="00422BA9">
        <w:tc>
          <w:tcPr>
            <w:tcW w:w="1017" w:type="pct"/>
          </w:tcPr>
          <w:p w14:paraId="26D32DE9" w14:textId="77777777" w:rsidR="00422BA9" w:rsidRPr="00422BA9" w:rsidRDefault="00422BA9" w:rsidP="00BF4FBA">
            <w:pPr>
              <w:rPr>
                <w:rFonts w:cs="Arial"/>
                <w:szCs w:val="20"/>
              </w:rPr>
            </w:pPr>
          </w:p>
        </w:tc>
        <w:tc>
          <w:tcPr>
            <w:tcW w:w="648" w:type="pct"/>
          </w:tcPr>
          <w:p w14:paraId="0E950A4E" w14:textId="77777777" w:rsidR="00422BA9" w:rsidRPr="00422BA9" w:rsidRDefault="00422BA9" w:rsidP="00BF4FBA">
            <w:pPr>
              <w:rPr>
                <w:rFonts w:cs="Arial"/>
                <w:szCs w:val="20"/>
              </w:rPr>
            </w:pPr>
          </w:p>
        </w:tc>
        <w:tc>
          <w:tcPr>
            <w:tcW w:w="741" w:type="pct"/>
            <w:shd w:val="clear" w:color="auto" w:fill="auto"/>
          </w:tcPr>
          <w:p w14:paraId="06B910D4" w14:textId="77777777" w:rsidR="00422BA9" w:rsidRPr="00422BA9" w:rsidRDefault="00422BA9" w:rsidP="00BF4FBA">
            <w:pPr>
              <w:rPr>
                <w:rFonts w:cs="Arial"/>
                <w:szCs w:val="20"/>
              </w:rPr>
            </w:pPr>
            <w:r w:rsidRPr="00422BA9">
              <w:rPr>
                <w:rFonts w:cs="Arial"/>
                <w:szCs w:val="20"/>
              </w:rPr>
              <w:t>Agency</w:t>
            </w:r>
          </w:p>
        </w:tc>
        <w:tc>
          <w:tcPr>
            <w:tcW w:w="649" w:type="pct"/>
          </w:tcPr>
          <w:p w14:paraId="04C75B3A" w14:textId="77777777" w:rsidR="00422BA9" w:rsidRPr="00422BA9" w:rsidRDefault="00422BA9" w:rsidP="00BF4FBA">
            <w:pPr>
              <w:rPr>
                <w:rFonts w:cs="Arial"/>
                <w:szCs w:val="20"/>
              </w:rPr>
            </w:pPr>
            <w:r w:rsidRPr="00422BA9">
              <w:rPr>
                <w:rFonts w:cs="Arial"/>
                <w:szCs w:val="20"/>
              </w:rPr>
              <w:t>Name of agency</w:t>
            </w:r>
          </w:p>
        </w:tc>
        <w:tc>
          <w:tcPr>
            <w:tcW w:w="741" w:type="pct"/>
            <w:shd w:val="clear" w:color="auto" w:fill="C46332"/>
          </w:tcPr>
          <w:p w14:paraId="6F037B1C" w14:textId="77777777" w:rsidR="00422BA9" w:rsidRPr="00422BA9" w:rsidRDefault="00422BA9" w:rsidP="00BF4FBA">
            <w:pPr>
              <w:rPr>
                <w:rFonts w:cs="Arial"/>
                <w:color w:val="FFFFFF" w:themeColor="background1"/>
                <w:szCs w:val="20"/>
              </w:rPr>
            </w:pPr>
            <w:r w:rsidRPr="00422BA9">
              <w:rPr>
                <w:rFonts w:cs="Arial"/>
                <w:color w:val="FFFFFF" w:themeColor="background1"/>
                <w:szCs w:val="20"/>
              </w:rPr>
              <w:t>Mandatory</w:t>
            </w:r>
          </w:p>
        </w:tc>
        <w:tc>
          <w:tcPr>
            <w:tcW w:w="370" w:type="pct"/>
          </w:tcPr>
          <w:p w14:paraId="7396E677" w14:textId="77777777" w:rsidR="00422BA9" w:rsidRPr="00422BA9" w:rsidRDefault="00422BA9" w:rsidP="00BF4FBA">
            <w:pPr>
              <w:rPr>
                <w:rFonts w:cs="Arial"/>
                <w:szCs w:val="20"/>
              </w:rPr>
            </w:pPr>
            <w:r w:rsidRPr="00422BA9">
              <w:rPr>
                <w:rFonts w:cs="Arial"/>
                <w:szCs w:val="20"/>
              </w:rPr>
              <w:t>Text</w:t>
            </w:r>
          </w:p>
        </w:tc>
        <w:tc>
          <w:tcPr>
            <w:tcW w:w="833" w:type="pct"/>
          </w:tcPr>
          <w:p w14:paraId="7F1468D3" w14:textId="77777777" w:rsidR="00422BA9" w:rsidRPr="00422BA9" w:rsidRDefault="00422BA9" w:rsidP="00BF4FBA">
            <w:pPr>
              <w:rPr>
                <w:rFonts w:cs="Arial"/>
                <w:szCs w:val="20"/>
              </w:rPr>
            </w:pPr>
          </w:p>
        </w:tc>
      </w:tr>
      <w:tr w:rsidR="00422BA9" w:rsidRPr="00422BA9" w14:paraId="5F5FDEE6" w14:textId="77777777" w:rsidTr="00422BA9">
        <w:tc>
          <w:tcPr>
            <w:tcW w:w="1017" w:type="pct"/>
            <w:shd w:val="clear" w:color="auto" w:fill="F2F2F2" w:themeFill="background1" w:themeFillShade="F2"/>
          </w:tcPr>
          <w:p w14:paraId="08E13A1A" w14:textId="77777777" w:rsidR="00422BA9" w:rsidRPr="00422BA9" w:rsidRDefault="00422BA9" w:rsidP="00BF4FBA">
            <w:pPr>
              <w:rPr>
                <w:rFonts w:cs="Arial"/>
                <w:szCs w:val="20"/>
              </w:rPr>
            </w:pPr>
          </w:p>
        </w:tc>
        <w:tc>
          <w:tcPr>
            <w:tcW w:w="648" w:type="pct"/>
            <w:shd w:val="clear" w:color="auto" w:fill="F2F2F2" w:themeFill="background1" w:themeFillShade="F2"/>
          </w:tcPr>
          <w:p w14:paraId="437EBD21" w14:textId="77777777" w:rsidR="00422BA9" w:rsidRPr="00422BA9" w:rsidRDefault="00422BA9" w:rsidP="00BF4FBA">
            <w:pPr>
              <w:rPr>
                <w:rFonts w:cs="Arial"/>
                <w:szCs w:val="20"/>
              </w:rPr>
            </w:pPr>
          </w:p>
        </w:tc>
        <w:tc>
          <w:tcPr>
            <w:tcW w:w="741" w:type="pct"/>
            <w:shd w:val="clear" w:color="auto" w:fill="F2F2F2" w:themeFill="background1" w:themeFillShade="F2"/>
          </w:tcPr>
          <w:p w14:paraId="702A71FA" w14:textId="77777777" w:rsidR="00422BA9" w:rsidRPr="00422BA9" w:rsidRDefault="00422BA9" w:rsidP="00BF4FBA">
            <w:pPr>
              <w:rPr>
                <w:rFonts w:cs="Arial"/>
                <w:szCs w:val="20"/>
              </w:rPr>
            </w:pPr>
            <w:r w:rsidRPr="00422BA9">
              <w:rPr>
                <w:rFonts w:cs="Arial"/>
                <w:szCs w:val="20"/>
              </w:rPr>
              <w:t>Agency address</w:t>
            </w:r>
          </w:p>
        </w:tc>
        <w:tc>
          <w:tcPr>
            <w:tcW w:w="649" w:type="pct"/>
            <w:shd w:val="clear" w:color="auto" w:fill="F2F2F2" w:themeFill="background1" w:themeFillShade="F2"/>
          </w:tcPr>
          <w:p w14:paraId="27637F9B" w14:textId="77777777" w:rsidR="00422BA9" w:rsidRPr="00422BA9" w:rsidRDefault="00422BA9" w:rsidP="00BF4FBA">
            <w:pPr>
              <w:rPr>
                <w:rFonts w:cs="Arial"/>
                <w:szCs w:val="20"/>
                <w:highlight w:val="yellow"/>
              </w:rPr>
            </w:pPr>
            <w:r w:rsidRPr="00422BA9">
              <w:rPr>
                <w:rFonts w:cs="Arial"/>
                <w:szCs w:val="20"/>
              </w:rPr>
              <w:t>The address of the agency procuring the services</w:t>
            </w:r>
          </w:p>
        </w:tc>
        <w:tc>
          <w:tcPr>
            <w:tcW w:w="741" w:type="pct"/>
            <w:shd w:val="clear" w:color="auto" w:fill="C46332"/>
          </w:tcPr>
          <w:p w14:paraId="2F23137C" w14:textId="77777777" w:rsidR="00422BA9" w:rsidRPr="00422BA9" w:rsidRDefault="00422BA9" w:rsidP="00BF4FBA">
            <w:pPr>
              <w:rPr>
                <w:rFonts w:cs="Arial"/>
                <w:color w:val="FFFFFF" w:themeColor="background1"/>
                <w:szCs w:val="20"/>
              </w:rPr>
            </w:pPr>
            <w:r w:rsidRPr="00422BA9">
              <w:rPr>
                <w:rFonts w:cs="Arial"/>
                <w:color w:val="FFFFFF" w:themeColor="background1"/>
                <w:szCs w:val="20"/>
              </w:rPr>
              <w:t>Mandatory</w:t>
            </w:r>
          </w:p>
        </w:tc>
        <w:tc>
          <w:tcPr>
            <w:tcW w:w="370" w:type="pct"/>
            <w:shd w:val="clear" w:color="auto" w:fill="F2F2F2" w:themeFill="background1" w:themeFillShade="F2"/>
          </w:tcPr>
          <w:p w14:paraId="6FAF3C08" w14:textId="77777777" w:rsidR="00422BA9" w:rsidRPr="00422BA9" w:rsidRDefault="00422BA9" w:rsidP="00BF4FBA">
            <w:pPr>
              <w:rPr>
                <w:rFonts w:cs="Arial"/>
                <w:szCs w:val="20"/>
              </w:rPr>
            </w:pPr>
            <w:r w:rsidRPr="00422BA9">
              <w:rPr>
                <w:rFonts w:cs="Arial"/>
                <w:szCs w:val="20"/>
              </w:rPr>
              <w:t>Text</w:t>
            </w:r>
          </w:p>
        </w:tc>
        <w:tc>
          <w:tcPr>
            <w:tcW w:w="833" w:type="pct"/>
            <w:shd w:val="clear" w:color="auto" w:fill="F2F2F2" w:themeFill="background1" w:themeFillShade="F2"/>
          </w:tcPr>
          <w:p w14:paraId="309F03C1" w14:textId="77777777" w:rsidR="00422BA9" w:rsidRPr="00422BA9" w:rsidRDefault="00422BA9" w:rsidP="00BF4FBA">
            <w:pPr>
              <w:rPr>
                <w:rFonts w:cs="Arial"/>
                <w:szCs w:val="20"/>
              </w:rPr>
            </w:pPr>
            <w:r w:rsidRPr="00422BA9">
              <w:rPr>
                <w:rFonts w:cs="Arial"/>
                <w:szCs w:val="20"/>
              </w:rPr>
              <w:t>For multiple addresses, separate each address using the semi-colon (;) character. For example: Address 1; Address 2; Address 3</w:t>
            </w:r>
          </w:p>
        </w:tc>
      </w:tr>
      <w:tr w:rsidR="00422BA9" w:rsidRPr="00422BA9" w14:paraId="710A93AC" w14:textId="77777777" w:rsidTr="00422BA9">
        <w:tc>
          <w:tcPr>
            <w:tcW w:w="1017" w:type="pct"/>
          </w:tcPr>
          <w:p w14:paraId="7BF70AF2" w14:textId="77777777" w:rsidR="00422BA9" w:rsidRPr="00422BA9" w:rsidRDefault="00422BA9" w:rsidP="00BF4FBA">
            <w:pPr>
              <w:rPr>
                <w:rFonts w:cs="Arial"/>
                <w:szCs w:val="20"/>
              </w:rPr>
            </w:pPr>
            <w:r w:rsidRPr="00422BA9">
              <w:rPr>
                <w:rFonts w:cs="Arial"/>
                <w:szCs w:val="20"/>
              </w:rPr>
              <w:t>Contracts/title</w:t>
            </w:r>
          </w:p>
        </w:tc>
        <w:tc>
          <w:tcPr>
            <w:tcW w:w="648" w:type="pct"/>
          </w:tcPr>
          <w:p w14:paraId="4F6BED9C" w14:textId="77777777" w:rsidR="00422BA9" w:rsidRPr="00422BA9" w:rsidRDefault="00422BA9" w:rsidP="00BF4FBA">
            <w:pPr>
              <w:jc w:val="both"/>
              <w:rPr>
                <w:rFonts w:cs="Arial"/>
                <w:szCs w:val="20"/>
              </w:rPr>
            </w:pPr>
            <w:r w:rsidRPr="00422BA9">
              <w:rPr>
                <w:rFonts w:cs="Arial"/>
                <w:szCs w:val="20"/>
              </w:rPr>
              <w:t>Contract name</w:t>
            </w:r>
          </w:p>
        </w:tc>
        <w:tc>
          <w:tcPr>
            <w:tcW w:w="741" w:type="pct"/>
            <w:shd w:val="clear" w:color="auto" w:fill="auto"/>
          </w:tcPr>
          <w:p w14:paraId="7A8751B6" w14:textId="77777777" w:rsidR="00422BA9" w:rsidRPr="00422BA9" w:rsidRDefault="00422BA9" w:rsidP="00BF4FBA">
            <w:pPr>
              <w:rPr>
                <w:rFonts w:cs="Arial"/>
                <w:szCs w:val="20"/>
              </w:rPr>
            </w:pPr>
            <w:r w:rsidRPr="00422BA9">
              <w:rPr>
                <w:rFonts w:cs="Arial"/>
                <w:szCs w:val="20"/>
              </w:rPr>
              <w:t>Contract description/name</w:t>
            </w:r>
          </w:p>
        </w:tc>
        <w:tc>
          <w:tcPr>
            <w:tcW w:w="649" w:type="pct"/>
          </w:tcPr>
          <w:p w14:paraId="34569D5E" w14:textId="77777777" w:rsidR="00422BA9" w:rsidRPr="00422BA9" w:rsidRDefault="00422BA9" w:rsidP="00BF4FBA">
            <w:pPr>
              <w:rPr>
                <w:rFonts w:cs="Arial"/>
                <w:szCs w:val="20"/>
              </w:rPr>
            </w:pPr>
            <w:r w:rsidRPr="00422BA9">
              <w:rPr>
                <w:rFonts w:cs="Arial"/>
                <w:szCs w:val="20"/>
              </w:rPr>
              <w:t xml:space="preserve">Short name for purpose of contract e.g. "Cleaning for </w:t>
            </w:r>
            <w:r w:rsidRPr="00422BA9">
              <w:rPr>
                <w:rFonts w:cs="Arial"/>
                <w:szCs w:val="20"/>
              </w:rPr>
              <w:lastRenderedPageBreak/>
              <w:t xml:space="preserve">Nambour customer service </w:t>
            </w:r>
            <w:proofErr w:type="spellStart"/>
            <w:r w:rsidRPr="00422BA9">
              <w:rPr>
                <w:rFonts w:cs="Arial"/>
                <w:szCs w:val="20"/>
              </w:rPr>
              <w:t>centre</w:t>
            </w:r>
            <w:proofErr w:type="spellEnd"/>
            <w:r w:rsidRPr="00422BA9">
              <w:rPr>
                <w:rFonts w:cs="Arial"/>
                <w:szCs w:val="20"/>
              </w:rPr>
              <w:t>”</w:t>
            </w:r>
          </w:p>
        </w:tc>
        <w:tc>
          <w:tcPr>
            <w:tcW w:w="741" w:type="pct"/>
            <w:shd w:val="clear" w:color="auto" w:fill="C46332"/>
          </w:tcPr>
          <w:p w14:paraId="79DFE880" w14:textId="77777777" w:rsidR="00422BA9" w:rsidRPr="00422BA9" w:rsidRDefault="00422BA9" w:rsidP="00BF4FBA">
            <w:pPr>
              <w:rPr>
                <w:rFonts w:cs="Arial"/>
                <w:color w:val="FFFFFF" w:themeColor="background1"/>
                <w:szCs w:val="20"/>
              </w:rPr>
            </w:pPr>
            <w:r w:rsidRPr="00422BA9">
              <w:rPr>
                <w:rFonts w:cs="Arial"/>
                <w:color w:val="FFFFFF" w:themeColor="background1"/>
                <w:szCs w:val="20"/>
              </w:rPr>
              <w:lastRenderedPageBreak/>
              <w:t>Mandatory</w:t>
            </w:r>
          </w:p>
        </w:tc>
        <w:tc>
          <w:tcPr>
            <w:tcW w:w="370" w:type="pct"/>
          </w:tcPr>
          <w:p w14:paraId="1DE77009" w14:textId="77777777" w:rsidR="00422BA9" w:rsidRPr="00422BA9" w:rsidRDefault="00422BA9" w:rsidP="00BF4FBA">
            <w:pPr>
              <w:rPr>
                <w:rFonts w:cs="Arial"/>
                <w:szCs w:val="20"/>
              </w:rPr>
            </w:pPr>
            <w:r w:rsidRPr="00422BA9">
              <w:rPr>
                <w:rFonts w:cs="Arial"/>
                <w:szCs w:val="20"/>
              </w:rPr>
              <w:t>Text</w:t>
            </w:r>
          </w:p>
        </w:tc>
        <w:tc>
          <w:tcPr>
            <w:tcW w:w="833" w:type="pct"/>
          </w:tcPr>
          <w:p w14:paraId="52C1D4B9" w14:textId="77777777" w:rsidR="00422BA9" w:rsidRPr="00422BA9" w:rsidRDefault="00422BA9" w:rsidP="00BF4FBA">
            <w:pPr>
              <w:rPr>
                <w:rFonts w:cs="Arial"/>
                <w:szCs w:val="20"/>
              </w:rPr>
            </w:pPr>
          </w:p>
        </w:tc>
      </w:tr>
      <w:tr w:rsidR="00BD4A5E" w:rsidRPr="00422BA9" w14:paraId="7B9F1200" w14:textId="77777777" w:rsidTr="00BD4A5E">
        <w:tc>
          <w:tcPr>
            <w:tcW w:w="1017" w:type="pct"/>
            <w:shd w:val="clear" w:color="auto" w:fill="F2F2F2" w:themeFill="background1" w:themeFillShade="F2"/>
          </w:tcPr>
          <w:p w14:paraId="3DD01EDA" w14:textId="77777777" w:rsidR="00422BA9" w:rsidRPr="00422BA9" w:rsidRDefault="00422BA9" w:rsidP="00BF4FBA">
            <w:pPr>
              <w:rPr>
                <w:rFonts w:cs="Arial"/>
                <w:szCs w:val="20"/>
              </w:rPr>
            </w:pPr>
            <w:r w:rsidRPr="00422BA9">
              <w:rPr>
                <w:rFonts w:cs="Arial"/>
                <w:szCs w:val="20"/>
              </w:rPr>
              <w:t>Contracts/date signed</w:t>
            </w:r>
          </w:p>
        </w:tc>
        <w:tc>
          <w:tcPr>
            <w:tcW w:w="648" w:type="pct"/>
            <w:shd w:val="clear" w:color="auto" w:fill="F2F2F2" w:themeFill="background1" w:themeFillShade="F2"/>
          </w:tcPr>
          <w:p w14:paraId="743C644A" w14:textId="77777777" w:rsidR="00422BA9" w:rsidRPr="00422BA9" w:rsidRDefault="00422BA9" w:rsidP="00BF4FBA">
            <w:pPr>
              <w:jc w:val="both"/>
              <w:rPr>
                <w:rFonts w:cs="Arial"/>
                <w:szCs w:val="20"/>
              </w:rPr>
            </w:pPr>
            <w:r w:rsidRPr="00422BA9">
              <w:rPr>
                <w:rFonts w:cs="Arial"/>
                <w:szCs w:val="20"/>
              </w:rPr>
              <w:t xml:space="preserve">Contract  </w:t>
            </w:r>
          </w:p>
        </w:tc>
        <w:tc>
          <w:tcPr>
            <w:tcW w:w="741" w:type="pct"/>
            <w:shd w:val="clear" w:color="auto" w:fill="F2F2F2" w:themeFill="background1" w:themeFillShade="F2"/>
          </w:tcPr>
          <w:p w14:paraId="4BE05595" w14:textId="77777777" w:rsidR="00422BA9" w:rsidRPr="00422BA9" w:rsidRDefault="00422BA9" w:rsidP="00BF4FBA">
            <w:pPr>
              <w:rPr>
                <w:rFonts w:cs="Arial"/>
                <w:szCs w:val="20"/>
              </w:rPr>
            </w:pPr>
            <w:r w:rsidRPr="00422BA9">
              <w:rPr>
                <w:rFonts w:cs="Arial"/>
                <w:szCs w:val="20"/>
              </w:rPr>
              <w:t>Award contract date</w:t>
            </w:r>
          </w:p>
        </w:tc>
        <w:tc>
          <w:tcPr>
            <w:tcW w:w="649" w:type="pct"/>
            <w:shd w:val="clear" w:color="auto" w:fill="F2F2F2" w:themeFill="background1" w:themeFillShade="F2"/>
          </w:tcPr>
          <w:p w14:paraId="784001C7" w14:textId="77777777" w:rsidR="00422BA9" w:rsidRPr="00422BA9" w:rsidRDefault="00422BA9" w:rsidP="00BF4FBA">
            <w:pPr>
              <w:rPr>
                <w:rFonts w:cs="Arial"/>
                <w:szCs w:val="20"/>
              </w:rPr>
            </w:pPr>
            <w:r w:rsidRPr="00422BA9">
              <w:rPr>
                <w:rFonts w:cs="Arial"/>
                <w:szCs w:val="20"/>
              </w:rPr>
              <w:t>Date contract was awarded to the supplier</w:t>
            </w:r>
          </w:p>
        </w:tc>
        <w:tc>
          <w:tcPr>
            <w:tcW w:w="741" w:type="pct"/>
            <w:shd w:val="clear" w:color="auto" w:fill="C46332"/>
          </w:tcPr>
          <w:p w14:paraId="4A912887" w14:textId="77777777" w:rsidR="00422BA9" w:rsidRPr="00422BA9" w:rsidRDefault="00422BA9" w:rsidP="00BF4FBA">
            <w:pPr>
              <w:rPr>
                <w:rFonts w:cs="Arial"/>
                <w:color w:val="FFFFFF" w:themeColor="background1"/>
                <w:szCs w:val="20"/>
              </w:rPr>
            </w:pPr>
            <w:r w:rsidRPr="00422BA9">
              <w:rPr>
                <w:rFonts w:cs="Arial"/>
                <w:color w:val="FFFFFF" w:themeColor="background1"/>
                <w:szCs w:val="20"/>
              </w:rPr>
              <w:t>Mandatory</w:t>
            </w:r>
          </w:p>
        </w:tc>
        <w:tc>
          <w:tcPr>
            <w:tcW w:w="370" w:type="pct"/>
            <w:shd w:val="clear" w:color="auto" w:fill="F2F2F2" w:themeFill="background1" w:themeFillShade="F2"/>
          </w:tcPr>
          <w:p w14:paraId="3DCC98FC" w14:textId="77777777" w:rsidR="00422BA9" w:rsidRPr="00422BA9" w:rsidRDefault="00422BA9" w:rsidP="00BF4FBA">
            <w:pPr>
              <w:rPr>
                <w:rFonts w:cs="Arial"/>
                <w:szCs w:val="20"/>
              </w:rPr>
            </w:pPr>
            <w:r w:rsidRPr="00422BA9">
              <w:rPr>
                <w:rFonts w:cs="Arial"/>
                <w:szCs w:val="20"/>
              </w:rPr>
              <w:t>Date</w:t>
            </w:r>
          </w:p>
        </w:tc>
        <w:tc>
          <w:tcPr>
            <w:tcW w:w="833" w:type="pct"/>
            <w:shd w:val="clear" w:color="auto" w:fill="F2F2F2" w:themeFill="background1" w:themeFillShade="F2"/>
          </w:tcPr>
          <w:p w14:paraId="6D15E27F" w14:textId="77777777" w:rsidR="00422BA9" w:rsidRPr="00422BA9" w:rsidRDefault="00422BA9" w:rsidP="00BF4FBA">
            <w:pPr>
              <w:rPr>
                <w:rFonts w:cs="Arial"/>
                <w:szCs w:val="20"/>
              </w:rPr>
            </w:pPr>
            <w:r w:rsidRPr="00422BA9">
              <w:rPr>
                <w:rFonts w:cs="Arial"/>
                <w:szCs w:val="20"/>
              </w:rPr>
              <w:t>DD/MM/YYYY</w:t>
            </w:r>
          </w:p>
        </w:tc>
      </w:tr>
      <w:tr w:rsidR="00422BA9" w:rsidRPr="00422BA9" w14:paraId="4EF035F1" w14:textId="77777777" w:rsidTr="00422BA9">
        <w:tc>
          <w:tcPr>
            <w:tcW w:w="1017" w:type="pct"/>
          </w:tcPr>
          <w:p w14:paraId="2082918C" w14:textId="77777777" w:rsidR="00422BA9" w:rsidRPr="00422BA9" w:rsidRDefault="00422BA9" w:rsidP="00BF4FBA">
            <w:pPr>
              <w:rPr>
                <w:rFonts w:cs="Arial"/>
                <w:szCs w:val="20"/>
              </w:rPr>
            </w:pPr>
            <w:r w:rsidRPr="00422BA9">
              <w:rPr>
                <w:rFonts w:cs="Arial"/>
                <w:szCs w:val="20"/>
              </w:rPr>
              <w:t>Contracts/value/amount</w:t>
            </w:r>
          </w:p>
        </w:tc>
        <w:tc>
          <w:tcPr>
            <w:tcW w:w="648" w:type="pct"/>
          </w:tcPr>
          <w:p w14:paraId="4C1671F7" w14:textId="77777777" w:rsidR="00422BA9" w:rsidRPr="00422BA9" w:rsidRDefault="00422BA9" w:rsidP="00BF4FBA">
            <w:pPr>
              <w:rPr>
                <w:rFonts w:cs="Arial"/>
                <w:szCs w:val="20"/>
              </w:rPr>
            </w:pPr>
            <w:r w:rsidRPr="00422BA9">
              <w:rPr>
                <w:rFonts w:cs="Arial"/>
                <w:szCs w:val="20"/>
              </w:rPr>
              <w:t>Executed contract value</w:t>
            </w:r>
          </w:p>
        </w:tc>
        <w:tc>
          <w:tcPr>
            <w:tcW w:w="741" w:type="pct"/>
            <w:shd w:val="clear" w:color="auto" w:fill="auto"/>
          </w:tcPr>
          <w:p w14:paraId="141EDCDC" w14:textId="77777777" w:rsidR="00422BA9" w:rsidRPr="00422BA9" w:rsidRDefault="00422BA9" w:rsidP="00BF4FBA">
            <w:pPr>
              <w:rPr>
                <w:rFonts w:cs="Arial"/>
                <w:szCs w:val="20"/>
              </w:rPr>
            </w:pPr>
            <w:r w:rsidRPr="00422BA9">
              <w:rPr>
                <w:rFonts w:cs="Arial"/>
                <w:szCs w:val="20"/>
              </w:rPr>
              <w:t>Contract value</w:t>
            </w:r>
          </w:p>
        </w:tc>
        <w:tc>
          <w:tcPr>
            <w:tcW w:w="649" w:type="pct"/>
          </w:tcPr>
          <w:p w14:paraId="7F0BAC60" w14:textId="77777777" w:rsidR="00422BA9" w:rsidRPr="00422BA9" w:rsidRDefault="00422BA9" w:rsidP="00BF4FBA">
            <w:pPr>
              <w:rPr>
                <w:rFonts w:cs="Arial"/>
                <w:szCs w:val="20"/>
              </w:rPr>
            </w:pPr>
            <w:r w:rsidRPr="00422BA9">
              <w:rPr>
                <w:rFonts w:cs="Arial"/>
                <w:szCs w:val="20"/>
              </w:rPr>
              <w:t>Dollar value of the contract at the time the contract is signed (executed)</w:t>
            </w:r>
          </w:p>
        </w:tc>
        <w:tc>
          <w:tcPr>
            <w:tcW w:w="741" w:type="pct"/>
            <w:shd w:val="clear" w:color="auto" w:fill="C46332"/>
          </w:tcPr>
          <w:p w14:paraId="7DE0D183" w14:textId="77777777" w:rsidR="00422BA9" w:rsidRPr="00422BA9" w:rsidRDefault="00422BA9" w:rsidP="00BF4FBA">
            <w:pPr>
              <w:rPr>
                <w:rFonts w:cs="Arial"/>
                <w:color w:val="FFFFFF" w:themeColor="background1"/>
                <w:szCs w:val="20"/>
              </w:rPr>
            </w:pPr>
            <w:r w:rsidRPr="00422BA9">
              <w:rPr>
                <w:rFonts w:cs="Arial"/>
                <w:color w:val="FFFFFF" w:themeColor="background1"/>
                <w:szCs w:val="20"/>
              </w:rPr>
              <w:t>Mandatory</w:t>
            </w:r>
          </w:p>
        </w:tc>
        <w:tc>
          <w:tcPr>
            <w:tcW w:w="370" w:type="pct"/>
          </w:tcPr>
          <w:p w14:paraId="34D28B7F" w14:textId="77777777" w:rsidR="00422BA9" w:rsidRPr="00422BA9" w:rsidRDefault="00422BA9" w:rsidP="00BF4FBA">
            <w:pPr>
              <w:rPr>
                <w:rFonts w:cs="Arial"/>
                <w:szCs w:val="20"/>
              </w:rPr>
            </w:pPr>
            <w:r w:rsidRPr="00422BA9">
              <w:rPr>
                <w:rFonts w:cs="Arial"/>
                <w:szCs w:val="20"/>
              </w:rPr>
              <w:t>Number</w:t>
            </w:r>
          </w:p>
        </w:tc>
        <w:tc>
          <w:tcPr>
            <w:tcW w:w="833" w:type="pct"/>
          </w:tcPr>
          <w:p w14:paraId="0C3E5930" w14:textId="77777777" w:rsidR="00422BA9" w:rsidRPr="00422BA9" w:rsidRDefault="00422BA9" w:rsidP="00BF4FBA">
            <w:pPr>
              <w:rPr>
                <w:rFonts w:cs="Arial"/>
                <w:szCs w:val="20"/>
              </w:rPr>
            </w:pPr>
            <w:r w:rsidRPr="00422BA9">
              <w:rPr>
                <w:rFonts w:cs="Arial"/>
                <w:szCs w:val="20"/>
              </w:rPr>
              <w:t>$Value of the contract</w:t>
            </w:r>
          </w:p>
        </w:tc>
      </w:tr>
      <w:tr w:rsidR="00BD4A5E" w:rsidRPr="00422BA9" w14:paraId="1F617732" w14:textId="77777777" w:rsidTr="00BD4A5E">
        <w:tc>
          <w:tcPr>
            <w:tcW w:w="1017" w:type="pct"/>
            <w:shd w:val="clear" w:color="auto" w:fill="F2F2F2" w:themeFill="background1" w:themeFillShade="F2"/>
          </w:tcPr>
          <w:p w14:paraId="70523E88" w14:textId="77777777" w:rsidR="00422BA9" w:rsidRPr="00422BA9" w:rsidRDefault="00422BA9" w:rsidP="00BF4FBA">
            <w:pPr>
              <w:rPr>
                <w:rFonts w:cs="Arial"/>
                <w:szCs w:val="20"/>
              </w:rPr>
            </w:pPr>
            <w:proofErr w:type="gramStart"/>
            <w:r w:rsidRPr="00422BA9">
              <w:rPr>
                <w:rFonts w:cs="Arial"/>
                <w:szCs w:val="20"/>
              </w:rPr>
              <w:t>Parties</w:t>
            </w:r>
            <w:proofErr w:type="gramEnd"/>
            <w:r w:rsidRPr="00422BA9">
              <w:rPr>
                <w:rFonts w:cs="Arial"/>
                <w:szCs w:val="20"/>
              </w:rPr>
              <w:t xml:space="preserve"> additional identifiers/id</w:t>
            </w:r>
          </w:p>
        </w:tc>
        <w:tc>
          <w:tcPr>
            <w:tcW w:w="648" w:type="pct"/>
            <w:shd w:val="clear" w:color="auto" w:fill="F2F2F2" w:themeFill="background1" w:themeFillShade="F2"/>
          </w:tcPr>
          <w:p w14:paraId="1E35DB66" w14:textId="77777777" w:rsidR="00422BA9" w:rsidRPr="00422BA9" w:rsidRDefault="00422BA9" w:rsidP="00BF4FBA">
            <w:pPr>
              <w:rPr>
                <w:rFonts w:cs="Arial"/>
                <w:szCs w:val="20"/>
              </w:rPr>
            </w:pPr>
            <w:r w:rsidRPr="00422BA9">
              <w:rPr>
                <w:rFonts w:cs="Arial"/>
                <w:szCs w:val="20"/>
              </w:rPr>
              <w:t>Not assessed</w:t>
            </w:r>
          </w:p>
        </w:tc>
        <w:tc>
          <w:tcPr>
            <w:tcW w:w="741" w:type="pct"/>
            <w:shd w:val="clear" w:color="auto" w:fill="F2F2F2" w:themeFill="background1" w:themeFillShade="F2"/>
          </w:tcPr>
          <w:p w14:paraId="132E926D" w14:textId="77777777" w:rsidR="00422BA9" w:rsidRPr="00422BA9" w:rsidRDefault="00422BA9" w:rsidP="00BF4FBA">
            <w:pPr>
              <w:rPr>
                <w:rFonts w:cs="Arial"/>
                <w:szCs w:val="20"/>
              </w:rPr>
            </w:pPr>
            <w:r w:rsidRPr="00422BA9">
              <w:rPr>
                <w:rFonts w:cs="Arial"/>
                <w:szCs w:val="20"/>
              </w:rPr>
              <w:t>Supplier name</w:t>
            </w:r>
          </w:p>
        </w:tc>
        <w:tc>
          <w:tcPr>
            <w:tcW w:w="649" w:type="pct"/>
            <w:shd w:val="clear" w:color="auto" w:fill="F2F2F2" w:themeFill="background1" w:themeFillShade="F2"/>
          </w:tcPr>
          <w:p w14:paraId="7CB4262D" w14:textId="77777777" w:rsidR="00422BA9" w:rsidRPr="00422BA9" w:rsidRDefault="00422BA9" w:rsidP="00BF4FBA">
            <w:pPr>
              <w:rPr>
                <w:rFonts w:cs="Arial"/>
                <w:szCs w:val="20"/>
              </w:rPr>
            </w:pPr>
            <w:r w:rsidRPr="00422BA9">
              <w:rPr>
                <w:rFonts w:cs="Arial"/>
                <w:szCs w:val="20"/>
              </w:rPr>
              <w:t>Registered business name (e.g. legal name as per the contract)</w:t>
            </w:r>
          </w:p>
        </w:tc>
        <w:tc>
          <w:tcPr>
            <w:tcW w:w="741" w:type="pct"/>
            <w:shd w:val="clear" w:color="auto" w:fill="C46332"/>
          </w:tcPr>
          <w:p w14:paraId="26299099" w14:textId="77777777" w:rsidR="00422BA9" w:rsidRPr="00422BA9" w:rsidRDefault="00422BA9" w:rsidP="00BF4FBA">
            <w:pPr>
              <w:rPr>
                <w:rFonts w:cs="Arial"/>
                <w:color w:val="FFFFFF" w:themeColor="background1"/>
                <w:szCs w:val="20"/>
              </w:rPr>
            </w:pPr>
            <w:r w:rsidRPr="00422BA9">
              <w:rPr>
                <w:rFonts w:cs="Arial"/>
                <w:color w:val="FFFFFF" w:themeColor="background1"/>
                <w:szCs w:val="20"/>
              </w:rPr>
              <w:t>Mandatory</w:t>
            </w:r>
          </w:p>
        </w:tc>
        <w:tc>
          <w:tcPr>
            <w:tcW w:w="370" w:type="pct"/>
            <w:shd w:val="clear" w:color="auto" w:fill="F2F2F2" w:themeFill="background1" w:themeFillShade="F2"/>
          </w:tcPr>
          <w:p w14:paraId="239D07FD" w14:textId="77777777" w:rsidR="00422BA9" w:rsidRPr="00422BA9" w:rsidRDefault="00422BA9" w:rsidP="00BF4FBA">
            <w:pPr>
              <w:rPr>
                <w:rFonts w:cs="Arial"/>
                <w:szCs w:val="20"/>
              </w:rPr>
            </w:pPr>
            <w:r w:rsidRPr="00422BA9">
              <w:rPr>
                <w:rFonts w:cs="Arial"/>
                <w:szCs w:val="20"/>
              </w:rPr>
              <w:t>Text</w:t>
            </w:r>
          </w:p>
        </w:tc>
        <w:tc>
          <w:tcPr>
            <w:tcW w:w="833" w:type="pct"/>
            <w:shd w:val="clear" w:color="auto" w:fill="F2F2F2" w:themeFill="background1" w:themeFillShade="F2"/>
          </w:tcPr>
          <w:p w14:paraId="5A48368C" w14:textId="77777777" w:rsidR="00422BA9" w:rsidRPr="00422BA9" w:rsidRDefault="00422BA9" w:rsidP="00BF4FBA">
            <w:pPr>
              <w:rPr>
                <w:rFonts w:cs="Arial"/>
                <w:szCs w:val="20"/>
              </w:rPr>
            </w:pPr>
          </w:p>
        </w:tc>
      </w:tr>
      <w:tr w:rsidR="00422BA9" w:rsidRPr="00422BA9" w14:paraId="5CC877AA" w14:textId="77777777" w:rsidTr="00422BA9">
        <w:tc>
          <w:tcPr>
            <w:tcW w:w="1017" w:type="pct"/>
          </w:tcPr>
          <w:p w14:paraId="792686F0" w14:textId="77777777" w:rsidR="00422BA9" w:rsidRPr="00422BA9" w:rsidRDefault="00422BA9" w:rsidP="00BF4FBA">
            <w:pPr>
              <w:rPr>
                <w:rFonts w:cs="Arial"/>
                <w:szCs w:val="20"/>
              </w:rPr>
            </w:pPr>
            <w:r w:rsidRPr="00422BA9">
              <w:rPr>
                <w:rFonts w:cs="Arial"/>
                <w:szCs w:val="20"/>
              </w:rPr>
              <w:t>Parties/address</w:t>
            </w:r>
          </w:p>
        </w:tc>
        <w:tc>
          <w:tcPr>
            <w:tcW w:w="648" w:type="pct"/>
          </w:tcPr>
          <w:p w14:paraId="561393DB" w14:textId="77777777" w:rsidR="00422BA9" w:rsidRPr="00422BA9" w:rsidRDefault="00422BA9" w:rsidP="00BF4FBA">
            <w:pPr>
              <w:rPr>
                <w:rFonts w:cs="Arial"/>
                <w:szCs w:val="20"/>
              </w:rPr>
            </w:pPr>
            <w:r w:rsidRPr="00422BA9">
              <w:rPr>
                <w:rFonts w:cs="Arial"/>
                <w:szCs w:val="20"/>
              </w:rPr>
              <w:t>Not assessed</w:t>
            </w:r>
          </w:p>
        </w:tc>
        <w:tc>
          <w:tcPr>
            <w:tcW w:w="741" w:type="pct"/>
            <w:shd w:val="clear" w:color="auto" w:fill="auto"/>
          </w:tcPr>
          <w:p w14:paraId="481C1D56" w14:textId="77777777" w:rsidR="00422BA9" w:rsidRPr="00422BA9" w:rsidRDefault="00422BA9" w:rsidP="00BF4FBA">
            <w:pPr>
              <w:rPr>
                <w:rFonts w:cs="Arial"/>
                <w:szCs w:val="20"/>
              </w:rPr>
            </w:pPr>
            <w:r w:rsidRPr="00422BA9">
              <w:rPr>
                <w:rFonts w:cs="Arial"/>
                <w:szCs w:val="20"/>
              </w:rPr>
              <w:t>Supplier address</w:t>
            </w:r>
          </w:p>
        </w:tc>
        <w:tc>
          <w:tcPr>
            <w:tcW w:w="649" w:type="pct"/>
          </w:tcPr>
          <w:p w14:paraId="799E51D7" w14:textId="77777777" w:rsidR="00422BA9" w:rsidRPr="00422BA9" w:rsidRDefault="00422BA9" w:rsidP="00BF4FBA">
            <w:pPr>
              <w:rPr>
                <w:rFonts w:cs="Arial"/>
                <w:szCs w:val="20"/>
              </w:rPr>
            </w:pPr>
            <w:r w:rsidRPr="00422BA9">
              <w:rPr>
                <w:rFonts w:cs="Arial"/>
                <w:szCs w:val="20"/>
              </w:rPr>
              <w:t>Street address of the office where the supplier is based</w:t>
            </w:r>
          </w:p>
        </w:tc>
        <w:tc>
          <w:tcPr>
            <w:tcW w:w="741" w:type="pct"/>
            <w:shd w:val="clear" w:color="auto" w:fill="C46332"/>
          </w:tcPr>
          <w:p w14:paraId="49B6B0FF" w14:textId="77777777" w:rsidR="00422BA9" w:rsidRPr="00422BA9" w:rsidRDefault="00422BA9" w:rsidP="00BF4FBA">
            <w:pPr>
              <w:rPr>
                <w:rFonts w:cs="Arial"/>
                <w:color w:val="FFFFFF" w:themeColor="background1"/>
                <w:szCs w:val="20"/>
              </w:rPr>
            </w:pPr>
            <w:r w:rsidRPr="00422BA9">
              <w:rPr>
                <w:rFonts w:cs="Arial"/>
                <w:color w:val="FFFFFF" w:themeColor="background1"/>
                <w:szCs w:val="20"/>
              </w:rPr>
              <w:t>Mandatory</w:t>
            </w:r>
          </w:p>
        </w:tc>
        <w:tc>
          <w:tcPr>
            <w:tcW w:w="370" w:type="pct"/>
          </w:tcPr>
          <w:p w14:paraId="00B10546" w14:textId="77777777" w:rsidR="00422BA9" w:rsidRPr="00422BA9" w:rsidRDefault="00422BA9" w:rsidP="00BF4FBA">
            <w:pPr>
              <w:rPr>
                <w:rFonts w:cs="Arial"/>
                <w:szCs w:val="20"/>
              </w:rPr>
            </w:pPr>
            <w:r w:rsidRPr="00422BA9">
              <w:rPr>
                <w:rFonts w:cs="Arial"/>
                <w:szCs w:val="20"/>
              </w:rPr>
              <w:t>Text</w:t>
            </w:r>
          </w:p>
        </w:tc>
        <w:tc>
          <w:tcPr>
            <w:tcW w:w="833" w:type="pct"/>
          </w:tcPr>
          <w:p w14:paraId="222411B8" w14:textId="77777777" w:rsidR="00422BA9" w:rsidRPr="00422BA9" w:rsidRDefault="00422BA9" w:rsidP="00BF4FBA">
            <w:pPr>
              <w:rPr>
                <w:rFonts w:cs="Arial"/>
                <w:szCs w:val="20"/>
              </w:rPr>
            </w:pPr>
            <w:r w:rsidRPr="00422BA9">
              <w:rPr>
                <w:rFonts w:cs="Arial"/>
                <w:szCs w:val="20"/>
              </w:rPr>
              <w:t>For multiple addresses, separate each address using the semi-colon (;) character. For example: Address 1; Address 2; Address 3</w:t>
            </w:r>
          </w:p>
        </w:tc>
      </w:tr>
      <w:tr w:rsidR="00BD4A5E" w:rsidRPr="00422BA9" w14:paraId="7EF9C90A" w14:textId="77777777" w:rsidTr="00BD4A5E">
        <w:tc>
          <w:tcPr>
            <w:tcW w:w="1017" w:type="pct"/>
            <w:tcBorders>
              <w:top w:val="single" w:sz="4" w:space="0" w:color="FFFFFF" w:themeColor="background1"/>
            </w:tcBorders>
            <w:shd w:val="clear" w:color="auto" w:fill="F2F2F2" w:themeFill="background1" w:themeFillShade="F2"/>
          </w:tcPr>
          <w:p w14:paraId="11A3A677" w14:textId="77777777" w:rsidR="00422BA9" w:rsidRPr="00422BA9" w:rsidRDefault="00422BA9" w:rsidP="00BF4FBA">
            <w:pPr>
              <w:rPr>
                <w:rFonts w:cs="Arial"/>
                <w:szCs w:val="20"/>
              </w:rPr>
            </w:pPr>
          </w:p>
        </w:tc>
        <w:tc>
          <w:tcPr>
            <w:tcW w:w="648" w:type="pct"/>
            <w:tcBorders>
              <w:top w:val="single" w:sz="4" w:space="0" w:color="FFFFFF" w:themeColor="background1"/>
            </w:tcBorders>
            <w:shd w:val="clear" w:color="auto" w:fill="F2F2F2" w:themeFill="background1" w:themeFillShade="F2"/>
          </w:tcPr>
          <w:p w14:paraId="4E35DC07" w14:textId="77777777" w:rsidR="00422BA9" w:rsidRPr="00422BA9" w:rsidRDefault="00422BA9" w:rsidP="00BF4FBA">
            <w:pPr>
              <w:rPr>
                <w:rFonts w:cs="Arial"/>
                <w:szCs w:val="20"/>
              </w:rPr>
            </w:pPr>
          </w:p>
        </w:tc>
        <w:tc>
          <w:tcPr>
            <w:tcW w:w="741" w:type="pct"/>
            <w:tcBorders>
              <w:top w:val="single" w:sz="4" w:space="0" w:color="FFFFFF" w:themeColor="background1"/>
            </w:tcBorders>
            <w:shd w:val="clear" w:color="auto" w:fill="F2F2F2" w:themeFill="background1" w:themeFillShade="F2"/>
          </w:tcPr>
          <w:p w14:paraId="0346C63F" w14:textId="77777777" w:rsidR="00422BA9" w:rsidRPr="00422BA9" w:rsidRDefault="00422BA9" w:rsidP="00BF4FBA">
            <w:pPr>
              <w:rPr>
                <w:rFonts w:cs="Arial"/>
                <w:szCs w:val="20"/>
              </w:rPr>
            </w:pPr>
            <w:r w:rsidRPr="00422BA9">
              <w:rPr>
                <w:rFonts w:cs="Arial"/>
                <w:szCs w:val="20"/>
              </w:rPr>
              <w:t>Variation to Contract</w:t>
            </w:r>
          </w:p>
        </w:tc>
        <w:tc>
          <w:tcPr>
            <w:tcW w:w="649" w:type="pct"/>
            <w:tcBorders>
              <w:top w:val="single" w:sz="4" w:space="0" w:color="FFFFFF" w:themeColor="background1"/>
            </w:tcBorders>
            <w:shd w:val="clear" w:color="auto" w:fill="F2F2F2" w:themeFill="background1" w:themeFillShade="F2"/>
          </w:tcPr>
          <w:p w14:paraId="4D302039" w14:textId="77777777" w:rsidR="00422BA9" w:rsidRPr="00422BA9" w:rsidRDefault="00422BA9" w:rsidP="00BF4FBA">
            <w:pPr>
              <w:rPr>
                <w:rFonts w:cs="Arial"/>
                <w:szCs w:val="20"/>
              </w:rPr>
            </w:pPr>
            <w:r w:rsidRPr="00422BA9">
              <w:rPr>
                <w:rFonts w:cs="Arial"/>
                <w:szCs w:val="20"/>
              </w:rPr>
              <w:t>Identify if the item is a variation to the original contract</w:t>
            </w:r>
          </w:p>
        </w:tc>
        <w:tc>
          <w:tcPr>
            <w:tcW w:w="741" w:type="pct"/>
            <w:tcBorders>
              <w:top w:val="single" w:sz="4" w:space="0" w:color="FFFFFF" w:themeColor="background1"/>
            </w:tcBorders>
            <w:shd w:val="clear" w:color="auto" w:fill="C46332"/>
          </w:tcPr>
          <w:p w14:paraId="4A511389" w14:textId="77777777" w:rsidR="00422BA9" w:rsidRPr="00422BA9" w:rsidRDefault="00422BA9" w:rsidP="00BF4FBA">
            <w:pPr>
              <w:rPr>
                <w:rFonts w:cs="Arial"/>
                <w:color w:val="FFFFFF" w:themeColor="background1"/>
                <w:szCs w:val="20"/>
              </w:rPr>
            </w:pPr>
            <w:r w:rsidRPr="00422BA9">
              <w:rPr>
                <w:rFonts w:cs="Arial"/>
                <w:color w:val="FFFFFF" w:themeColor="background1"/>
                <w:szCs w:val="20"/>
              </w:rPr>
              <w:t>Mandatory</w:t>
            </w:r>
          </w:p>
        </w:tc>
        <w:tc>
          <w:tcPr>
            <w:tcW w:w="370" w:type="pct"/>
            <w:tcBorders>
              <w:top w:val="single" w:sz="4" w:space="0" w:color="FFFFFF" w:themeColor="background1"/>
            </w:tcBorders>
            <w:shd w:val="clear" w:color="auto" w:fill="F2F2F2" w:themeFill="background1" w:themeFillShade="F2"/>
          </w:tcPr>
          <w:p w14:paraId="23673DAC" w14:textId="77777777" w:rsidR="00422BA9" w:rsidRPr="00422BA9" w:rsidRDefault="00422BA9" w:rsidP="00BF4FBA">
            <w:pPr>
              <w:rPr>
                <w:rFonts w:cs="Arial"/>
                <w:szCs w:val="20"/>
              </w:rPr>
            </w:pPr>
            <w:r w:rsidRPr="00422BA9">
              <w:rPr>
                <w:rFonts w:cs="Arial"/>
                <w:szCs w:val="20"/>
              </w:rPr>
              <w:t>Drop down list</w:t>
            </w:r>
          </w:p>
        </w:tc>
        <w:tc>
          <w:tcPr>
            <w:tcW w:w="833" w:type="pct"/>
            <w:tcBorders>
              <w:top w:val="single" w:sz="4" w:space="0" w:color="FFFFFF" w:themeColor="background1"/>
            </w:tcBorders>
            <w:shd w:val="clear" w:color="auto" w:fill="F2F2F2" w:themeFill="background1" w:themeFillShade="F2"/>
          </w:tcPr>
          <w:p w14:paraId="4AB5AD3A" w14:textId="77777777" w:rsidR="00422BA9" w:rsidRPr="00422BA9" w:rsidRDefault="00422BA9" w:rsidP="00BF4FBA">
            <w:pPr>
              <w:rPr>
                <w:rFonts w:cs="Arial"/>
                <w:b/>
                <w:bCs/>
                <w:szCs w:val="20"/>
              </w:rPr>
            </w:pPr>
            <w:r w:rsidRPr="00422BA9">
              <w:rPr>
                <w:rFonts w:cs="Arial"/>
                <w:b/>
                <w:bCs/>
                <w:szCs w:val="20"/>
              </w:rPr>
              <w:t>REQUIRED</w:t>
            </w:r>
          </w:p>
          <w:p w14:paraId="36C35753" w14:textId="77777777" w:rsidR="00422BA9" w:rsidRPr="00422BA9" w:rsidRDefault="00422BA9" w:rsidP="00BF4FBA">
            <w:pPr>
              <w:rPr>
                <w:rFonts w:cs="Arial"/>
                <w:szCs w:val="20"/>
              </w:rPr>
            </w:pPr>
            <w:r w:rsidRPr="00422BA9">
              <w:rPr>
                <w:rFonts w:cs="Arial"/>
                <w:szCs w:val="20"/>
              </w:rPr>
              <w:t>Yes/No</w:t>
            </w:r>
          </w:p>
        </w:tc>
      </w:tr>
      <w:tr w:rsidR="00422BA9" w:rsidRPr="00422BA9" w14:paraId="3D52B45F" w14:textId="77777777" w:rsidTr="00422BA9">
        <w:tc>
          <w:tcPr>
            <w:tcW w:w="1017" w:type="pct"/>
            <w:tcBorders>
              <w:top w:val="single" w:sz="4" w:space="0" w:color="FFFFFF" w:themeColor="background1"/>
            </w:tcBorders>
          </w:tcPr>
          <w:p w14:paraId="4FA2862F" w14:textId="77777777" w:rsidR="00422BA9" w:rsidRPr="00422BA9" w:rsidRDefault="00422BA9" w:rsidP="00BF4FBA">
            <w:pPr>
              <w:rPr>
                <w:rFonts w:cs="Arial"/>
                <w:szCs w:val="20"/>
              </w:rPr>
            </w:pPr>
          </w:p>
        </w:tc>
        <w:tc>
          <w:tcPr>
            <w:tcW w:w="648" w:type="pct"/>
            <w:tcBorders>
              <w:top w:val="single" w:sz="4" w:space="0" w:color="FFFFFF" w:themeColor="background1"/>
            </w:tcBorders>
          </w:tcPr>
          <w:p w14:paraId="2902952A" w14:textId="77777777" w:rsidR="00422BA9" w:rsidRPr="00422BA9" w:rsidRDefault="00422BA9" w:rsidP="00BF4FBA">
            <w:pPr>
              <w:rPr>
                <w:rFonts w:cs="Arial"/>
                <w:szCs w:val="20"/>
              </w:rPr>
            </w:pPr>
          </w:p>
        </w:tc>
        <w:tc>
          <w:tcPr>
            <w:tcW w:w="741" w:type="pct"/>
            <w:tcBorders>
              <w:top w:val="single" w:sz="4" w:space="0" w:color="FFFFFF" w:themeColor="background1"/>
            </w:tcBorders>
            <w:shd w:val="clear" w:color="auto" w:fill="auto"/>
          </w:tcPr>
          <w:p w14:paraId="632128CC" w14:textId="77777777" w:rsidR="00422BA9" w:rsidRPr="00422BA9" w:rsidRDefault="00422BA9" w:rsidP="00BF4FBA">
            <w:pPr>
              <w:rPr>
                <w:rFonts w:cs="Arial"/>
                <w:szCs w:val="20"/>
              </w:rPr>
            </w:pPr>
            <w:r w:rsidRPr="00422BA9">
              <w:rPr>
                <w:rFonts w:cs="Arial"/>
                <w:szCs w:val="20"/>
              </w:rPr>
              <w:t>Specific confidentiality provision used</w:t>
            </w:r>
          </w:p>
        </w:tc>
        <w:tc>
          <w:tcPr>
            <w:tcW w:w="649" w:type="pct"/>
            <w:tcBorders>
              <w:top w:val="single" w:sz="4" w:space="0" w:color="FFFFFF" w:themeColor="background1"/>
            </w:tcBorders>
          </w:tcPr>
          <w:p w14:paraId="0A271153" w14:textId="77777777" w:rsidR="00422BA9" w:rsidRPr="00422BA9" w:rsidRDefault="00422BA9" w:rsidP="00BF4FBA">
            <w:pPr>
              <w:rPr>
                <w:rFonts w:cs="Arial"/>
                <w:szCs w:val="20"/>
              </w:rPr>
            </w:pPr>
            <w:r w:rsidRPr="00422BA9">
              <w:rPr>
                <w:rFonts w:cs="Arial"/>
                <w:szCs w:val="20"/>
              </w:rPr>
              <w:t>A specific confidentiality provision has been included in the contract</w:t>
            </w:r>
          </w:p>
        </w:tc>
        <w:tc>
          <w:tcPr>
            <w:tcW w:w="741" w:type="pct"/>
            <w:tcBorders>
              <w:top w:val="single" w:sz="4" w:space="0" w:color="FFFFFF" w:themeColor="background1"/>
            </w:tcBorders>
            <w:shd w:val="clear" w:color="auto" w:fill="C46332"/>
          </w:tcPr>
          <w:p w14:paraId="17D05042" w14:textId="77777777" w:rsidR="00422BA9" w:rsidRPr="00422BA9" w:rsidRDefault="00422BA9" w:rsidP="00BF4FBA">
            <w:pPr>
              <w:rPr>
                <w:rFonts w:cs="Arial"/>
                <w:color w:val="FFFFFF" w:themeColor="background1"/>
                <w:szCs w:val="20"/>
              </w:rPr>
            </w:pPr>
            <w:r w:rsidRPr="00422BA9">
              <w:rPr>
                <w:rFonts w:cs="Arial"/>
                <w:color w:val="FFFFFF" w:themeColor="background1"/>
                <w:szCs w:val="20"/>
              </w:rPr>
              <w:t>Mandatory</w:t>
            </w:r>
          </w:p>
        </w:tc>
        <w:tc>
          <w:tcPr>
            <w:tcW w:w="370" w:type="pct"/>
            <w:tcBorders>
              <w:top w:val="single" w:sz="4" w:space="0" w:color="FFFFFF" w:themeColor="background1"/>
            </w:tcBorders>
            <w:shd w:val="clear" w:color="auto" w:fill="auto"/>
          </w:tcPr>
          <w:p w14:paraId="2DA3A2CF" w14:textId="77777777" w:rsidR="00422BA9" w:rsidRPr="00422BA9" w:rsidRDefault="00422BA9" w:rsidP="00BF4FBA">
            <w:pPr>
              <w:rPr>
                <w:rFonts w:cs="Arial"/>
                <w:szCs w:val="20"/>
              </w:rPr>
            </w:pPr>
            <w:r w:rsidRPr="00422BA9">
              <w:rPr>
                <w:rFonts w:cs="Arial"/>
                <w:szCs w:val="20"/>
              </w:rPr>
              <w:t>Drop down list</w:t>
            </w:r>
          </w:p>
        </w:tc>
        <w:tc>
          <w:tcPr>
            <w:tcW w:w="833" w:type="pct"/>
            <w:tcBorders>
              <w:top w:val="single" w:sz="4" w:space="0" w:color="FFFFFF" w:themeColor="background1"/>
            </w:tcBorders>
            <w:shd w:val="clear" w:color="auto" w:fill="auto"/>
          </w:tcPr>
          <w:p w14:paraId="79A9A6D4" w14:textId="77777777" w:rsidR="00422BA9" w:rsidRPr="00422BA9" w:rsidRDefault="00422BA9" w:rsidP="00BF4FBA">
            <w:pPr>
              <w:rPr>
                <w:rFonts w:cs="Arial"/>
                <w:b/>
                <w:bCs/>
                <w:szCs w:val="20"/>
              </w:rPr>
            </w:pPr>
            <w:r w:rsidRPr="00422BA9">
              <w:rPr>
                <w:rFonts w:cs="Arial"/>
                <w:b/>
                <w:bCs/>
                <w:szCs w:val="20"/>
              </w:rPr>
              <w:t>REQUIRED</w:t>
            </w:r>
          </w:p>
          <w:p w14:paraId="7C7205BA" w14:textId="77777777" w:rsidR="00422BA9" w:rsidRPr="00422BA9" w:rsidRDefault="00422BA9" w:rsidP="00BF4FBA">
            <w:pPr>
              <w:rPr>
                <w:rFonts w:cs="Arial"/>
                <w:szCs w:val="20"/>
              </w:rPr>
            </w:pPr>
            <w:r w:rsidRPr="00422BA9">
              <w:rPr>
                <w:rFonts w:cs="Arial"/>
                <w:szCs w:val="20"/>
              </w:rPr>
              <w:t>Yes/No</w:t>
            </w:r>
          </w:p>
        </w:tc>
      </w:tr>
      <w:tr w:rsidR="00BD4A5E" w:rsidRPr="00422BA9" w14:paraId="797AFAF8" w14:textId="77777777" w:rsidTr="00BD4A5E">
        <w:tc>
          <w:tcPr>
            <w:tcW w:w="1017" w:type="pct"/>
            <w:shd w:val="clear" w:color="auto" w:fill="F2F2F2" w:themeFill="background1" w:themeFillShade="F2"/>
          </w:tcPr>
          <w:p w14:paraId="28DE6778" w14:textId="77777777" w:rsidR="00422BA9" w:rsidRPr="00422BA9" w:rsidRDefault="00422BA9" w:rsidP="00BF4FBA">
            <w:pPr>
              <w:rPr>
                <w:rFonts w:cs="Arial"/>
                <w:szCs w:val="20"/>
              </w:rPr>
            </w:pPr>
            <w:r w:rsidRPr="00422BA9">
              <w:rPr>
                <w:rFonts w:cs="Arial"/>
                <w:szCs w:val="20"/>
              </w:rPr>
              <w:t>Tender procurement method</w:t>
            </w:r>
          </w:p>
        </w:tc>
        <w:tc>
          <w:tcPr>
            <w:tcW w:w="648" w:type="pct"/>
            <w:shd w:val="clear" w:color="auto" w:fill="F2F2F2" w:themeFill="background1" w:themeFillShade="F2"/>
          </w:tcPr>
          <w:p w14:paraId="773440F4" w14:textId="77777777" w:rsidR="00422BA9" w:rsidRPr="00422BA9" w:rsidRDefault="00422BA9" w:rsidP="00BF4FBA">
            <w:pPr>
              <w:rPr>
                <w:rFonts w:cs="Arial"/>
                <w:szCs w:val="20"/>
              </w:rPr>
            </w:pPr>
            <w:r w:rsidRPr="00422BA9">
              <w:rPr>
                <w:rFonts w:cs="Arial"/>
                <w:szCs w:val="20"/>
              </w:rPr>
              <w:t>Contract type</w:t>
            </w:r>
          </w:p>
        </w:tc>
        <w:tc>
          <w:tcPr>
            <w:tcW w:w="741" w:type="pct"/>
            <w:shd w:val="clear" w:color="auto" w:fill="F2F2F2" w:themeFill="background1" w:themeFillShade="F2"/>
          </w:tcPr>
          <w:p w14:paraId="2AACD318" w14:textId="77777777" w:rsidR="00422BA9" w:rsidRPr="00422BA9" w:rsidRDefault="00422BA9" w:rsidP="00BF4FBA">
            <w:pPr>
              <w:rPr>
                <w:rFonts w:cs="Arial"/>
                <w:szCs w:val="20"/>
              </w:rPr>
            </w:pPr>
            <w:r w:rsidRPr="00422BA9">
              <w:rPr>
                <w:rFonts w:cs="Arial"/>
                <w:szCs w:val="20"/>
              </w:rPr>
              <w:t>Procurement method</w:t>
            </w:r>
          </w:p>
        </w:tc>
        <w:tc>
          <w:tcPr>
            <w:tcW w:w="649" w:type="pct"/>
            <w:shd w:val="clear" w:color="auto" w:fill="F2F2F2" w:themeFill="background1" w:themeFillShade="F2"/>
          </w:tcPr>
          <w:p w14:paraId="432AFC56" w14:textId="77777777" w:rsidR="00422BA9" w:rsidRPr="00422BA9" w:rsidRDefault="00422BA9" w:rsidP="00BF4FBA">
            <w:pPr>
              <w:rPr>
                <w:rFonts w:cs="Arial"/>
                <w:szCs w:val="20"/>
              </w:rPr>
            </w:pPr>
          </w:p>
        </w:tc>
        <w:tc>
          <w:tcPr>
            <w:tcW w:w="741" w:type="pct"/>
            <w:shd w:val="clear" w:color="auto" w:fill="A70240"/>
          </w:tcPr>
          <w:p w14:paraId="631F470E" w14:textId="77777777" w:rsidR="00422BA9" w:rsidRPr="00422BA9" w:rsidRDefault="00422BA9" w:rsidP="00BF4FBA">
            <w:pPr>
              <w:rPr>
                <w:rFonts w:cs="Arial"/>
                <w:szCs w:val="20"/>
              </w:rPr>
            </w:pPr>
            <w:r w:rsidRPr="00422BA9">
              <w:rPr>
                <w:rFonts w:cs="Arial"/>
                <w:szCs w:val="20"/>
              </w:rPr>
              <w:t>Additional fields only required for contracts over $500,000</w:t>
            </w:r>
          </w:p>
        </w:tc>
        <w:tc>
          <w:tcPr>
            <w:tcW w:w="370" w:type="pct"/>
            <w:shd w:val="clear" w:color="auto" w:fill="F2F2F2" w:themeFill="background1" w:themeFillShade="F2"/>
          </w:tcPr>
          <w:p w14:paraId="41F5DFCB" w14:textId="77777777" w:rsidR="00422BA9" w:rsidRPr="00422BA9" w:rsidRDefault="00422BA9" w:rsidP="00BF4FBA">
            <w:pPr>
              <w:rPr>
                <w:rFonts w:cs="Arial"/>
                <w:szCs w:val="20"/>
              </w:rPr>
            </w:pPr>
            <w:r w:rsidRPr="00422BA9">
              <w:rPr>
                <w:rFonts w:cs="Arial"/>
                <w:szCs w:val="20"/>
              </w:rPr>
              <w:t>Drop down list</w:t>
            </w:r>
          </w:p>
        </w:tc>
        <w:tc>
          <w:tcPr>
            <w:tcW w:w="833" w:type="pct"/>
            <w:shd w:val="clear" w:color="auto" w:fill="F2F2F2" w:themeFill="background1" w:themeFillShade="F2"/>
          </w:tcPr>
          <w:p w14:paraId="10974451" w14:textId="77777777" w:rsidR="00422BA9" w:rsidRPr="00422BA9" w:rsidRDefault="00422BA9" w:rsidP="00BF4FBA">
            <w:pPr>
              <w:rPr>
                <w:rFonts w:cs="Arial"/>
                <w:b/>
                <w:bCs/>
                <w:szCs w:val="20"/>
              </w:rPr>
            </w:pPr>
            <w:r w:rsidRPr="00422BA9">
              <w:rPr>
                <w:rFonts w:cs="Arial"/>
                <w:b/>
                <w:bCs/>
                <w:szCs w:val="20"/>
              </w:rPr>
              <w:t xml:space="preserve">REQUIRED </w:t>
            </w:r>
          </w:p>
          <w:p w14:paraId="16249B8A" w14:textId="77777777" w:rsidR="00422BA9" w:rsidRPr="00422BA9" w:rsidRDefault="00422BA9" w:rsidP="00BF4FBA">
            <w:pPr>
              <w:rPr>
                <w:rFonts w:cs="Arial"/>
                <w:szCs w:val="20"/>
              </w:rPr>
            </w:pPr>
            <w:r w:rsidRPr="00422BA9">
              <w:rPr>
                <w:rFonts w:cs="Arial"/>
                <w:szCs w:val="20"/>
              </w:rPr>
              <w:t xml:space="preserve">Refer to the list in section </w:t>
            </w:r>
            <w:proofErr w:type="gramStart"/>
            <w:r w:rsidRPr="00422BA9">
              <w:rPr>
                <w:rFonts w:cs="Arial"/>
                <w:szCs w:val="20"/>
              </w:rPr>
              <w:t>8.5</w:t>
            </w:r>
            <w:proofErr w:type="gramEnd"/>
          </w:p>
          <w:p w14:paraId="156FB4E2" w14:textId="77777777" w:rsidR="00422BA9" w:rsidRPr="00422BA9" w:rsidRDefault="00422BA9" w:rsidP="00BF4FBA">
            <w:pPr>
              <w:rPr>
                <w:rFonts w:cs="Arial"/>
                <w:szCs w:val="20"/>
              </w:rPr>
            </w:pPr>
            <w:r w:rsidRPr="00422BA9">
              <w:rPr>
                <w:rFonts w:cs="Arial"/>
                <w:szCs w:val="20"/>
              </w:rPr>
              <w:t xml:space="preserve">Can only be - Open, </w:t>
            </w:r>
            <w:proofErr w:type="gramStart"/>
            <w:r w:rsidRPr="00422BA9">
              <w:rPr>
                <w:rFonts w:cs="Arial"/>
                <w:szCs w:val="20"/>
              </w:rPr>
              <w:t>selective</w:t>
            </w:r>
            <w:proofErr w:type="gramEnd"/>
            <w:r w:rsidRPr="00422BA9">
              <w:rPr>
                <w:rFonts w:cs="Arial"/>
                <w:szCs w:val="20"/>
              </w:rPr>
              <w:t xml:space="preserve"> or limited</w:t>
            </w:r>
          </w:p>
        </w:tc>
      </w:tr>
      <w:tr w:rsidR="00422BA9" w:rsidRPr="00422BA9" w14:paraId="12FE1EFD" w14:textId="77777777" w:rsidTr="00BD4A5E">
        <w:tc>
          <w:tcPr>
            <w:tcW w:w="1017" w:type="pct"/>
          </w:tcPr>
          <w:p w14:paraId="7DFAF71F" w14:textId="77777777" w:rsidR="00422BA9" w:rsidRPr="00422BA9" w:rsidRDefault="00422BA9" w:rsidP="00BF4FBA">
            <w:pPr>
              <w:rPr>
                <w:rFonts w:cs="Arial"/>
                <w:szCs w:val="20"/>
              </w:rPr>
            </w:pPr>
          </w:p>
        </w:tc>
        <w:tc>
          <w:tcPr>
            <w:tcW w:w="648" w:type="pct"/>
          </w:tcPr>
          <w:p w14:paraId="1FE76A5B" w14:textId="77777777" w:rsidR="00422BA9" w:rsidRPr="00422BA9" w:rsidRDefault="00422BA9" w:rsidP="00BF4FBA">
            <w:pPr>
              <w:rPr>
                <w:rFonts w:cs="Arial"/>
                <w:szCs w:val="20"/>
              </w:rPr>
            </w:pPr>
          </w:p>
        </w:tc>
        <w:tc>
          <w:tcPr>
            <w:tcW w:w="741" w:type="pct"/>
            <w:shd w:val="clear" w:color="auto" w:fill="auto"/>
          </w:tcPr>
          <w:p w14:paraId="0BE7F5E9" w14:textId="77777777" w:rsidR="00422BA9" w:rsidRPr="00422BA9" w:rsidRDefault="00422BA9" w:rsidP="00BF4FBA">
            <w:pPr>
              <w:rPr>
                <w:rFonts w:cs="Arial"/>
                <w:szCs w:val="20"/>
              </w:rPr>
            </w:pPr>
            <w:r w:rsidRPr="00422BA9">
              <w:rPr>
                <w:rFonts w:cs="Arial"/>
                <w:szCs w:val="20"/>
              </w:rPr>
              <w:t>Reason for use of limited tendering</w:t>
            </w:r>
          </w:p>
        </w:tc>
        <w:tc>
          <w:tcPr>
            <w:tcW w:w="649" w:type="pct"/>
          </w:tcPr>
          <w:p w14:paraId="5CD19EBF" w14:textId="77777777" w:rsidR="00422BA9" w:rsidRPr="00422BA9" w:rsidRDefault="00422BA9" w:rsidP="00BF4FBA">
            <w:pPr>
              <w:rPr>
                <w:rFonts w:cs="Arial"/>
                <w:szCs w:val="20"/>
              </w:rPr>
            </w:pPr>
            <w:r w:rsidRPr="00422BA9">
              <w:rPr>
                <w:rFonts w:cs="Arial"/>
                <w:szCs w:val="20"/>
              </w:rPr>
              <w:t>Providing an FTA compliant reason for use of a limited procurement method of tendering</w:t>
            </w:r>
          </w:p>
        </w:tc>
        <w:tc>
          <w:tcPr>
            <w:tcW w:w="741" w:type="pct"/>
            <w:shd w:val="clear" w:color="auto" w:fill="8E3493"/>
          </w:tcPr>
          <w:p w14:paraId="70C3DA94" w14:textId="77777777" w:rsidR="00422BA9" w:rsidRPr="00BD4A5E" w:rsidRDefault="00422BA9" w:rsidP="00BF4FBA">
            <w:pPr>
              <w:rPr>
                <w:rFonts w:cs="Arial"/>
                <w:color w:val="FFFFFF" w:themeColor="background1"/>
                <w:szCs w:val="20"/>
              </w:rPr>
            </w:pPr>
            <w:r w:rsidRPr="00BD4A5E">
              <w:rPr>
                <w:rFonts w:cs="Arial"/>
                <w:color w:val="FFFFFF" w:themeColor="background1"/>
                <w:szCs w:val="20"/>
              </w:rPr>
              <w:t>Additional field only for contracts:</w:t>
            </w:r>
          </w:p>
          <w:p w14:paraId="24A54DC3" w14:textId="77777777" w:rsidR="00422BA9" w:rsidRPr="00BD4A5E" w:rsidRDefault="00422BA9" w:rsidP="00422BA9">
            <w:pPr>
              <w:pStyle w:val="ListParagraph"/>
              <w:numPr>
                <w:ilvl w:val="0"/>
                <w:numId w:val="17"/>
              </w:numPr>
              <w:spacing w:before="180" w:line="264" w:lineRule="auto"/>
              <w:contextualSpacing/>
              <w:rPr>
                <w:rFonts w:cs="Arial"/>
                <w:color w:val="FFFFFF" w:themeColor="background1"/>
                <w:szCs w:val="20"/>
              </w:rPr>
            </w:pPr>
            <w:r w:rsidRPr="00BD4A5E">
              <w:rPr>
                <w:rFonts w:cs="Arial"/>
                <w:color w:val="FFFFFF" w:themeColor="background1"/>
                <w:szCs w:val="20"/>
              </w:rPr>
              <w:t>Goods and services valued &gt;$</w:t>
            </w:r>
            <w:proofErr w:type="gramStart"/>
            <w:r w:rsidRPr="00BD4A5E">
              <w:rPr>
                <w:rFonts w:cs="Arial"/>
                <w:color w:val="FFFFFF" w:themeColor="background1"/>
                <w:szCs w:val="20"/>
              </w:rPr>
              <w:t>500,000</w:t>
            </w:r>
            <w:proofErr w:type="gramEnd"/>
          </w:p>
          <w:p w14:paraId="74A4FE30" w14:textId="77777777" w:rsidR="00422BA9" w:rsidRPr="00422BA9" w:rsidRDefault="00422BA9" w:rsidP="00422BA9">
            <w:pPr>
              <w:pStyle w:val="ListParagraph"/>
              <w:numPr>
                <w:ilvl w:val="0"/>
                <w:numId w:val="17"/>
              </w:numPr>
              <w:spacing w:before="180" w:line="264" w:lineRule="auto"/>
              <w:contextualSpacing/>
              <w:rPr>
                <w:rFonts w:cs="Arial"/>
                <w:szCs w:val="20"/>
              </w:rPr>
            </w:pPr>
            <w:r w:rsidRPr="00BD4A5E">
              <w:rPr>
                <w:rFonts w:cs="Arial"/>
                <w:color w:val="FFFFFF" w:themeColor="background1"/>
                <w:szCs w:val="20"/>
              </w:rPr>
              <w:t>Construction services valued &gt;$8.5 million</w:t>
            </w:r>
          </w:p>
        </w:tc>
        <w:tc>
          <w:tcPr>
            <w:tcW w:w="370" w:type="pct"/>
          </w:tcPr>
          <w:p w14:paraId="78B87B29" w14:textId="77777777" w:rsidR="00422BA9" w:rsidRPr="00422BA9" w:rsidRDefault="00422BA9" w:rsidP="00BF4FBA">
            <w:pPr>
              <w:rPr>
                <w:rFonts w:cs="Arial"/>
                <w:szCs w:val="20"/>
              </w:rPr>
            </w:pPr>
            <w:r w:rsidRPr="00422BA9">
              <w:rPr>
                <w:rFonts w:cs="Arial"/>
                <w:szCs w:val="20"/>
              </w:rPr>
              <w:t>Drop down list</w:t>
            </w:r>
          </w:p>
        </w:tc>
        <w:tc>
          <w:tcPr>
            <w:tcW w:w="833" w:type="pct"/>
          </w:tcPr>
          <w:p w14:paraId="5859BA52" w14:textId="77777777" w:rsidR="00422BA9" w:rsidRPr="00422BA9" w:rsidRDefault="00422BA9" w:rsidP="00BF4FBA">
            <w:pPr>
              <w:rPr>
                <w:rFonts w:cs="Arial"/>
                <w:b/>
                <w:bCs/>
                <w:szCs w:val="20"/>
              </w:rPr>
            </w:pPr>
            <w:r w:rsidRPr="00422BA9">
              <w:rPr>
                <w:rFonts w:cs="Arial"/>
                <w:b/>
                <w:bCs/>
                <w:szCs w:val="20"/>
              </w:rPr>
              <w:t xml:space="preserve">REQUIRED </w:t>
            </w:r>
          </w:p>
          <w:p w14:paraId="054DC152" w14:textId="77777777" w:rsidR="00422BA9" w:rsidRPr="00422BA9" w:rsidRDefault="00422BA9" w:rsidP="00BF4FBA">
            <w:pPr>
              <w:rPr>
                <w:rFonts w:cs="Arial"/>
                <w:szCs w:val="20"/>
              </w:rPr>
            </w:pPr>
            <w:r w:rsidRPr="00422BA9">
              <w:rPr>
                <w:rFonts w:cs="Arial"/>
                <w:szCs w:val="20"/>
              </w:rPr>
              <w:t>Refer to the list in section 8.6</w:t>
            </w:r>
          </w:p>
        </w:tc>
      </w:tr>
      <w:tr w:rsidR="00BD4A5E" w:rsidRPr="00422BA9" w14:paraId="6E522E2A" w14:textId="77777777" w:rsidTr="00BD4A5E">
        <w:tc>
          <w:tcPr>
            <w:tcW w:w="1017" w:type="pct"/>
            <w:shd w:val="clear" w:color="auto" w:fill="F2F2F2" w:themeFill="background1" w:themeFillShade="F2"/>
          </w:tcPr>
          <w:p w14:paraId="39F78C3A" w14:textId="77777777" w:rsidR="00422BA9" w:rsidRPr="00422BA9" w:rsidRDefault="00422BA9" w:rsidP="00BF4FBA">
            <w:pPr>
              <w:rPr>
                <w:rFonts w:cs="Arial"/>
                <w:szCs w:val="20"/>
              </w:rPr>
            </w:pPr>
          </w:p>
        </w:tc>
        <w:tc>
          <w:tcPr>
            <w:tcW w:w="648" w:type="pct"/>
            <w:shd w:val="clear" w:color="auto" w:fill="F2F2F2" w:themeFill="background1" w:themeFillShade="F2"/>
          </w:tcPr>
          <w:p w14:paraId="68CB6F60" w14:textId="77777777" w:rsidR="00422BA9" w:rsidRPr="00422BA9" w:rsidRDefault="00422BA9" w:rsidP="00BF4FBA">
            <w:pPr>
              <w:rPr>
                <w:rFonts w:cs="Arial"/>
                <w:szCs w:val="20"/>
              </w:rPr>
            </w:pPr>
          </w:p>
          <w:p w14:paraId="5F7C9BB3" w14:textId="77777777" w:rsidR="00422BA9" w:rsidRPr="00422BA9" w:rsidRDefault="00422BA9" w:rsidP="00BF4FBA">
            <w:pPr>
              <w:rPr>
                <w:rFonts w:cs="Arial"/>
                <w:szCs w:val="20"/>
              </w:rPr>
            </w:pPr>
          </w:p>
          <w:p w14:paraId="4A6E1C76" w14:textId="77777777" w:rsidR="00422BA9" w:rsidRPr="00422BA9" w:rsidRDefault="00422BA9" w:rsidP="00BF4FBA">
            <w:pPr>
              <w:rPr>
                <w:rFonts w:cs="Arial"/>
                <w:szCs w:val="20"/>
              </w:rPr>
            </w:pPr>
          </w:p>
          <w:p w14:paraId="7D46AD0F" w14:textId="77777777" w:rsidR="00422BA9" w:rsidRPr="00422BA9" w:rsidRDefault="00422BA9" w:rsidP="00BF4FBA">
            <w:pPr>
              <w:ind w:firstLine="720"/>
              <w:rPr>
                <w:rFonts w:cs="Arial"/>
                <w:szCs w:val="20"/>
              </w:rPr>
            </w:pPr>
          </w:p>
        </w:tc>
        <w:tc>
          <w:tcPr>
            <w:tcW w:w="741" w:type="pct"/>
            <w:shd w:val="clear" w:color="auto" w:fill="F2F2F2" w:themeFill="background1" w:themeFillShade="F2"/>
          </w:tcPr>
          <w:p w14:paraId="1B6A229F" w14:textId="77777777" w:rsidR="00422BA9" w:rsidRPr="00422BA9" w:rsidRDefault="00422BA9" w:rsidP="00BF4FBA">
            <w:pPr>
              <w:rPr>
                <w:rFonts w:cs="Arial"/>
                <w:szCs w:val="20"/>
              </w:rPr>
            </w:pPr>
            <w:r w:rsidRPr="00422BA9">
              <w:rPr>
                <w:rFonts w:cs="Arial"/>
                <w:szCs w:val="20"/>
              </w:rPr>
              <w:t>Form of contract</w:t>
            </w:r>
          </w:p>
        </w:tc>
        <w:tc>
          <w:tcPr>
            <w:tcW w:w="649" w:type="pct"/>
            <w:shd w:val="clear" w:color="auto" w:fill="F2F2F2" w:themeFill="background1" w:themeFillShade="F2"/>
          </w:tcPr>
          <w:p w14:paraId="51BEDF24" w14:textId="77777777" w:rsidR="00422BA9" w:rsidRPr="00422BA9" w:rsidRDefault="00422BA9" w:rsidP="00BF4FBA">
            <w:pPr>
              <w:rPr>
                <w:rFonts w:cs="Arial"/>
                <w:szCs w:val="20"/>
              </w:rPr>
            </w:pPr>
          </w:p>
        </w:tc>
        <w:tc>
          <w:tcPr>
            <w:tcW w:w="741" w:type="pct"/>
            <w:shd w:val="clear" w:color="auto" w:fill="6ECEC1"/>
          </w:tcPr>
          <w:p w14:paraId="22833675" w14:textId="77777777" w:rsidR="00422BA9" w:rsidRPr="00422BA9" w:rsidRDefault="00422BA9" w:rsidP="00BF4FBA">
            <w:pPr>
              <w:rPr>
                <w:rFonts w:cs="Arial"/>
                <w:szCs w:val="20"/>
              </w:rPr>
            </w:pPr>
            <w:r w:rsidRPr="00422BA9">
              <w:rPr>
                <w:rFonts w:cs="Arial"/>
                <w:szCs w:val="20"/>
              </w:rPr>
              <w:t>Additional fields only required for contracts over $10 million</w:t>
            </w:r>
          </w:p>
        </w:tc>
        <w:tc>
          <w:tcPr>
            <w:tcW w:w="370" w:type="pct"/>
            <w:shd w:val="clear" w:color="auto" w:fill="F2F2F2" w:themeFill="background1" w:themeFillShade="F2"/>
          </w:tcPr>
          <w:p w14:paraId="1ECCD9D5" w14:textId="77777777" w:rsidR="00422BA9" w:rsidRPr="00422BA9" w:rsidRDefault="00422BA9" w:rsidP="00BF4FBA">
            <w:pPr>
              <w:rPr>
                <w:rFonts w:cs="Arial"/>
                <w:szCs w:val="20"/>
              </w:rPr>
            </w:pPr>
            <w:r w:rsidRPr="00422BA9">
              <w:rPr>
                <w:rFonts w:cs="Arial"/>
                <w:szCs w:val="20"/>
              </w:rPr>
              <w:t>Text</w:t>
            </w:r>
          </w:p>
        </w:tc>
        <w:tc>
          <w:tcPr>
            <w:tcW w:w="833" w:type="pct"/>
            <w:shd w:val="clear" w:color="auto" w:fill="F2F2F2" w:themeFill="background1" w:themeFillShade="F2"/>
          </w:tcPr>
          <w:p w14:paraId="33CD841D" w14:textId="77777777" w:rsidR="00422BA9" w:rsidRPr="00422BA9" w:rsidRDefault="00422BA9" w:rsidP="00BF4FBA">
            <w:pPr>
              <w:rPr>
                <w:rFonts w:cs="Arial"/>
                <w:szCs w:val="20"/>
              </w:rPr>
            </w:pPr>
            <w:r w:rsidRPr="00422BA9">
              <w:rPr>
                <w:rFonts w:cs="Arial"/>
                <w:szCs w:val="20"/>
              </w:rPr>
              <w:t>As required</w:t>
            </w:r>
          </w:p>
        </w:tc>
      </w:tr>
      <w:tr w:rsidR="00422BA9" w:rsidRPr="00422BA9" w14:paraId="735CC214" w14:textId="77777777" w:rsidTr="00BD4A5E">
        <w:tc>
          <w:tcPr>
            <w:tcW w:w="1017" w:type="pct"/>
          </w:tcPr>
          <w:p w14:paraId="61C1F518" w14:textId="77777777" w:rsidR="00422BA9" w:rsidRPr="00422BA9" w:rsidRDefault="00422BA9" w:rsidP="00BF4FBA">
            <w:pPr>
              <w:rPr>
                <w:rFonts w:cs="Arial"/>
                <w:szCs w:val="20"/>
              </w:rPr>
            </w:pPr>
          </w:p>
        </w:tc>
        <w:tc>
          <w:tcPr>
            <w:tcW w:w="648" w:type="pct"/>
          </w:tcPr>
          <w:p w14:paraId="68E49307" w14:textId="77777777" w:rsidR="00422BA9" w:rsidRPr="00422BA9" w:rsidRDefault="00422BA9" w:rsidP="00BF4FBA">
            <w:pPr>
              <w:rPr>
                <w:rFonts w:cs="Arial"/>
                <w:szCs w:val="20"/>
              </w:rPr>
            </w:pPr>
          </w:p>
        </w:tc>
        <w:tc>
          <w:tcPr>
            <w:tcW w:w="741" w:type="pct"/>
            <w:shd w:val="clear" w:color="auto" w:fill="auto"/>
          </w:tcPr>
          <w:p w14:paraId="23E9504E" w14:textId="77777777" w:rsidR="00422BA9" w:rsidRPr="00422BA9" w:rsidRDefault="00422BA9" w:rsidP="00BF4FBA">
            <w:pPr>
              <w:rPr>
                <w:rFonts w:cs="Arial"/>
                <w:szCs w:val="20"/>
              </w:rPr>
            </w:pPr>
            <w:r w:rsidRPr="00422BA9">
              <w:rPr>
                <w:rFonts w:cs="Arial"/>
                <w:szCs w:val="20"/>
              </w:rPr>
              <w:t>Number of offers</w:t>
            </w:r>
          </w:p>
        </w:tc>
        <w:tc>
          <w:tcPr>
            <w:tcW w:w="649" w:type="pct"/>
          </w:tcPr>
          <w:p w14:paraId="48BA953B" w14:textId="77777777" w:rsidR="00422BA9" w:rsidRPr="00422BA9" w:rsidRDefault="00422BA9" w:rsidP="00BF4FBA">
            <w:pPr>
              <w:rPr>
                <w:rFonts w:cs="Arial"/>
                <w:szCs w:val="20"/>
              </w:rPr>
            </w:pPr>
          </w:p>
        </w:tc>
        <w:tc>
          <w:tcPr>
            <w:tcW w:w="741" w:type="pct"/>
            <w:shd w:val="clear" w:color="auto" w:fill="6ECEC1"/>
          </w:tcPr>
          <w:p w14:paraId="38FBCA8E" w14:textId="77777777" w:rsidR="00422BA9" w:rsidRPr="00422BA9" w:rsidRDefault="00422BA9" w:rsidP="00BF4FBA">
            <w:pPr>
              <w:rPr>
                <w:rFonts w:cs="Arial"/>
                <w:szCs w:val="20"/>
              </w:rPr>
            </w:pPr>
            <w:r w:rsidRPr="00422BA9">
              <w:rPr>
                <w:rFonts w:cs="Arial"/>
                <w:szCs w:val="20"/>
              </w:rPr>
              <w:t>Additional fields only required for contracts over $10 million</w:t>
            </w:r>
          </w:p>
        </w:tc>
        <w:tc>
          <w:tcPr>
            <w:tcW w:w="370" w:type="pct"/>
          </w:tcPr>
          <w:p w14:paraId="2E96866C" w14:textId="77777777" w:rsidR="00422BA9" w:rsidRPr="00422BA9" w:rsidRDefault="00422BA9" w:rsidP="00BF4FBA">
            <w:pPr>
              <w:rPr>
                <w:rFonts w:cs="Arial"/>
                <w:szCs w:val="20"/>
              </w:rPr>
            </w:pPr>
            <w:r w:rsidRPr="00422BA9">
              <w:rPr>
                <w:rFonts w:cs="Arial"/>
                <w:szCs w:val="20"/>
              </w:rPr>
              <w:t>Text</w:t>
            </w:r>
          </w:p>
        </w:tc>
        <w:tc>
          <w:tcPr>
            <w:tcW w:w="833" w:type="pct"/>
          </w:tcPr>
          <w:p w14:paraId="5FAFB918" w14:textId="77777777" w:rsidR="00422BA9" w:rsidRPr="00422BA9" w:rsidRDefault="00422BA9" w:rsidP="00BF4FBA">
            <w:pPr>
              <w:rPr>
                <w:rFonts w:cs="Arial"/>
                <w:szCs w:val="20"/>
              </w:rPr>
            </w:pPr>
            <w:r w:rsidRPr="00422BA9">
              <w:rPr>
                <w:rFonts w:cs="Arial"/>
                <w:szCs w:val="20"/>
              </w:rPr>
              <w:t>As required</w:t>
            </w:r>
          </w:p>
        </w:tc>
      </w:tr>
      <w:tr w:rsidR="00BD4A5E" w:rsidRPr="00422BA9" w14:paraId="6ADD91F0" w14:textId="77777777" w:rsidTr="00BD4A5E">
        <w:tc>
          <w:tcPr>
            <w:tcW w:w="1017" w:type="pct"/>
            <w:shd w:val="clear" w:color="auto" w:fill="F2F2F2" w:themeFill="background1" w:themeFillShade="F2"/>
          </w:tcPr>
          <w:p w14:paraId="488E7CD7" w14:textId="77777777" w:rsidR="00422BA9" w:rsidRPr="00422BA9" w:rsidRDefault="00422BA9" w:rsidP="00BF4FBA">
            <w:pPr>
              <w:rPr>
                <w:rFonts w:cs="Arial"/>
                <w:szCs w:val="20"/>
              </w:rPr>
            </w:pPr>
          </w:p>
        </w:tc>
        <w:tc>
          <w:tcPr>
            <w:tcW w:w="648" w:type="pct"/>
            <w:shd w:val="clear" w:color="auto" w:fill="F2F2F2" w:themeFill="background1" w:themeFillShade="F2"/>
          </w:tcPr>
          <w:p w14:paraId="1D581C73" w14:textId="77777777" w:rsidR="00422BA9" w:rsidRPr="00422BA9" w:rsidRDefault="00422BA9" w:rsidP="00BF4FBA">
            <w:pPr>
              <w:rPr>
                <w:rFonts w:cs="Arial"/>
                <w:szCs w:val="20"/>
              </w:rPr>
            </w:pPr>
          </w:p>
        </w:tc>
        <w:tc>
          <w:tcPr>
            <w:tcW w:w="741" w:type="pct"/>
            <w:shd w:val="clear" w:color="auto" w:fill="F2F2F2" w:themeFill="background1" w:themeFillShade="F2"/>
          </w:tcPr>
          <w:p w14:paraId="5848212C" w14:textId="77777777" w:rsidR="00422BA9" w:rsidRPr="00422BA9" w:rsidRDefault="00422BA9" w:rsidP="00BF4FBA">
            <w:pPr>
              <w:rPr>
                <w:rFonts w:cs="Arial"/>
                <w:szCs w:val="20"/>
              </w:rPr>
            </w:pPr>
            <w:r w:rsidRPr="00422BA9">
              <w:rPr>
                <w:rFonts w:cs="Arial"/>
                <w:szCs w:val="20"/>
              </w:rPr>
              <w:t>Evaluation criteria and weightings</w:t>
            </w:r>
          </w:p>
        </w:tc>
        <w:tc>
          <w:tcPr>
            <w:tcW w:w="649" w:type="pct"/>
            <w:shd w:val="clear" w:color="auto" w:fill="F2F2F2" w:themeFill="background1" w:themeFillShade="F2"/>
          </w:tcPr>
          <w:p w14:paraId="622D7411" w14:textId="77777777" w:rsidR="00422BA9" w:rsidRPr="00422BA9" w:rsidRDefault="00422BA9" w:rsidP="00BF4FBA">
            <w:pPr>
              <w:rPr>
                <w:rFonts w:cs="Arial"/>
                <w:szCs w:val="20"/>
              </w:rPr>
            </w:pPr>
          </w:p>
        </w:tc>
        <w:tc>
          <w:tcPr>
            <w:tcW w:w="741" w:type="pct"/>
            <w:shd w:val="clear" w:color="auto" w:fill="6ECEC1"/>
          </w:tcPr>
          <w:p w14:paraId="04CA9D46" w14:textId="77777777" w:rsidR="00422BA9" w:rsidRPr="00422BA9" w:rsidRDefault="00422BA9" w:rsidP="00BF4FBA">
            <w:pPr>
              <w:rPr>
                <w:rFonts w:cs="Arial"/>
                <w:szCs w:val="20"/>
              </w:rPr>
            </w:pPr>
            <w:r w:rsidRPr="00422BA9">
              <w:rPr>
                <w:rFonts w:cs="Arial"/>
                <w:szCs w:val="20"/>
              </w:rPr>
              <w:t>Additional fields only required for contracts over $10 million</w:t>
            </w:r>
          </w:p>
        </w:tc>
        <w:tc>
          <w:tcPr>
            <w:tcW w:w="370" w:type="pct"/>
            <w:shd w:val="clear" w:color="auto" w:fill="F2F2F2" w:themeFill="background1" w:themeFillShade="F2"/>
          </w:tcPr>
          <w:p w14:paraId="6C004BE3" w14:textId="77777777" w:rsidR="00422BA9" w:rsidRPr="00422BA9" w:rsidRDefault="00422BA9" w:rsidP="00BF4FBA">
            <w:pPr>
              <w:rPr>
                <w:rFonts w:cs="Arial"/>
                <w:szCs w:val="20"/>
              </w:rPr>
            </w:pPr>
            <w:r w:rsidRPr="00422BA9">
              <w:rPr>
                <w:rFonts w:cs="Arial"/>
                <w:szCs w:val="20"/>
              </w:rPr>
              <w:t>Text</w:t>
            </w:r>
          </w:p>
        </w:tc>
        <w:tc>
          <w:tcPr>
            <w:tcW w:w="833" w:type="pct"/>
            <w:shd w:val="clear" w:color="auto" w:fill="F2F2F2" w:themeFill="background1" w:themeFillShade="F2"/>
          </w:tcPr>
          <w:p w14:paraId="626C2BEA" w14:textId="77777777" w:rsidR="00422BA9" w:rsidRPr="00422BA9" w:rsidRDefault="00422BA9" w:rsidP="00BF4FBA">
            <w:pPr>
              <w:rPr>
                <w:rFonts w:cs="Arial"/>
                <w:szCs w:val="20"/>
              </w:rPr>
            </w:pPr>
            <w:r w:rsidRPr="00422BA9">
              <w:rPr>
                <w:rFonts w:cs="Arial"/>
                <w:szCs w:val="20"/>
              </w:rPr>
              <w:t>As required</w:t>
            </w:r>
          </w:p>
        </w:tc>
      </w:tr>
      <w:tr w:rsidR="00422BA9" w:rsidRPr="00422BA9" w14:paraId="00790060" w14:textId="77777777" w:rsidTr="00BD4A5E">
        <w:tc>
          <w:tcPr>
            <w:tcW w:w="1017" w:type="pct"/>
          </w:tcPr>
          <w:p w14:paraId="51348D89" w14:textId="77777777" w:rsidR="00422BA9" w:rsidRPr="00422BA9" w:rsidRDefault="00422BA9" w:rsidP="00BF4FBA">
            <w:pPr>
              <w:rPr>
                <w:rFonts w:cs="Arial"/>
                <w:szCs w:val="20"/>
              </w:rPr>
            </w:pPr>
          </w:p>
        </w:tc>
        <w:tc>
          <w:tcPr>
            <w:tcW w:w="648" w:type="pct"/>
          </w:tcPr>
          <w:p w14:paraId="6826A998" w14:textId="77777777" w:rsidR="00422BA9" w:rsidRPr="00422BA9" w:rsidRDefault="00422BA9" w:rsidP="00BF4FBA">
            <w:pPr>
              <w:rPr>
                <w:rFonts w:cs="Arial"/>
                <w:szCs w:val="20"/>
              </w:rPr>
            </w:pPr>
          </w:p>
        </w:tc>
        <w:tc>
          <w:tcPr>
            <w:tcW w:w="741" w:type="pct"/>
            <w:shd w:val="clear" w:color="auto" w:fill="auto"/>
          </w:tcPr>
          <w:p w14:paraId="2E450A7B" w14:textId="77777777" w:rsidR="00422BA9" w:rsidRPr="00422BA9" w:rsidRDefault="00422BA9" w:rsidP="00BF4FBA">
            <w:pPr>
              <w:rPr>
                <w:rFonts w:cs="Arial"/>
                <w:szCs w:val="20"/>
              </w:rPr>
            </w:pPr>
            <w:r w:rsidRPr="00422BA9">
              <w:rPr>
                <w:rFonts w:cs="Arial"/>
                <w:szCs w:val="20"/>
              </w:rPr>
              <w:t>Deliverables</w:t>
            </w:r>
          </w:p>
        </w:tc>
        <w:tc>
          <w:tcPr>
            <w:tcW w:w="649" w:type="pct"/>
          </w:tcPr>
          <w:p w14:paraId="29AFD77E" w14:textId="77777777" w:rsidR="00422BA9" w:rsidRPr="00422BA9" w:rsidRDefault="00422BA9" w:rsidP="00BF4FBA">
            <w:pPr>
              <w:rPr>
                <w:rFonts w:cs="Arial"/>
                <w:szCs w:val="20"/>
              </w:rPr>
            </w:pPr>
          </w:p>
        </w:tc>
        <w:tc>
          <w:tcPr>
            <w:tcW w:w="741" w:type="pct"/>
            <w:shd w:val="clear" w:color="auto" w:fill="6ECEC1"/>
          </w:tcPr>
          <w:p w14:paraId="59EAC933" w14:textId="77777777" w:rsidR="00422BA9" w:rsidRPr="00422BA9" w:rsidRDefault="00422BA9" w:rsidP="00BF4FBA">
            <w:pPr>
              <w:rPr>
                <w:rFonts w:cs="Arial"/>
                <w:szCs w:val="20"/>
              </w:rPr>
            </w:pPr>
            <w:r w:rsidRPr="00422BA9">
              <w:rPr>
                <w:rFonts w:cs="Arial"/>
                <w:szCs w:val="20"/>
              </w:rPr>
              <w:t>Additional fields only required for contracts over $10 million</w:t>
            </w:r>
          </w:p>
        </w:tc>
        <w:tc>
          <w:tcPr>
            <w:tcW w:w="370" w:type="pct"/>
          </w:tcPr>
          <w:p w14:paraId="1F358DDC" w14:textId="77777777" w:rsidR="00422BA9" w:rsidRPr="00422BA9" w:rsidRDefault="00422BA9" w:rsidP="00BF4FBA">
            <w:pPr>
              <w:rPr>
                <w:rFonts w:cs="Arial"/>
                <w:szCs w:val="20"/>
              </w:rPr>
            </w:pPr>
            <w:r w:rsidRPr="00422BA9">
              <w:rPr>
                <w:rFonts w:cs="Arial"/>
                <w:szCs w:val="20"/>
              </w:rPr>
              <w:t>Text</w:t>
            </w:r>
          </w:p>
        </w:tc>
        <w:tc>
          <w:tcPr>
            <w:tcW w:w="833" w:type="pct"/>
          </w:tcPr>
          <w:p w14:paraId="648FECB6" w14:textId="77777777" w:rsidR="00422BA9" w:rsidRPr="00422BA9" w:rsidRDefault="00422BA9" w:rsidP="00BF4FBA">
            <w:pPr>
              <w:rPr>
                <w:rFonts w:cs="Arial"/>
                <w:szCs w:val="20"/>
              </w:rPr>
            </w:pPr>
            <w:r w:rsidRPr="00422BA9">
              <w:rPr>
                <w:rFonts w:cs="Arial"/>
                <w:szCs w:val="20"/>
              </w:rPr>
              <w:t>As required</w:t>
            </w:r>
          </w:p>
        </w:tc>
      </w:tr>
      <w:tr w:rsidR="00BD4A5E" w:rsidRPr="00422BA9" w14:paraId="5C4B0FEF" w14:textId="77777777" w:rsidTr="00BD4A5E">
        <w:tc>
          <w:tcPr>
            <w:tcW w:w="1017" w:type="pct"/>
            <w:shd w:val="clear" w:color="auto" w:fill="F2F2F2" w:themeFill="background1" w:themeFillShade="F2"/>
          </w:tcPr>
          <w:p w14:paraId="3D1018D3" w14:textId="77777777" w:rsidR="00422BA9" w:rsidRPr="00422BA9" w:rsidRDefault="00422BA9" w:rsidP="00BF4FBA">
            <w:pPr>
              <w:rPr>
                <w:rFonts w:cs="Arial"/>
                <w:szCs w:val="20"/>
              </w:rPr>
            </w:pPr>
          </w:p>
        </w:tc>
        <w:tc>
          <w:tcPr>
            <w:tcW w:w="648" w:type="pct"/>
            <w:shd w:val="clear" w:color="auto" w:fill="F2F2F2" w:themeFill="background1" w:themeFillShade="F2"/>
          </w:tcPr>
          <w:p w14:paraId="2D95281A" w14:textId="77777777" w:rsidR="00422BA9" w:rsidRPr="00422BA9" w:rsidRDefault="00422BA9" w:rsidP="00BF4FBA">
            <w:pPr>
              <w:rPr>
                <w:rFonts w:cs="Arial"/>
                <w:szCs w:val="20"/>
              </w:rPr>
            </w:pPr>
          </w:p>
        </w:tc>
        <w:tc>
          <w:tcPr>
            <w:tcW w:w="741" w:type="pct"/>
            <w:shd w:val="clear" w:color="auto" w:fill="F2F2F2" w:themeFill="background1" w:themeFillShade="F2"/>
          </w:tcPr>
          <w:p w14:paraId="4E303D65" w14:textId="77777777" w:rsidR="00422BA9" w:rsidRPr="00422BA9" w:rsidRDefault="00422BA9" w:rsidP="00BF4FBA">
            <w:pPr>
              <w:rPr>
                <w:rFonts w:cs="Arial"/>
                <w:szCs w:val="20"/>
              </w:rPr>
            </w:pPr>
            <w:r w:rsidRPr="00422BA9">
              <w:rPr>
                <w:rFonts w:cs="Arial"/>
                <w:szCs w:val="20"/>
              </w:rPr>
              <w:t>Contract milestones</w:t>
            </w:r>
          </w:p>
        </w:tc>
        <w:tc>
          <w:tcPr>
            <w:tcW w:w="649" w:type="pct"/>
            <w:shd w:val="clear" w:color="auto" w:fill="F2F2F2" w:themeFill="background1" w:themeFillShade="F2"/>
          </w:tcPr>
          <w:p w14:paraId="2BB01E44" w14:textId="77777777" w:rsidR="00422BA9" w:rsidRPr="00422BA9" w:rsidRDefault="00422BA9" w:rsidP="00BF4FBA">
            <w:pPr>
              <w:rPr>
                <w:rFonts w:cs="Arial"/>
                <w:szCs w:val="20"/>
              </w:rPr>
            </w:pPr>
          </w:p>
        </w:tc>
        <w:tc>
          <w:tcPr>
            <w:tcW w:w="741" w:type="pct"/>
            <w:shd w:val="clear" w:color="auto" w:fill="6ECEC1"/>
          </w:tcPr>
          <w:p w14:paraId="1E85D0A0" w14:textId="77777777" w:rsidR="00422BA9" w:rsidRPr="00422BA9" w:rsidRDefault="00422BA9" w:rsidP="00BF4FBA">
            <w:pPr>
              <w:rPr>
                <w:rFonts w:cs="Arial"/>
                <w:szCs w:val="20"/>
              </w:rPr>
            </w:pPr>
            <w:r w:rsidRPr="00422BA9">
              <w:rPr>
                <w:rFonts w:cs="Arial"/>
                <w:szCs w:val="20"/>
              </w:rPr>
              <w:t>Additional fields only required for contracts over $10 million</w:t>
            </w:r>
          </w:p>
        </w:tc>
        <w:tc>
          <w:tcPr>
            <w:tcW w:w="370" w:type="pct"/>
            <w:shd w:val="clear" w:color="auto" w:fill="F2F2F2" w:themeFill="background1" w:themeFillShade="F2"/>
          </w:tcPr>
          <w:p w14:paraId="0EA14D44" w14:textId="77777777" w:rsidR="00422BA9" w:rsidRPr="00422BA9" w:rsidRDefault="00422BA9" w:rsidP="00BF4FBA">
            <w:pPr>
              <w:rPr>
                <w:rFonts w:cs="Arial"/>
                <w:szCs w:val="20"/>
              </w:rPr>
            </w:pPr>
            <w:r w:rsidRPr="00422BA9">
              <w:rPr>
                <w:rFonts w:cs="Arial"/>
                <w:szCs w:val="20"/>
              </w:rPr>
              <w:t>Text</w:t>
            </w:r>
          </w:p>
        </w:tc>
        <w:tc>
          <w:tcPr>
            <w:tcW w:w="833" w:type="pct"/>
            <w:shd w:val="clear" w:color="auto" w:fill="F2F2F2" w:themeFill="background1" w:themeFillShade="F2"/>
          </w:tcPr>
          <w:p w14:paraId="5D1DD396" w14:textId="77777777" w:rsidR="00422BA9" w:rsidRPr="00422BA9" w:rsidRDefault="00422BA9" w:rsidP="00BF4FBA">
            <w:pPr>
              <w:rPr>
                <w:rFonts w:cs="Arial"/>
                <w:szCs w:val="20"/>
              </w:rPr>
            </w:pPr>
            <w:r w:rsidRPr="00422BA9">
              <w:rPr>
                <w:rFonts w:cs="Arial"/>
                <w:szCs w:val="20"/>
              </w:rPr>
              <w:t>As required</w:t>
            </w:r>
          </w:p>
        </w:tc>
      </w:tr>
      <w:tr w:rsidR="00422BA9" w:rsidRPr="00422BA9" w14:paraId="149A674A" w14:textId="77777777" w:rsidTr="00BD4A5E">
        <w:tc>
          <w:tcPr>
            <w:tcW w:w="1017" w:type="pct"/>
          </w:tcPr>
          <w:p w14:paraId="46AF39FC" w14:textId="77777777" w:rsidR="00422BA9" w:rsidRPr="00422BA9" w:rsidRDefault="00422BA9" w:rsidP="00BF4FBA">
            <w:pPr>
              <w:rPr>
                <w:rFonts w:cs="Arial"/>
                <w:szCs w:val="20"/>
              </w:rPr>
            </w:pPr>
          </w:p>
        </w:tc>
        <w:tc>
          <w:tcPr>
            <w:tcW w:w="648" w:type="pct"/>
          </w:tcPr>
          <w:p w14:paraId="4B50638B" w14:textId="77777777" w:rsidR="00422BA9" w:rsidRPr="00422BA9" w:rsidRDefault="00422BA9" w:rsidP="00BF4FBA">
            <w:pPr>
              <w:rPr>
                <w:rFonts w:cs="Arial"/>
                <w:szCs w:val="20"/>
              </w:rPr>
            </w:pPr>
          </w:p>
        </w:tc>
        <w:tc>
          <w:tcPr>
            <w:tcW w:w="741" w:type="pct"/>
            <w:shd w:val="clear" w:color="auto" w:fill="auto"/>
          </w:tcPr>
          <w:p w14:paraId="6607B405" w14:textId="77777777" w:rsidR="00422BA9" w:rsidRPr="00422BA9" w:rsidRDefault="00422BA9" w:rsidP="00BF4FBA">
            <w:pPr>
              <w:rPr>
                <w:rFonts w:cs="Arial"/>
                <w:szCs w:val="20"/>
              </w:rPr>
            </w:pPr>
            <w:r w:rsidRPr="00422BA9">
              <w:rPr>
                <w:rFonts w:cs="Arial"/>
                <w:szCs w:val="20"/>
              </w:rPr>
              <w:t>Contract performance management</w:t>
            </w:r>
          </w:p>
        </w:tc>
        <w:tc>
          <w:tcPr>
            <w:tcW w:w="649" w:type="pct"/>
          </w:tcPr>
          <w:p w14:paraId="50920C91" w14:textId="77777777" w:rsidR="00422BA9" w:rsidRPr="00422BA9" w:rsidRDefault="00422BA9" w:rsidP="00BF4FBA">
            <w:pPr>
              <w:rPr>
                <w:rFonts w:cs="Arial"/>
                <w:szCs w:val="20"/>
              </w:rPr>
            </w:pPr>
          </w:p>
        </w:tc>
        <w:tc>
          <w:tcPr>
            <w:tcW w:w="741" w:type="pct"/>
            <w:shd w:val="clear" w:color="auto" w:fill="6ECEC1"/>
          </w:tcPr>
          <w:p w14:paraId="0DF8EDF8" w14:textId="77777777" w:rsidR="00422BA9" w:rsidRPr="00422BA9" w:rsidRDefault="00422BA9" w:rsidP="00BF4FBA">
            <w:pPr>
              <w:rPr>
                <w:rFonts w:cs="Arial"/>
                <w:szCs w:val="20"/>
              </w:rPr>
            </w:pPr>
            <w:r w:rsidRPr="00422BA9">
              <w:rPr>
                <w:rFonts w:cs="Arial"/>
                <w:szCs w:val="20"/>
              </w:rPr>
              <w:t>Additional fields only required for contracts over $10 million</w:t>
            </w:r>
          </w:p>
        </w:tc>
        <w:tc>
          <w:tcPr>
            <w:tcW w:w="370" w:type="pct"/>
          </w:tcPr>
          <w:p w14:paraId="21CE0E06" w14:textId="77777777" w:rsidR="00422BA9" w:rsidRPr="00422BA9" w:rsidRDefault="00422BA9" w:rsidP="00BF4FBA">
            <w:pPr>
              <w:rPr>
                <w:rFonts w:cs="Arial"/>
                <w:szCs w:val="20"/>
              </w:rPr>
            </w:pPr>
            <w:r w:rsidRPr="00422BA9">
              <w:rPr>
                <w:rFonts w:cs="Arial"/>
                <w:szCs w:val="20"/>
              </w:rPr>
              <w:t>Text</w:t>
            </w:r>
          </w:p>
        </w:tc>
        <w:tc>
          <w:tcPr>
            <w:tcW w:w="833" w:type="pct"/>
          </w:tcPr>
          <w:p w14:paraId="78FCC83B" w14:textId="77777777" w:rsidR="00422BA9" w:rsidRPr="00422BA9" w:rsidRDefault="00422BA9" w:rsidP="00BF4FBA">
            <w:pPr>
              <w:rPr>
                <w:rFonts w:cs="Arial"/>
                <w:szCs w:val="20"/>
              </w:rPr>
            </w:pPr>
            <w:r w:rsidRPr="00422BA9">
              <w:rPr>
                <w:rFonts w:cs="Arial"/>
                <w:szCs w:val="20"/>
              </w:rPr>
              <w:t>As required</w:t>
            </w:r>
          </w:p>
        </w:tc>
      </w:tr>
      <w:tr w:rsidR="00BD4A5E" w:rsidRPr="00422BA9" w14:paraId="79EFC60B" w14:textId="77777777" w:rsidTr="00BD4A5E">
        <w:tc>
          <w:tcPr>
            <w:tcW w:w="1017" w:type="pct"/>
            <w:shd w:val="clear" w:color="auto" w:fill="F2F2F2" w:themeFill="background1" w:themeFillShade="F2"/>
          </w:tcPr>
          <w:p w14:paraId="02792C12" w14:textId="77777777" w:rsidR="00422BA9" w:rsidRPr="00422BA9" w:rsidRDefault="00422BA9" w:rsidP="00BF4FBA">
            <w:pPr>
              <w:rPr>
                <w:rFonts w:cs="Arial"/>
                <w:szCs w:val="20"/>
              </w:rPr>
            </w:pPr>
            <w:r w:rsidRPr="00422BA9">
              <w:rPr>
                <w:rFonts w:cs="Arial"/>
                <w:szCs w:val="20"/>
              </w:rPr>
              <w:t>Contracts/award ID</w:t>
            </w:r>
          </w:p>
        </w:tc>
        <w:tc>
          <w:tcPr>
            <w:tcW w:w="648" w:type="pct"/>
            <w:shd w:val="clear" w:color="auto" w:fill="F2F2F2" w:themeFill="background1" w:themeFillShade="F2"/>
          </w:tcPr>
          <w:p w14:paraId="7D9C6C20" w14:textId="77777777" w:rsidR="00422BA9" w:rsidRPr="00422BA9" w:rsidRDefault="00422BA9" w:rsidP="00BF4FBA">
            <w:pPr>
              <w:rPr>
                <w:rFonts w:cs="Arial"/>
                <w:szCs w:val="20"/>
              </w:rPr>
            </w:pPr>
            <w:r w:rsidRPr="00422BA9">
              <w:rPr>
                <w:rFonts w:cs="Arial"/>
                <w:szCs w:val="20"/>
              </w:rPr>
              <w:t>Tender number</w:t>
            </w:r>
          </w:p>
        </w:tc>
        <w:tc>
          <w:tcPr>
            <w:tcW w:w="741" w:type="pct"/>
            <w:shd w:val="clear" w:color="auto" w:fill="F2F2F2" w:themeFill="background1" w:themeFillShade="F2"/>
          </w:tcPr>
          <w:p w14:paraId="74ED13AA" w14:textId="77777777" w:rsidR="00422BA9" w:rsidRPr="00422BA9" w:rsidRDefault="00422BA9" w:rsidP="00BF4FBA">
            <w:pPr>
              <w:rPr>
                <w:rFonts w:cs="Arial"/>
                <w:szCs w:val="20"/>
              </w:rPr>
            </w:pPr>
            <w:r w:rsidRPr="00422BA9">
              <w:rPr>
                <w:rFonts w:cs="Arial"/>
                <w:szCs w:val="20"/>
              </w:rPr>
              <w:t>Contract reference number</w:t>
            </w:r>
          </w:p>
        </w:tc>
        <w:tc>
          <w:tcPr>
            <w:tcW w:w="649" w:type="pct"/>
            <w:shd w:val="clear" w:color="auto" w:fill="F2F2F2" w:themeFill="background1" w:themeFillShade="F2"/>
          </w:tcPr>
          <w:p w14:paraId="46186442" w14:textId="77777777" w:rsidR="00422BA9" w:rsidRPr="00422BA9" w:rsidRDefault="00422BA9" w:rsidP="00BF4FBA">
            <w:pPr>
              <w:rPr>
                <w:rFonts w:cs="Arial"/>
                <w:szCs w:val="20"/>
              </w:rPr>
            </w:pPr>
            <w:r w:rsidRPr="00422BA9">
              <w:rPr>
                <w:rFonts w:cs="Arial"/>
                <w:szCs w:val="20"/>
              </w:rPr>
              <w:t>Agency’s specific identifier/number which uniquely identifies the contract within the agency e.g. TMR5516</w:t>
            </w:r>
          </w:p>
        </w:tc>
        <w:tc>
          <w:tcPr>
            <w:tcW w:w="741" w:type="pct"/>
            <w:shd w:val="clear" w:color="auto" w:fill="F3D148"/>
          </w:tcPr>
          <w:p w14:paraId="30CB096D" w14:textId="77777777" w:rsidR="00422BA9" w:rsidRPr="00422BA9" w:rsidRDefault="00422BA9" w:rsidP="00BF4FBA">
            <w:pPr>
              <w:rPr>
                <w:rFonts w:cs="Arial"/>
                <w:szCs w:val="20"/>
              </w:rPr>
            </w:pPr>
            <w:r w:rsidRPr="00422BA9">
              <w:rPr>
                <w:rFonts w:cs="Arial"/>
                <w:szCs w:val="20"/>
              </w:rPr>
              <w:t>Optional</w:t>
            </w:r>
          </w:p>
        </w:tc>
        <w:tc>
          <w:tcPr>
            <w:tcW w:w="370" w:type="pct"/>
            <w:shd w:val="clear" w:color="auto" w:fill="F2F2F2" w:themeFill="background1" w:themeFillShade="F2"/>
          </w:tcPr>
          <w:p w14:paraId="78355F14" w14:textId="77777777" w:rsidR="00422BA9" w:rsidRPr="00422BA9" w:rsidRDefault="00422BA9" w:rsidP="00BF4FBA">
            <w:pPr>
              <w:rPr>
                <w:rFonts w:cs="Arial"/>
                <w:szCs w:val="20"/>
              </w:rPr>
            </w:pPr>
            <w:r w:rsidRPr="00422BA9">
              <w:rPr>
                <w:rFonts w:cs="Arial"/>
                <w:szCs w:val="20"/>
              </w:rPr>
              <w:t>Text</w:t>
            </w:r>
          </w:p>
        </w:tc>
        <w:tc>
          <w:tcPr>
            <w:tcW w:w="833" w:type="pct"/>
            <w:shd w:val="clear" w:color="auto" w:fill="F2F2F2" w:themeFill="background1" w:themeFillShade="F2"/>
          </w:tcPr>
          <w:p w14:paraId="328D8338" w14:textId="77777777" w:rsidR="00422BA9" w:rsidRPr="00422BA9" w:rsidRDefault="00422BA9" w:rsidP="00BF4FBA">
            <w:pPr>
              <w:rPr>
                <w:rFonts w:cs="Arial"/>
                <w:szCs w:val="20"/>
              </w:rPr>
            </w:pPr>
          </w:p>
        </w:tc>
      </w:tr>
      <w:tr w:rsidR="00422BA9" w:rsidRPr="00422BA9" w14:paraId="572F6EBA" w14:textId="77777777" w:rsidTr="00BD4A5E">
        <w:tc>
          <w:tcPr>
            <w:tcW w:w="1017" w:type="pct"/>
          </w:tcPr>
          <w:p w14:paraId="7E8D97DE" w14:textId="77777777" w:rsidR="00422BA9" w:rsidRPr="00422BA9" w:rsidRDefault="00422BA9" w:rsidP="00BF4FBA">
            <w:pPr>
              <w:rPr>
                <w:rFonts w:cs="Arial"/>
                <w:szCs w:val="20"/>
              </w:rPr>
            </w:pPr>
            <w:r w:rsidRPr="00422BA9">
              <w:rPr>
                <w:rFonts w:cs="Arial"/>
                <w:szCs w:val="20"/>
              </w:rPr>
              <w:t>Contracts/items/classification/description</w:t>
            </w:r>
          </w:p>
        </w:tc>
        <w:tc>
          <w:tcPr>
            <w:tcW w:w="648" w:type="pct"/>
          </w:tcPr>
          <w:p w14:paraId="190813DD" w14:textId="77777777" w:rsidR="00422BA9" w:rsidRPr="00422BA9" w:rsidRDefault="00422BA9" w:rsidP="00BF4FBA">
            <w:pPr>
              <w:rPr>
                <w:rFonts w:cs="Arial"/>
                <w:szCs w:val="20"/>
              </w:rPr>
            </w:pPr>
            <w:r w:rsidRPr="00422BA9">
              <w:rPr>
                <w:rFonts w:cs="Arial"/>
                <w:szCs w:val="20"/>
              </w:rPr>
              <w:t>Contract group</w:t>
            </w:r>
          </w:p>
        </w:tc>
        <w:tc>
          <w:tcPr>
            <w:tcW w:w="741" w:type="pct"/>
            <w:shd w:val="clear" w:color="auto" w:fill="auto"/>
          </w:tcPr>
          <w:p w14:paraId="65EED4A2" w14:textId="77777777" w:rsidR="00422BA9" w:rsidRPr="00422BA9" w:rsidRDefault="00422BA9" w:rsidP="00BF4FBA">
            <w:pPr>
              <w:rPr>
                <w:rFonts w:cs="Arial"/>
                <w:szCs w:val="20"/>
              </w:rPr>
            </w:pPr>
            <w:r w:rsidRPr="00422BA9">
              <w:rPr>
                <w:rFonts w:cs="Arial"/>
                <w:szCs w:val="20"/>
              </w:rPr>
              <w:t>Contract category group</w:t>
            </w:r>
          </w:p>
        </w:tc>
        <w:tc>
          <w:tcPr>
            <w:tcW w:w="649" w:type="pct"/>
          </w:tcPr>
          <w:p w14:paraId="16603268" w14:textId="77777777" w:rsidR="00422BA9" w:rsidRPr="00422BA9" w:rsidRDefault="00422BA9" w:rsidP="00BF4FBA">
            <w:pPr>
              <w:rPr>
                <w:rFonts w:cs="Arial"/>
                <w:szCs w:val="20"/>
              </w:rPr>
            </w:pPr>
            <w:r w:rsidRPr="00422BA9">
              <w:rPr>
                <w:rFonts w:cs="Arial"/>
                <w:szCs w:val="20"/>
              </w:rPr>
              <w:t>Classification of the transaction into one of six (6) Qld government category groups</w:t>
            </w:r>
          </w:p>
        </w:tc>
        <w:tc>
          <w:tcPr>
            <w:tcW w:w="741" w:type="pct"/>
            <w:shd w:val="clear" w:color="auto" w:fill="F3D148"/>
          </w:tcPr>
          <w:p w14:paraId="037A744F" w14:textId="77777777" w:rsidR="00422BA9" w:rsidRPr="00422BA9" w:rsidRDefault="00422BA9" w:rsidP="00BF4FBA">
            <w:pPr>
              <w:rPr>
                <w:rFonts w:cs="Arial"/>
                <w:szCs w:val="20"/>
              </w:rPr>
            </w:pPr>
            <w:r w:rsidRPr="00422BA9">
              <w:rPr>
                <w:rFonts w:cs="Arial"/>
                <w:szCs w:val="20"/>
              </w:rPr>
              <w:t>Optional</w:t>
            </w:r>
          </w:p>
        </w:tc>
        <w:tc>
          <w:tcPr>
            <w:tcW w:w="370" w:type="pct"/>
          </w:tcPr>
          <w:p w14:paraId="0BCCBAD7" w14:textId="77777777" w:rsidR="00422BA9" w:rsidRPr="00422BA9" w:rsidRDefault="00422BA9" w:rsidP="00BF4FBA">
            <w:pPr>
              <w:rPr>
                <w:rFonts w:cs="Arial"/>
                <w:szCs w:val="20"/>
              </w:rPr>
            </w:pPr>
            <w:r w:rsidRPr="00422BA9">
              <w:rPr>
                <w:rFonts w:cs="Arial"/>
                <w:szCs w:val="20"/>
              </w:rPr>
              <w:t>Drop down list</w:t>
            </w:r>
          </w:p>
        </w:tc>
        <w:tc>
          <w:tcPr>
            <w:tcW w:w="833" w:type="pct"/>
          </w:tcPr>
          <w:p w14:paraId="4828902A" w14:textId="77777777" w:rsidR="00422BA9" w:rsidRPr="00422BA9" w:rsidRDefault="00422BA9" w:rsidP="00BF4FBA">
            <w:pPr>
              <w:rPr>
                <w:rFonts w:cs="Arial"/>
                <w:szCs w:val="20"/>
              </w:rPr>
            </w:pPr>
            <w:r w:rsidRPr="00422BA9">
              <w:rPr>
                <w:rFonts w:cs="Arial"/>
                <w:szCs w:val="20"/>
              </w:rPr>
              <w:t xml:space="preserve">Refer to the list of contract category groups in section 8.4 </w:t>
            </w:r>
          </w:p>
        </w:tc>
      </w:tr>
      <w:tr w:rsidR="00BD4A5E" w:rsidRPr="00422BA9" w14:paraId="73893454" w14:textId="77777777" w:rsidTr="00BD4A5E">
        <w:tc>
          <w:tcPr>
            <w:tcW w:w="1017" w:type="pct"/>
            <w:shd w:val="clear" w:color="auto" w:fill="F2F2F2" w:themeFill="background1" w:themeFillShade="F2"/>
          </w:tcPr>
          <w:p w14:paraId="51B7BCBF" w14:textId="77777777" w:rsidR="00422BA9" w:rsidRPr="00422BA9" w:rsidRDefault="00422BA9" w:rsidP="00BF4FBA">
            <w:pPr>
              <w:rPr>
                <w:rFonts w:cs="Arial"/>
                <w:szCs w:val="20"/>
              </w:rPr>
            </w:pPr>
            <w:r w:rsidRPr="00422BA9">
              <w:rPr>
                <w:rFonts w:cs="Arial"/>
                <w:szCs w:val="20"/>
              </w:rPr>
              <w:lastRenderedPageBreak/>
              <w:t>Contracts</w:t>
            </w:r>
          </w:p>
        </w:tc>
        <w:tc>
          <w:tcPr>
            <w:tcW w:w="648" w:type="pct"/>
            <w:shd w:val="clear" w:color="auto" w:fill="F2F2F2" w:themeFill="background1" w:themeFillShade="F2"/>
          </w:tcPr>
          <w:p w14:paraId="10D0C9CD" w14:textId="77777777" w:rsidR="00422BA9" w:rsidRPr="00422BA9" w:rsidRDefault="00422BA9" w:rsidP="00BF4FBA">
            <w:pPr>
              <w:rPr>
                <w:rFonts w:cs="Arial"/>
                <w:szCs w:val="20"/>
              </w:rPr>
            </w:pPr>
            <w:r w:rsidRPr="00422BA9">
              <w:rPr>
                <w:rFonts w:cs="Arial"/>
                <w:szCs w:val="20"/>
              </w:rPr>
              <w:t>Contracts</w:t>
            </w:r>
          </w:p>
        </w:tc>
        <w:tc>
          <w:tcPr>
            <w:tcW w:w="741" w:type="pct"/>
            <w:shd w:val="clear" w:color="auto" w:fill="F2F2F2" w:themeFill="background1" w:themeFillShade="F2"/>
          </w:tcPr>
          <w:p w14:paraId="34DA6BDB" w14:textId="77777777" w:rsidR="00422BA9" w:rsidRPr="00422BA9" w:rsidRDefault="00422BA9" w:rsidP="00BF4FBA">
            <w:pPr>
              <w:rPr>
                <w:rFonts w:cs="Arial"/>
                <w:szCs w:val="20"/>
              </w:rPr>
            </w:pPr>
            <w:r w:rsidRPr="00422BA9">
              <w:rPr>
                <w:rFonts w:cs="Arial"/>
                <w:szCs w:val="20"/>
              </w:rPr>
              <w:t>Parent contract number/SOA</w:t>
            </w:r>
          </w:p>
        </w:tc>
        <w:tc>
          <w:tcPr>
            <w:tcW w:w="649" w:type="pct"/>
            <w:shd w:val="clear" w:color="auto" w:fill="F2F2F2" w:themeFill="background1" w:themeFillShade="F2"/>
          </w:tcPr>
          <w:p w14:paraId="3A6874BE" w14:textId="77777777" w:rsidR="00422BA9" w:rsidRPr="00422BA9" w:rsidRDefault="00422BA9" w:rsidP="00BF4FBA">
            <w:pPr>
              <w:rPr>
                <w:rFonts w:cs="Arial"/>
                <w:szCs w:val="20"/>
              </w:rPr>
            </w:pPr>
            <w:r w:rsidRPr="00422BA9">
              <w:rPr>
                <w:rFonts w:cs="Arial"/>
                <w:szCs w:val="20"/>
              </w:rPr>
              <w:t>Parent contract number if one exists</w:t>
            </w:r>
          </w:p>
        </w:tc>
        <w:tc>
          <w:tcPr>
            <w:tcW w:w="741" w:type="pct"/>
            <w:shd w:val="clear" w:color="auto" w:fill="F3D148"/>
          </w:tcPr>
          <w:p w14:paraId="5453821A" w14:textId="77777777" w:rsidR="00422BA9" w:rsidRPr="00422BA9" w:rsidRDefault="00422BA9" w:rsidP="00BF4FBA">
            <w:pPr>
              <w:rPr>
                <w:rFonts w:cs="Arial"/>
                <w:szCs w:val="20"/>
              </w:rPr>
            </w:pPr>
            <w:r w:rsidRPr="00422BA9">
              <w:rPr>
                <w:rFonts w:cs="Arial"/>
                <w:szCs w:val="20"/>
              </w:rPr>
              <w:t>Optional</w:t>
            </w:r>
          </w:p>
        </w:tc>
        <w:tc>
          <w:tcPr>
            <w:tcW w:w="370" w:type="pct"/>
            <w:shd w:val="clear" w:color="auto" w:fill="F2F2F2" w:themeFill="background1" w:themeFillShade="F2"/>
          </w:tcPr>
          <w:p w14:paraId="22B2FA8F" w14:textId="77777777" w:rsidR="00422BA9" w:rsidRPr="00422BA9" w:rsidRDefault="00422BA9" w:rsidP="00BF4FBA">
            <w:pPr>
              <w:rPr>
                <w:rFonts w:cs="Arial"/>
                <w:szCs w:val="20"/>
              </w:rPr>
            </w:pPr>
            <w:r w:rsidRPr="00422BA9">
              <w:rPr>
                <w:rFonts w:cs="Arial"/>
                <w:szCs w:val="20"/>
              </w:rPr>
              <w:t>Text</w:t>
            </w:r>
          </w:p>
        </w:tc>
        <w:tc>
          <w:tcPr>
            <w:tcW w:w="833" w:type="pct"/>
            <w:shd w:val="clear" w:color="auto" w:fill="F2F2F2" w:themeFill="background1" w:themeFillShade="F2"/>
          </w:tcPr>
          <w:p w14:paraId="474314FE" w14:textId="77777777" w:rsidR="00422BA9" w:rsidRPr="00422BA9" w:rsidRDefault="00422BA9" w:rsidP="00BF4FBA">
            <w:pPr>
              <w:rPr>
                <w:rFonts w:cs="Arial"/>
                <w:szCs w:val="20"/>
              </w:rPr>
            </w:pPr>
            <w:r w:rsidRPr="00422BA9">
              <w:rPr>
                <w:rFonts w:cs="Arial"/>
                <w:szCs w:val="20"/>
              </w:rPr>
              <w:t>A list of additional / supplemental identifiers for the organisation or participant, using the organisation identifier guidance. This could be used to provide an internally used identifier for this organisation in addition to the primary legal entity identifier.</w:t>
            </w:r>
          </w:p>
        </w:tc>
      </w:tr>
      <w:tr w:rsidR="00422BA9" w:rsidRPr="00422BA9" w14:paraId="0AE7C106" w14:textId="77777777" w:rsidTr="00BD4A5E">
        <w:tc>
          <w:tcPr>
            <w:tcW w:w="1017" w:type="pct"/>
          </w:tcPr>
          <w:p w14:paraId="71A97578" w14:textId="77777777" w:rsidR="00422BA9" w:rsidRPr="00422BA9" w:rsidRDefault="00422BA9" w:rsidP="00BF4FBA">
            <w:pPr>
              <w:rPr>
                <w:rFonts w:cs="Arial"/>
                <w:szCs w:val="20"/>
              </w:rPr>
            </w:pPr>
            <w:r w:rsidRPr="00422BA9">
              <w:rPr>
                <w:rFonts w:cs="Arial"/>
                <w:szCs w:val="20"/>
              </w:rPr>
              <w:t>Contracts/period/start date</w:t>
            </w:r>
          </w:p>
        </w:tc>
        <w:tc>
          <w:tcPr>
            <w:tcW w:w="648" w:type="pct"/>
          </w:tcPr>
          <w:p w14:paraId="0D0C7FA6" w14:textId="77777777" w:rsidR="00422BA9" w:rsidRPr="00422BA9" w:rsidRDefault="00422BA9" w:rsidP="00BF4FBA">
            <w:pPr>
              <w:rPr>
                <w:rFonts w:cs="Arial"/>
                <w:szCs w:val="20"/>
              </w:rPr>
            </w:pPr>
            <w:r w:rsidRPr="00422BA9">
              <w:rPr>
                <w:rFonts w:cs="Arial"/>
                <w:szCs w:val="20"/>
              </w:rPr>
              <w:t>Planned commencement date</w:t>
            </w:r>
          </w:p>
        </w:tc>
        <w:tc>
          <w:tcPr>
            <w:tcW w:w="741" w:type="pct"/>
            <w:shd w:val="clear" w:color="auto" w:fill="auto"/>
          </w:tcPr>
          <w:p w14:paraId="3389AAF1" w14:textId="77777777" w:rsidR="00422BA9" w:rsidRPr="00422BA9" w:rsidRDefault="00422BA9" w:rsidP="00BF4FBA">
            <w:pPr>
              <w:rPr>
                <w:rFonts w:cs="Arial"/>
                <w:szCs w:val="20"/>
              </w:rPr>
            </w:pPr>
            <w:r w:rsidRPr="00422BA9">
              <w:rPr>
                <w:rFonts w:cs="Arial"/>
                <w:szCs w:val="20"/>
              </w:rPr>
              <w:t>Commence date</w:t>
            </w:r>
          </w:p>
        </w:tc>
        <w:tc>
          <w:tcPr>
            <w:tcW w:w="649" w:type="pct"/>
          </w:tcPr>
          <w:p w14:paraId="436FBCC3" w14:textId="77777777" w:rsidR="00422BA9" w:rsidRPr="00422BA9" w:rsidRDefault="00422BA9" w:rsidP="00BF4FBA">
            <w:pPr>
              <w:rPr>
                <w:rFonts w:cs="Arial"/>
                <w:szCs w:val="20"/>
              </w:rPr>
            </w:pPr>
            <w:r w:rsidRPr="00422BA9">
              <w:rPr>
                <w:rFonts w:cs="Arial"/>
                <w:szCs w:val="20"/>
              </w:rPr>
              <w:t>Date supplier is expected to commence activity as stipulated in the contract</w:t>
            </w:r>
          </w:p>
        </w:tc>
        <w:tc>
          <w:tcPr>
            <w:tcW w:w="741" w:type="pct"/>
            <w:shd w:val="clear" w:color="auto" w:fill="F3D148"/>
          </w:tcPr>
          <w:p w14:paraId="30A95D2E" w14:textId="77777777" w:rsidR="00422BA9" w:rsidRPr="00422BA9" w:rsidRDefault="00422BA9" w:rsidP="00BF4FBA">
            <w:pPr>
              <w:rPr>
                <w:rFonts w:cs="Arial"/>
                <w:szCs w:val="20"/>
              </w:rPr>
            </w:pPr>
            <w:r w:rsidRPr="00422BA9">
              <w:rPr>
                <w:rFonts w:cs="Arial"/>
                <w:szCs w:val="20"/>
              </w:rPr>
              <w:t>Optional</w:t>
            </w:r>
          </w:p>
        </w:tc>
        <w:tc>
          <w:tcPr>
            <w:tcW w:w="370" w:type="pct"/>
          </w:tcPr>
          <w:p w14:paraId="6C688D78" w14:textId="77777777" w:rsidR="00422BA9" w:rsidRPr="00422BA9" w:rsidRDefault="00422BA9" w:rsidP="00BF4FBA">
            <w:pPr>
              <w:rPr>
                <w:rFonts w:cs="Arial"/>
                <w:szCs w:val="20"/>
              </w:rPr>
            </w:pPr>
            <w:r w:rsidRPr="00422BA9">
              <w:rPr>
                <w:rFonts w:cs="Arial"/>
                <w:szCs w:val="20"/>
              </w:rPr>
              <w:t>Date</w:t>
            </w:r>
          </w:p>
        </w:tc>
        <w:tc>
          <w:tcPr>
            <w:tcW w:w="833" w:type="pct"/>
          </w:tcPr>
          <w:p w14:paraId="020813AF" w14:textId="77777777" w:rsidR="00422BA9" w:rsidRPr="00422BA9" w:rsidRDefault="00422BA9" w:rsidP="00BF4FBA">
            <w:pPr>
              <w:rPr>
                <w:rFonts w:cs="Arial"/>
                <w:szCs w:val="20"/>
              </w:rPr>
            </w:pPr>
            <w:r w:rsidRPr="00422BA9">
              <w:rPr>
                <w:rFonts w:cs="Arial"/>
                <w:szCs w:val="20"/>
              </w:rPr>
              <w:t>DD/MM/YYYY</w:t>
            </w:r>
          </w:p>
        </w:tc>
      </w:tr>
      <w:tr w:rsidR="00BD4A5E" w:rsidRPr="00422BA9" w14:paraId="64411C12" w14:textId="77777777" w:rsidTr="00BD4A5E">
        <w:tc>
          <w:tcPr>
            <w:tcW w:w="1017" w:type="pct"/>
            <w:shd w:val="clear" w:color="auto" w:fill="F2F2F2" w:themeFill="background1" w:themeFillShade="F2"/>
          </w:tcPr>
          <w:p w14:paraId="77E4A93E" w14:textId="77777777" w:rsidR="00422BA9" w:rsidRPr="00422BA9" w:rsidRDefault="00422BA9" w:rsidP="00BF4FBA">
            <w:pPr>
              <w:rPr>
                <w:rFonts w:cs="Arial"/>
                <w:szCs w:val="20"/>
              </w:rPr>
            </w:pPr>
            <w:r w:rsidRPr="00422BA9">
              <w:rPr>
                <w:rFonts w:cs="Arial"/>
                <w:szCs w:val="20"/>
              </w:rPr>
              <w:t>Parties/identifier/URI</w:t>
            </w:r>
          </w:p>
        </w:tc>
        <w:tc>
          <w:tcPr>
            <w:tcW w:w="648" w:type="pct"/>
            <w:shd w:val="clear" w:color="auto" w:fill="F2F2F2" w:themeFill="background1" w:themeFillShade="F2"/>
          </w:tcPr>
          <w:p w14:paraId="1A3DAAD9" w14:textId="77777777" w:rsidR="00422BA9" w:rsidRPr="00422BA9" w:rsidRDefault="00422BA9" w:rsidP="00BF4FBA">
            <w:pPr>
              <w:rPr>
                <w:rFonts w:cs="Arial"/>
                <w:szCs w:val="20"/>
              </w:rPr>
            </w:pPr>
            <w:r w:rsidRPr="00422BA9">
              <w:rPr>
                <w:rFonts w:cs="Arial"/>
                <w:szCs w:val="20"/>
              </w:rPr>
              <w:t>Not assessed</w:t>
            </w:r>
          </w:p>
        </w:tc>
        <w:tc>
          <w:tcPr>
            <w:tcW w:w="741" w:type="pct"/>
            <w:shd w:val="clear" w:color="auto" w:fill="F2F2F2" w:themeFill="background1" w:themeFillShade="F2"/>
          </w:tcPr>
          <w:p w14:paraId="4AD010C9" w14:textId="77777777" w:rsidR="00422BA9" w:rsidRPr="00422BA9" w:rsidRDefault="00422BA9" w:rsidP="00BF4FBA">
            <w:pPr>
              <w:rPr>
                <w:rFonts w:cs="Arial"/>
                <w:szCs w:val="20"/>
              </w:rPr>
            </w:pPr>
            <w:r w:rsidRPr="00422BA9">
              <w:rPr>
                <w:rFonts w:cs="Arial"/>
                <w:szCs w:val="20"/>
              </w:rPr>
              <w:t>Supplier ABN</w:t>
            </w:r>
          </w:p>
        </w:tc>
        <w:tc>
          <w:tcPr>
            <w:tcW w:w="649" w:type="pct"/>
            <w:shd w:val="clear" w:color="auto" w:fill="F2F2F2" w:themeFill="background1" w:themeFillShade="F2"/>
          </w:tcPr>
          <w:p w14:paraId="2B20D393" w14:textId="77777777" w:rsidR="00422BA9" w:rsidRPr="00422BA9" w:rsidRDefault="00422BA9" w:rsidP="00BF4FBA">
            <w:pPr>
              <w:rPr>
                <w:rFonts w:cs="Arial"/>
                <w:szCs w:val="20"/>
              </w:rPr>
            </w:pPr>
            <w:r w:rsidRPr="00422BA9">
              <w:rPr>
                <w:rFonts w:cs="Arial"/>
                <w:szCs w:val="20"/>
              </w:rPr>
              <w:t>If ABN or ACN is known</w:t>
            </w:r>
          </w:p>
        </w:tc>
        <w:tc>
          <w:tcPr>
            <w:tcW w:w="741" w:type="pct"/>
            <w:shd w:val="clear" w:color="auto" w:fill="F3D148"/>
          </w:tcPr>
          <w:p w14:paraId="25617F1A" w14:textId="77777777" w:rsidR="00422BA9" w:rsidRPr="00422BA9" w:rsidRDefault="00422BA9" w:rsidP="00BF4FBA">
            <w:pPr>
              <w:rPr>
                <w:rFonts w:cs="Arial"/>
                <w:szCs w:val="20"/>
              </w:rPr>
            </w:pPr>
            <w:r w:rsidRPr="00422BA9">
              <w:rPr>
                <w:rFonts w:cs="Arial"/>
                <w:szCs w:val="20"/>
              </w:rPr>
              <w:t>Optional</w:t>
            </w:r>
          </w:p>
        </w:tc>
        <w:tc>
          <w:tcPr>
            <w:tcW w:w="370" w:type="pct"/>
            <w:shd w:val="clear" w:color="auto" w:fill="F2F2F2" w:themeFill="background1" w:themeFillShade="F2"/>
          </w:tcPr>
          <w:p w14:paraId="2855D3FA" w14:textId="77777777" w:rsidR="00422BA9" w:rsidRPr="00422BA9" w:rsidRDefault="00422BA9" w:rsidP="00BF4FBA">
            <w:pPr>
              <w:rPr>
                <w:rFonts w:cs="Arial"/>
                <w:szCs w:val="20"/>
              </w:rPr>
            </w:pPr>
            <w:r w:rsidRPr="00422BA9">
              <w:rPr>
                <w:rFonts w:cs="Arial"/>
                <w:szCs w:val="20"/>
              </w:rPr>
              <w:t>Text</w:t>
            </w:r>
          </w:p>
        </w:tc>
        <w:tc>
          <w:tcPr>
            <w:tcW w:w="833" w:type="pct"/>
            <w:shd w:val="clear" w:color="auto" w:fill="F2F2F2" w:themeFill="background1" w:themeFillShade="F2"/>
          </w:tcPr>
          <w:p w14:paraId="7FB1D4E4" w14:textId="77777777" w:rsidR="00422BA9" w:rsidRPr="00422BA9" w:rsidRDefault="00422BA9" w:rsidP="00BF4FBA">
            <w:pPr>
              <w:rPr>
                <w:rFonts w:cs="Arial"/>
                <w:szCs w:val="20"/>
              </w:rPr>
            </w:pPr>
          </w:p>
        </w:tc>
      </w:tr>
      <w:tr w:rsidR="00422BA9" w:rsidRPr="00422BA9" w14:paraId="58BD7F06" w14:textId="77777777" w:rsidTr="00BD4A5E">
        <w:tc>
          <w:tcPr>
            <w:tcW w:w="1017" w:type="pct"/>
          </w:tcPr>
          <w:p w14:paraId="30DED873" w14:textId="77777777" w:rsidR="00422BA9" w:rsidRPr="00422BA9" w:rsidRDefault="00422BA9" w:rsidP="00BF4FBA">
            <w:pPr>
              <w:rPr>
                <w:rFonts w:cs="Arial"/>
                <w:szCs w:val="20"/>
              </w:rPr>
            </w:pPr>
            <w:r w:rsidRPr="00422BA9">
              <w:rPr>
                <w:rFonts w:cs="Arial"/>
                <w:szCs w:val="20"/>
              </w:rPr>
              <w:t>Contracts/period/end date</w:t>
            </w:r>
          </w:p>
        </w:tc>
        <w:tc>
          <w:tcPr>
            <w:tcW w:w="648" w:type="pct"/>
          </w:tcPr>
          <w:p w14:paraId="70227B8E" w14:textId="77777777" w:rsidR="00422BA9" w:rsidRPr="00422BA9" w:rsidRDefault="00422BA9" w:rsidP="00BF4FBA">
            <w:pPr>
              <w:rPr>
                <w:rFonts w:cs="Arial"/>
                <w:szCs w:val="20"/>
              </w:rPr>
            </w:pPr>
            <w:r w:rsidRPr="00422BA9">
              <w:rPr>
                <w:rFonts w:cs="Arial"/>
                <w:szCs w:val="20"/>
              </w:rPr>
              <w:t>Planned finish date</w:t>
            </w:r>
          </w:p>
        </w:tc>
        <w:tc>
          <w:tcPr>
            <w:tcW w:w="741" w:type="pct"/>
            <w:shd w:val="clear" w:color="auto" w:fill="auto"/>
          </w:tcPr>
          <w:p w14:paraId="75EAF73C" w14:textId="77777777" w:rsidR="00422BA9" w:rsidRPr="00422BA9" w:rsidRDefault="00422BA9" w:rsidP="00BF4FBA">
            <w:pPr>
              <w:rPr>
                <w:rFonts w:cs="Arial"/>
                <w:szCs w:val="20"/>
              </w:rPr>
            </w:pPr>
            <w:r w:rsidRPr="00422BA9">
              <w:rPr>
                <w:rFonts w:cs="Arial"/>
                <w:szCs w:val="20"/>
              </w:rPr>
              <w:t>Finish date</w:t>
            </w:r>
          </w:p>
        </w:tc>
        <w:tc>
          <w:tcPr>
            <w:tcW w:w="649" w:type="pct"/>
          </w:tcPr>
          <w:p w14:paraId="521BB45A" w14:textId="77777777" w:rsidR="00422BA9" w:rsidRPr="00422BA9" w:rsidRDefault="00422BA9" w:rsidP="00BF4FBA">
            <w:pPr>
              <w:rPr>
                <w:rFonts w:cs="Arial"/>
                <w:szCs w:val="20"/>
              </w:rPr>
            </w:pPr>
            <w:r w:rsidRPr="00422BA9">
              <w:rPr>
                <w:rFonts w:cs="Arial"/>
                <w:szCs w:val="20"/>
              </w:rPr>
              <w:t>Date supplier expected to complete activity as stipulated in the contract</w:t>
            </w:r>
          </w:p>
        </w:tc>
        <w:tc>
          <w:tcPr>
            <w:tcW w:w="741" w:type="pct"/>
            <w:shd w:val="clear" w:color="auto" w:fill="F3D148"/>
          </w:tcPr>
          <w:p w14:paraId="0BE2CEC5" w14:textId="77777777" w:rsidR="00422BA9" w:rsidRPr="00422BA9" w:rsidRDefault="00422BA9" w:rsidP="00BF4FBA">
            <w:pPr>
              <w:rPr>
                <w:rFonts w:cs="Arial"/>
                <w:szCs w:val="20"/>
              </w:rPr>
            </w:pPr>
            <w:r w:rsidRPr="00422BA9">
              <w:rPr>
                <w:rFonts w:cs="Arial"/>
                <w:szCs w:val="20"/>
              </w:rPr>
              <w:t>Optional</w:t>
            </w:r>
          </w:p>
        </w:tc>
        <w:tc>
          <w:tcPr>
            <w:tcW w:w="370" w:type="pct"/>
          </w:tcPr>
          <w:p w14:paraId="17230887" w14:textId="77777777" w:rsidR="00422BA9" w:rsidRPr="00422BA9" w:rsidRDefault="00422BA9" w:rsidP="00BF4FBA">
            <w:pPr>
              <w:rPr>
                <w:rFonts w:cs="Arial"/>
                <w:szCs w:val="20"/>
              </w:rPr>
            </w:pPr>
            <w:r w:rsidRPr="00422BA9">
              <w:rPr>
                <w:rFonts w:cs="Arial"/>
                <w:szCs w:val="20"/>
              </w:rPr>
              <w:t>Date</w:t>
            </w:r>
          </w:p>
        </w:tc>
        <w:tc>
          <w:tcPr>
            <w:tcW w:w="833" w:type="pct"/>
          </w:tcPr>
          <w:p w14:paraId="360AD5EC" w14:textId="77777777" w:rsidR="00422BA9" w:rsidRPr="00422BA9" w:rsidRDefault="00422BA9" w:rsidP="00BF4FBA">
            <w:pPr>
              <w:rPr>
                <w:rFonts w:cs="Arial"/>
                <w:szCs w:val="20"/>
              </w:rPr>
            </w:pPr>
            <w:r w:rsidRPr="00422BA9">
              <w:rPr>
                <w:rFonts w:cs="Arial"/>
                <w:szCs w:val="20"/>
              </w:rPr>
              <w:t>DD/MM/YYYY</w:t>
            </w:r>
          </w:p>
        </w:tc>
      </w:tr>
    </w:tbl>
    <w:p w14:paraId="2876B744" w14:textId="77777777" w:rsidR="00BD4A5E" w:rsidRDefault="00BD4A5E" w:rsidP="009D42B1">
      <w:pPr>
        <w:sectPr w:rsidR="00BD4A5E" w:rsidSect="00422BA9">
          <w:pgSz w:w="16838" w:h="11906" w:orient="landscape"/>
          <w:pgMar w:top="1440" w:right="1440" w:bottom="1440" w:left="1440" w:header="708" w:footer="708" w:gutter="0"/>
          <w:cols w:space="708"/>
          <w:docGrid w:linePitch="360"/>
        </w:sectPr>
      </w:pPr>
    </w:p>
    <w:p w14:paraId="1182110A" w14:textId="1CF237E9" w:rsidR="00BD4A5E" w:rsidRDefault="00BD4A5E" w:rsidP="00BD4A5E">
      <w:pPr>
        <w:pStyle w:val="Heading1"/>
        <w:tabs>
          <w:tab w:val="left" w:pos="426"/>
        </w:tabs>
      </w:pPr>
      <w:bookmarkStart w:id="195" w:name="_Toc171520269"/>
      <w:r>
        <w:lastRenderedPageBreak/>
        <w:t xml:space="preserve">7 </w:t>
      </w:r>
      <w:r w:rsidRPr="00477970">
        <w:t xml:space="preserve">Process to prepare contract disclosure </w:t>
      </w:r>
      <w:proofErr w:type="gramStart"/>
      <w:r w:rsidRPr="00477970">
        <w:t>reports</w:t>
      </w:r>
      <w:bookmarkEnd w:id="195"/>
      <w:proofErr w:type="gramEnd"/>
    </w:p>
    <w:p w14:paraId="45D46FD8" w14:textId="77777777" w:rsidR="00BD4A5E" w:rsidRDefault="00BD4A5E" w:rsidP="00BD4A5E">
      <w:r>
        <w:t>Agencies</w:t>
      </w:r>
      <w:r w:rsidRPr="003426D5">
        <w:t xml:space="preserve"> </w:t>
      </w:r>
      <w:r>
        <w:t>are responsible for managing their contract disclosure reporting and uploading to the open data portal. The following provides the steps required to prepare contract disclosure data:</w:t>
      </w:r>
    </w:p>
    <w:p w14:paraId="01D388B0" w14:textId="77777777" w:rsidR="00BD4A5E" w:rsidRPr="00BE4B98" w:rsidRDefault="00BD4A5E" w:rsidP="00BD4A5E">
      <w:pPr>
        <w:pStyle w:val="ListParagraph"/>
        <w:numPr>
          <w:ilvl w:val="0"/>
          <w:numId w:val="18"/>
        </w:numPr>
        <w:spacing w:before="180" w:line="264" w:lineRule="auto"/>
        <w:contextualSpacing/>
      </w:pPr>
      <w:r w:rsidRPr="00BE4B98">
        <w:t xml:space="preserve">Refer to the </w:t>
      </w:r>
      <w:hyperlink r:id="rId31" w:history="1">
        <w:r w:rsidRPr="00BE4B98">
          <w:rPr>
            <w:rStyle w:val="Hyperlink"/>
            <w:i/>
          </w:rPr>
          <w:t>Procurement Guidelines: Contract Disclosure</w:t>
        </w:r>
      </w:hyperlink>
      <w:r w:rsidRPr="00BE4B98">
        <w:t xml:space="preserve"> for details on requirements to create your CSV file.</w:t>
      </w:r>
    </w:p>
    <w:p w14:paraId="2B2F8BE6" w14:textId="39CCFB3E" w:rsidR="00BD4A5E" w:rsidRPr="00BE4B98" w:rsidRDefault="00BD4A5E" w:rsidP="00BD4A5E">
      <w:pPr>
        <w:pStyle w:val="ListParagraph"/>
        <w:numPr>
          <w:ilvl w:val="0"/>
          <w:numId w:val="18"/>
        </w:numPr>
        <w:spacing w:before="180" w:line="264" w:lineRule="auto"/>
        <w:contextualSpacing/>
      </w:pPr>
      <w:r w:rsidRPr="00BE4B98">
        <w:t xml:space="preserve">Each financial year, create your </w:t>
      </w:r>
      <w:r w:rsidRPr="00BE4B98">
        <w:rPr>
          <w:b/>
          <w:bCs/>
        </w:rPr>
        <w:t>financial year file</w:t>
      </w:r>
      <w:r w:rsidRPr="00BE4B98">
        <w:t xml:space="preserve"> in accordance with</w:t>
      </w:r>
      <w:r w:rsidRPr="00BE4B98">
        <w:rPr>
          <w:rStyle w:val="Hyperlink"/>
        </w:rPr>
        <w:t>,</w:t>
      </w:r>
      <w:r w:rsidRPr="00BE4B98">
        <w:t xml:space="preserve"> </w:t>
      </w:r>
      <w:r w:rsidR="00074E77">
        <w:t xml:space="preserve"> </w:t>
      </w:r>
      <w:hyperlink w:anchor="_Detail_Publishing_Process" w:history="1">
        <w:r w:rsidRPr="00BE4B98">
          <w:rPr>
            <w:rStyle w:val="Hyperlink"/>
          </w:rPr>
          <w:t xml:space="preserve">9.2 </w:t>
        </w:r>
        <w:r w:rsidRPr="00BE4B98">
          <w:rPr>
            <w:rStyle w:val="Hyperlink"/>
            <w:lang w:val="en-GB"/>
          </w:rPr>
          <w:t>New detailed contract disclosure publishing process</w:t>
        </w:r>
        <w:r w:rsidRPr="00BE4B98">
          <w:rPr>
            <w:rStyle w:val="Hyperlink"/>
          </w:rPr>
          <w:t xml:space="preserve"> </w:t>
        </w:r>
      </w:hyperlink>
      <w:r w:rsidRPr="00BE4B98">
        <w:t xml:space="preserve">and </w:t>
      </w:r>
      <w:hyperlink w:anchor="_9.3_Specific_technical" w:history="1">
        <w:r w:rsidRPr="00BE4B98">
          <w:rPr>
            <w:rStyle w:val="Hyperlink"/>
          </w:rPr>
          <w:t>9.3 Specific technical requirements</w:t>
        </w:r>
      </w:hyperlink>
      <w:r w:rsidRPr="00BE4B98">
        <w:rPr>
          <w:rStyle w:val="Hyperlink"/>
        </w:rPr>
        <w:t>.</w:t>
      </w:r>
    </w:p>
    <w:p w14:paraId="5A16C6BB" w14:textId="77777777" w:rsidR="00BD4A5E" w:rsidRPr="00BE4B98" w:rsidRDefault="00BD4A5E" w:rsidP="00BD4A5E">
      <w:pPr>
        <w:pStyle w:val="ListParagraph"/>
        <w:numPr>
          <w:ilvl w:val="0"/>
          <w:numId w:val="18"/>
        </w:numPr>
        <w:spacing w:before="180" w:line="264" w:lineRule="auto"/>
        <w:contextualSpacing/>
      </w:pPr>
      <w:r w:rsidRPr="00BE4B98">
        <w:t>This file is updated (appended to) monthly, as specified in the contract disclosure guideline, and refreshed on the Open Data Portal.</w:t>
      </w:r>
    </w:p>
    <w:p w14:paraId="36D2CC0D" w14:textId="07CF4B46" w:rsidR="00BD4A5E" w:rsidRDefault="00BD4A5E" w:rsidP="00BD4A5E">
      <w:pPr>
        <w:pStyle w:val="ListParagraph"/>
        <w:numPr>
          <w:ilvl w:val="0"/>
          <w:numId w:val="18"/>
        </w:numPr>
        <w:spacing w:before="180" w:line="264" w:lineRule="auto"/>
        <w:contextualSpacing/>
      </w:pPr>
      <w:r>
        <w:t xml:space="preserve">At the end of each financial year the last period is </w:t>
      </w:r>
      <w:r w:rsidR="00074E77">
        <w:t>reported,</w:t>
      </w:r>
      <w:r>
        <w:t xml:space="preserve"> and the file is closed off and retained on the Open Data Portal.</w:t>
      </w:r>
    </w:p>
    <w:p w14:paraId="4FEAD993" w14:textId="77777777" w:rsidR="00BD4A5E" w:rsidRDefault="00BD4A5E" w:rsidP="00BD4A5E">
      <w:pPr>
        <w:pStyle w:val="ListParagraph"/>
        <w:numPr>
          <w:ilvl w:val="0"/>
          <w:numId w:val="18"/>
        </w:numPr>
        <w:spacing w:before="240" w:line="264" w:lineRule="auto"/>
        <w:ind w:left="357" w:hanging="357"/>
        <w:contextualSpacing/>
      </w:pPr>
      <w:r>
        <w:t>As each new financial year starts a new file is created and the process repeats.</w:t>
      </w:r>
    </w:p>
    <w:p w14:paraId="7FA9C7D9" w14:textId="77777777" w:rsidR="00BD4A5E" w:rsidRDefault="00BD4A5E" w:rsidP="00BD4A5E">
      <w:r>
        <w:br/>
        <w:t>A</w:t>
      </w:r>
      <w:r w:rsidRPr="004C5F41">
        <w:t xml:space="preserve">gencies </w:t>
      </w:r>
      <w:r>
        <w:t xml:space="preserve">must have a custodian with access to the open data portal to manage all uploads. Refer to </w:t>
      </w:r>
      <w:r w:rsidRPr="00821551">
        <w:rPr>
          <w:b/>
          <w:bCs/>
        </w:rPr>
        <w:t>Section 10</w:t>
      </w:r>
      <w:r>
        <w:t xml:space="preserve"> for details.</w:t>
      </w:r>
    </w:p>
    <w:p w14:paraId="2F64BBCE" w14:textId="77777777" w:rsidR="00BD4A5E" w:rsidRDefault="00BD4A5E" w:rsidP="00BD4A5E">
      <w:r w:rsidRPr="00E35C3C">
        <w:t>Agencies must retain copies of financial year disclo</w:t>
      </w:r>
      <w:r w:rsidRPr="00FE7EE0">
        <w:t>sure reports for their records and be able to make them available if requested for audit and review.</w:t>
      </w:r>
    </w:p>
    <w:p w14:paraId="5B92C854" w14:textId="42DF3C85" w:rsidR="00BD4A5E" w:rsidRPr="008A2357" w:rsidRDefault="00BD4A5E" w:rsidP="00BD4A5E">
      <w:pPr>
        <w:pStyle w:val="Heading1"/>
        <w:tabs>
          <w:tab w:val="left" w:pos="426"/>
        </w:tabs>
      </w:pPr>
      <w:bookmarkStart w:id="196" w:name="_Toc171520270"/>
      <w:r>
        <w:t xml:space="preserve">8 </w:t>
      </w:r>
      <w:r w:rsidRPr="00477970">
        <w:t>Data field clarifications</w:t>
      </w:r>
      <w:bookmarkEnd w:id="196"/>
    </w:p>
    <w:p w14:paraId="291C16C8" w14:textId="77777777" w:rsidR="00BD4A5E" w:rsidRDefault="00BD4A5E" w:rsidP="00BD4A5E">
      <w:r w:rsidRPr="00E9199C">
        <w:t>This section provides further clarification about the type of information supplied.</w:t>
      </w:r>
    </w:p>
    <w:p w14:paraId="35A2CF72" w14:textId="7D6D6D48" w:rsidR="00BD4A5E" w:rsidRDefault="00BD4A5E" w:rsidP="00BD4A5E">
      <w:pPr>
        <w:pStyle w:val="Heading2"/>
        <w:ind w:left="567" w:hanging="567"/>
      </w:pPr>
      <w:bookmarkStart w:id="197" w:name="_Toc530988470"/>
      <w:bookmarkStart w:id="198" w:name="_Toc534804869"/>
      <w:bookmarkStart w:id="199" w:name="_Toc534805083"/>
      <w:bookmarkStart w:id="200" w:name="_Toc536192885"/>
      <w:bookmarkStart w:id="201" w:name="_Toc536622983"/>
      <w:bookmarkStart w:id="202" w:name="_Toc536623348"/>
      <w:bookmarkStart w:id="203" w:name="_Toc359253"/>
      <w:bookmarkStart w:id="204" w:name="_Toc360264"/>
      <w:bookmarkStart w:id="205" w:name="_Toc360366"/>
      <w:bookmarkStart w:id="206" w:name="_Toc1463292"/>
      <w:bookmarkStart w:id="207" w:name="_Toc1657035"/>
      <w:bookmarkStart w:id="208" w:name="_Toc81401382"/>
      <w:bookmarkStart w:id="209" w:name="_Toc171520271"/>
      <w:r>
        <w:t xml:space="preserve">8.1 Data </w:t>
      </w:r>
      <w:r w:rsidRPr="00C72C5B">
        <w:t>publisher name</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41FD2B9F" w14:textId="77777777" w:rsidR="00BD4A5E" w:rsidRDefault="00BD4A5E" w:rsidP="00BD4A5E">
      <w:r>
        <w:t>Full name of the agency</w:t>
      </w:r>
      <w:r>
        <w:rPr>
          <w:szCs w:val="20"/>
        </w:rPr>
        <w:t xml:space="preserve"> </w:t>
      </w:r>
      <w:r>
        <w:t>that published the dataset.</w:t>
      </w:r>
    </w:p>
    <w:p w14:paraId="287F391F" w14:textId="10C5A1B1" w:rsidR="00BD4A5E" w:rsidRDefault="00BD4A5E" w:rsidP="00BD4A5E">
      <w:pPr>
        <w:pStyle w:val="Heading2"/>
        <w:ind w:left="567" w:hanging="567"/>
      </w:pPr>
      <w:bookmarkStart w:id="210" w:name="_Toc530988471"/>
      <w:bookmarkStart w:id="211" w:name="_Toc534804870"/>
      <w:bookmarkStart w:id="212" w:name="_Toc534805084"/>
      <w:bookmarkStart w:id="213" w:name="_Toc536192886"/>
      <w:bookmarkStart w:id="214" w:name="_Toc536622984"/>
      <w:bookmarkStart w:id="215" w:name="_Toc536623349"/>
      <w:bookmarkStart w:id="216" w:name="_Toc359254"/>
      <w:bookmarkStart w:id="217" w:name="_Toc360265"/>
      <w:bookmarkStart w:id="218" w:name="_Toc360367"/>
      <w:bookmarkStart w:id="219" w:name="_Toc1463293"/>
      <w:bookmarkStart w:id="220" w:name="_Toc1657036"/>
      <w:bookmarkStart w:id="221" w:name="_Toc81401383"/>
      <w:bookmarkStart w:id="222" w:name="_Toc171520272"/>
      <w:r>
        <w:t>8.2 Agency address</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33BF233E" w14:textId="77777777" w:rsidR="00BD4A5E" w:rsidRDefault="00BD4A5E" w:rsidP="00BD4A5E">
      <w:r>
        <w:t>The agency’s physical address should be in the following format:</w:t>
      </w:r>
    </w:p>
    <w:p w14:paraId="46B7D837" w14:textId="77777777" w:rsidR="00BD4A5E" w:rsidRDefault="00BD4A5E" w:rsidP="00BD4A5E">
      <w:pPr>
        <w:pStyle w:val="ListParagraph"/>
        <w:numPr>
          <w:ilvl w:val="0"/>
          <w:numId w:val="12"/>
        </w:numPr>
        <w:spacing w:before="180" w:line="264" w:lineRule="auto"/>
        <w:contextualSpacing/>
      </w:pPr>
      <w:r>
        <w:t>unit/building number (if relevant)</w:t>
      </w:r>
    </w:p>
    <w:p w14:paraId="15EE95E4" w14:textId="77777777" w:rsidR="00BD4A5E" w:rsidRDefault="00BD4A5E" w:rsidP="00BD4A5E">
      <w:pPr>
        <w:pStyle w:val="ListParagraph"/>
        <w:numPr>
          <w:ilvl w:val="0"/>
          <w:numId w:val="12"/>
        </w:numPr>
        <w:spacing w:before="180" w:line="264" w:lineRule="auto"/>
        <w:contextualSpacing/>
      </w:pPr>
      <w:r>
        <w:t>street number</w:t>
      </w:r>
    </w:p>
    <w:p w14:paraId="7CF9127B" w14:textId="77777777" w:rsidR="00BD4A5E" w:rsidRDefault="00BD4A5E" w:rsidP="00BD4A5E">
      <w:pPr>
        <w:pStyle w:val="ListParagraph"/>
        <w:numPr>
          <w:ilvl w:val="0"/>
          <w:numId w:val="12"/>
        </w:numPr>
        <w:spacing w:before="180" w:line="264" w:lineRule="auto"/>
        <w:contextualSpacing/>
      </w:pPr>
      <w:r>
        <w:t>street name</w:t>
      </w:r>
    </w:p>
    <w:p w14:paraId="7A4703E6" w14:textId="77777777" w:rsidR="00BD4A5E" w:rsidRDefault="00BD4A5E" w:rsidP="00BD4A5E">
      <w:pPr>
        <w:pStyle w:val="ListParagraph"/>
        <w:numPr>
          <w:ilvl w:val="0"/>
          <w:numId w:val="12"/>
        </w:numPr>
        <w:spacing w:before="180" w:line="264" w:lineRule="auto"/>
        <w:contextualSpacing/>
      </w:pPr>
      <w:r>
        <w:t>street Address</w:t>
      </w:r>
    </w:p>
    <w:p w14:paraId="116D7B47" w14:textId="77777777" w:rsidR="00BD4A5E" w:rsidRDefault="00BD4A5E" w:rsidP="00BD4A5E">
      <w:pPr>
        <w:pStyle w:val="ListParagraph"/>
        <w:numPr>
          <w:ilvl w:val="0"/>
          <w:numId w:val="12"/>
        </w:numPr>
        <w:spacing w:before="180" w:line="264" w:lineRule="auto"/>
        <w:contextualSpacing/>
      </w:pPr>
      <w:r>
        <w:t>suburb</w:t>
      </w:r>
    </w:p>
    <w:p w14:paraId="301F1BD9" w14:textId="77777777" w:rsidR="00BD4A5E" w:rsidRDefault="00BD4A5E" w:rsidP="00BD4A5E">
      <w:pPr>
        <w:pStyle w:val="ListParagraph"/>
        <w:numPr>
          <w:ilvl w:val="0"/>
          <w:numId w:val="12"/>
        </w:numPr>
        <w:spacing w:before="180" w:line="264" w:lineRule="auto"/>
        <w:contextualSpacing/>
      </w:pPr>
      <w:r>
        <w:t>postcode</w:t>
      </w:r>
    </w:p>
    <w:p w14:paraId="347C317E" w14:textId="77777777" w:rsidR="00BD4A5E" w:rsidRDefault="00BD4A5E" w:rsidP="00BD4A5E">
      <w:pPr>
        <w:pStyle w:val="ListParagraph"/>
        <w:numPr>
          <w:ilvl w:val="0"/>
          <w:numId w:val="12"/>
        </w:numPr>
        <w:spacing w:before="180" w:line="264" w:lineRule="auto"/>
        <w:contextualSpacing/>
      </w:pPr>
      <w:r>
        <w:t>state</w:t>
      </w:r>
    </w:p>
    <w:p w14:paraId="1B838A90" w14:textId="7D41DDF4" w:rsidR="00BD4A5E" w:rsidRPr="00345AED" w:rsidRDefault="00BD4A5E" w:rsidP="00BD4A5E">
      <w:pPr>
        <w:pStyle w:val="Heading2"/>
        <w:ind w:left="567" w:hanging="567"/>
      </w:pPr>
      <w:bookmarkStart w:id="223" w:name="_Toc429918"/>
      <w:bookmarkStart w:id="224" w:name="_Toc433724"/>
      <w:bookmarkStart w:id="225" w:name="_Toc1657037"/>
      <w:bookmarkStart w:id="226" w:name="_Toc81401384"/>
      <w:bookmarkStart w:id="227" w:name="_Toc171520273"/>
      <w:bookmarkEnd w:id="223"/>
      <w:bookmarkEnd w:id="224"/>
      <w:r w:rsidRPr="00345AED">
        <w:t>8.3</w:t>
      </w:r>
      <w:bookmarkStart w:id="228" w:name="_Toc429919"/>
      <w:bookmarkStart w:id="229" w:name="_Toc433725"/>
      <w:bookmarkStart w:id="230" w:name="_Toc429920"/>
      <w:bookmarkStart w:id="231" w:name="_Toc433726"/>
      <w:bookmarkStart w:id="232" w:name="_Toc429921"/>
      <w:bookmarkStart w:id="233" w:name="_Toc433727"/>
      <w:bookmarkEnd w:id="228"/>
      <w:bookmarkEnd w:id="229"/>
      <w:bookmarkEnd w:id="230"/>
      <w:bookmarkEnd w:id="231"/>
      <w:bookmarkEnd w:id="232"/>
      <w:bookmarkEnd w:id="233"/>
      <w:bookmarkEnd w:id="225"/>
      <w:r>
        <w:t xml:space="preserve"> </w:t>
      </w:r>
      <w:r w:rsidRPr="00345AED">
        <w:t>Variation of contract</w:t>
      </w:r>
      <w:bookmarkEnd w:id="226"/>
      <w:bookmarkEnd w:id="227"/>
    </w:p>
    <w:p w14:paraId="20677D59" w14:textId="3687766D" w:rsidR="00BD4A5E" w:rsidRPr="00BD4A5E" w:rsidRDefault="00BD4A5E" w:rsidP="00BD4A5E">
      <w:pPr>
        <w:pStyle w:val="bullet1"/>
        <w:numPr>
          <w:ilvl w:val="0"/>
          <w:numId w:val="0"/>
        </w:numPr>
        <w:ind w:left="360" w:hanging="360"/>
        <w:rPr>
          <w:sz w:val="20"/>
          <w:szCs w:val="20"/>
        </w:rPr>
      </w:pPr>
      <w:bookmarkStart w:id="234" w:name="_Toc530988473"/>
      <w:bookmarkStart w:id="235" w:name="_Toc534804872"/>
      <w:bookmarkStart w:id="236" w:name="_Toc534805086"/>
      <w:bookmarkStart w:id="237" w:name="_Toc536192888"/>
      <w:bookmarkStart w:id="238" w:name="_Toc536622986"/>
      <w:bookmarkStart w:id="239" w:name="_Toc536623351"/>
      <w:bookmarkStart w:id="240" w:name="_Toc359256"/>
      <w:bookmarkStart w:id="241" w:name="_Toc360267"/>
      <w:bookmarkStart w:id="242" w:name="_Toc360369"/>
      <w:bookmarkStart w:id="243" w:name="_Toc1463295"/>
      <w:bookmarkStart w:id="244" w:name="_Toc1657038"/>
      <w:r w:rsidRPr="00BD4A5E">
        <w:rPr>
          <w:sz w:val="20"/>
          <w:szCs w:val="20"/>
        </w:rPr>
        <w:t xml:space="preserve">Identify if the item is a variation to the original </w:t>
      </w:r>
      <w:r w:rsidR="00253643" w:rsidRPr="00BD4A5E">
        <w:rPr>
          <w:sz w:val="20"/>
          <w:szCs w:val="20"/>
        </w:rPr>
        <w:t>contract.</w:t>
      </w:r>
      <w:r w:rsidRPr="00BD4A5E">
        <w:rPr>
          <w:sz w:val="20"/>
          <w:szCs w:val="20"/>
        </w:rPr>
        <w:t xml:space="preserve"> </w:t>
      </w:r>
    </w:p>
    <w:p w14:paraId="3D407A4D" w14:textId="77777777" w:rsidR="00BD4A5E" w:rsidRPr="00BD4A5E" w:rsidRDefault="00BD4A5E" w:rsidP="00BD4A5E">
      <w:pPr>
        <w:pStyle w:val="ListParagraph"/>
        <w:numPr>
          <w:ilvl w:val="0"/>
          <w:numId w:val="12"/>
        </w:numPr>
        <w:spacing w:before="180" w:line="264" w:lineRule="auto"/>
        <w:contextualSpacing/>
        <w:rPr>
          <w:szCs w:val="20"/>
        </w:rPr>
      </w:pPr>
      <w:r w:rsidRPr="00BD4A5E">
        <w:rPr>
          <w:szCs w:val="20"/>
        </w:rPr>
        <w:t>Yes</w:t>
      </w:r>
    </w:p>
    <w:p w14:paraId="6DA0B3F0" w14:textId="77777777" w:rsidR="00BD4A5E" w:rsidRPr="00BD4A5E" w:rsidRDefault="00BD4A5E" w:rsidP="00BD4A5E">
      <w:pPr>
        <w:pStyle w:val="ListParagraph"/>
        <w:numPr>
          <w:ilvl w:val="0"/>
          <w:numId w:val="12"/>
        </w:numPr>
        <w:spacing w:before="180" w:line="264" w:lineRule="auto"/>
        <w:contextualSpacing/>
        <w:rPr>
          <w:szCs w:val="20"/>
        </w:rPr>
      </w:pPr>
      <w:r w:rsidRPr="00BD4A5E">
        <w:rPr>
          <w:szCs w:val="20"/>
        </w:rPr>
        <w:t>No</w:t>
      </w:r>
    </w:p>
    <w:p w14:paraId="4923E178" w14:textId="64D5F617" w:rsidR="00BD4A5E" w:rsidRDefault="00BD4A5E" w:rsidP="00BD4A5E">
      <w:pPr>
        <w:pStyle w:val="Heading2"/>
        <w:ind w:left="567" w:hanging="567"/>
      </w:pPr>
      <w:bookmarkStart w:id="245" w:name="_Toc81401385"/>
      <w:bookmarkStart w:id="246" w:name="_Toc171520274"/>
      <w:r>
        <w:t>8.4 Category group</w:t>
      </w:r>
      <w:bookmarkEnd w:id="234"/>
      <w:bookmarkEnd w:id="235"/>
      <w:bookmarkEnd w:id="236"/>
      <w:bookmarkEnd w:id="237"/>
      <w:bookmarkEnd w:id="238"/>
      <w:bookmarkEnd w:id="239"/>
      <w:bookmarkEnd w:id="240"/>
      <w:bookmarkEnd w:id="241"/>
      <w:bookmarkEnd w:id="242"/>
      <w:bookmarkEnd w:id="243"/>
      <w:bookmarkEnd w:id="244"/>
      <w:bookmarkEnd w:id="245"/>
      <w:bookmarkEnd w:id="246"/>
    </w:p>
    <w:p w14:paraId="008D8600" w14:textId="77777777" w:rsidR="00BD4A5E" w:rsidRDefault="00BD4A5E" w:rsidP="00BD4A5E">
      <w:r>
        <w:t xml:space="preserve">This refers to the </w:t>
      </w:r>
      <w:hyperlink r:id="rId32" w:history="1">
        <w:r w:rsidRPr="004D0B51">
          <w:rPr>
            <w:rStyle w:val="Hyperlink"/>
          </w:rPr>
          <w:t xml:space="preserve">Queensland Government </w:t>
        </w:r>
        <w:r>
          <w:rPr>
            <w:rStyle w:val="Hyperlink"/>
          </w:rPr>
          <w:t>p</w:t>
        </w:r>
        <w:r w:rsidRPr="004D0B51">
          <w:rPr>
            <w:rStyle w:val="Hyperlink"/>
          </w:rPr>
          <w:t>rocurement six category groups</w:t>
        </w:r>
      </w:hyperlink>
      <w:r>
        <w:t xml:space="preserve"> as follows:</w:t>
      </w:r>
    </w:p>
    <w:p w14:paraId="505A5377" w14:textId="77777777" w:rsidR="00BD4A5E" w:rsidRDefault="00BD4A5E" w:rsidP="00BD4A5E">
      <w:pPr>
        <w:pStyle w:val="ListParagraph"/>
        <w:numPr>
          <w:ilvl w:val="0"/>
          <w:numId w:val="12"/>
        </w:numPr>
        <w:spacing w:before="180" w:line="264" w:lineRule="auto"/>
        <w:contextualSpacing/>
      </w:pPr>
      <w:r>
        <w:t xml:space="preserve">Building Construction and Maintenance </w:t>
      </w:r>
    </w:p>
    <w:p w14:paraId="3440CF2E" w14:textId="77777777" w:rsidR="00BD4A5E" w:rsidRDefault="00BD4A5E" w:rsidP="00BD4A5E">
      <w:pPr>
        <w:pStyle w:val="ListParagraph"/>
        <w:numPr>
          <w:ilvl w:val="0"/>
          <w:numId w:val="12"/>
        </w:numPr>
        <w:spacing w:before="180" w:line="264" w:lineRule="auto"/>
        <w:contextualSpacing/>
      </w:pPr>
      <w:r>
        <w:t>General Goods and Services</w:t>
      </w:r>
    </w:p>
    <w:p w14:paraId="3558D993" w14:textId="77777777" w:rsidR="00BD4A5E" w:rsidRDefault="00BD4A5E" w:rsidP="00BD4A5E">
      <w:pPr>
        <w:pStyle w:val="ListParagraph"/>
        <w:numPr>
          <w:ilvl w:val="0"/>
          <w:numId w:val="12"/>
        </w:numPr>
        <w:spacing w:before="180" w:line="264" w:lineRule="auto"/>
        <w:contextualSpacing/>
      </w:pPr>
      <w:r>
        <w:t>Information and Communication Technology</w:t>
      </w:r>
    </w:p>
    <w:p w14:paraId="2C9FA948" w14:textId="77777777" w:rsidR="00BD4A5E" w:rsidRDefault="00BD4A5E" w:rsidP="00BD4A5E">
      <w:pPr>
        <w:pStyle w:val="ListParagraph"/>
        <w:numPr>
          <w:ilvl w:val="0"/>
          <w:numId w:val="12"/>
        </w:numPr>
        <w:spacing w:before="180" w:line="264" w:lineRule="auto"/>
        <w:contextualSpacing/>
      </w:pPr>
      <w:r>
        <w:t>Medical</w:t>
      </w:r>
    </w:p>
    <w:p w14:paraId="042DF093" w14:textId="77777777" w:rsidR="00BD4A5E" w:rsidRDefault="00BD4A5E" w:rsidP="00BD4A5E">
      <w:pPr>
        <w:pStyle w:val="ListParagraph"/>
        <w:numPr>
          <w:ilvl w:val="0"/>
          <w:numId w:val="12"/>
        </w:numPr>
        <w:spacing w:before="180" w:line="264" w:lineRule="auto"/>
        <w:contextualSpacing/>
      </w:pPr>
      <w:r>
        <w:t>Social Services</w:t>
      </w:r>
    </w:p>
    <w:p w14:paraId="7172DA77" w14:textId="77777777" w:rsidR="00BD4A5E" w:rsidRDefault="00BD4A5E" w:rsidP="00BD4A5E">
      <w:pPr>
        <w:pStyle w:val="ListParagraph"/>
        <w:numPr>
          <w:ilvl w:val="0"/>
          <w:numId w:val="12"/>
        </w:numPr>
        <w:spacing w:before="180" w:line="264" w:lineRule="auto"/>
        <w:contextualSpacing/>
      </w:pPr>
      <w:r>
        <w:t>Transport Infrastructure and Services.</w:t>
      </w:r>
    </w:p>
    <w:p w14:paraId="5E3407BB" w14:textId="0AD52FF5" w:rsidR="00BD4A5E" w:rsidRDefault="00BD4A5E" w:rsidP="00BD4A5E">
      <w:pPr>
        <w:pStyle w:val="Heading2"/>
        <w:ind w:left="567" w:hanging="567"/>
      </w:pPr>
      <w:bookmarkStart w:id="247" w:name="_Toc530988474"/>
      <w:bookmarkStart w:id="248" w:name="_Toc534804873"/>
      <w:bookmarkStart w:id="249" w:name="_Toc534805087"/>
      <w:bookmarkStart w:id="250" w:name="_Toc536192889"/>
      <w:bookmarkStart w:id="251" w:name="_Toc536622987"/>
      <w:bookmarkStart w:id="252" w:name="_Toc536623352"/>
      <w:bookmarkStart w:id="253" w:name="_Toc359257"/>
      <w:bookmarkStart w:id="254" w:name="_Toc360268"/>
      <w:bookmarkStart w:id="255" w:name="_Toc360370"/>
      <w:bookmarkStart w:id="256" w:name="_Toc1463296"/>
      <w:bookmarkStart w:id="257" w:name="_Toc1657039"/>
      <w:bookmarkStart w:id="258" w:name="_Toc81401386"/>
      <w:bookmarkStart w:id="259" w:name="_Toc171520275"/>
      <w:r>
        <w:lastRenderedPageBreak/>
        <w:t>8.5 Procurement method</w:t>
      </w:r>
      <w:bookmarkEnd w:id="247"/>
      <w:bookmarkEnd w:id="248"/>
      <w:bookmarkEnd w:id="249"/>
      <w:bookmarkEnd w:id="250"/>
      <w:bookmarkEnd w:id="251"/>
      <w:bookmarkEnd w:id="252"/>
      <w:bookmarkEnd w:id="253"/>
      <w:bookmarkEnd w:id="254"/>
      <w:bookmarkEnd w:id="255"/>
      <w:bookmarkEnd w:id="256"/>
      <w:bookmarkEnd w:id="257"/>
      <w:bookmarkEnd w:id="258"/>
      <w:bookmarkEnd w:id="259"/>
    </w:p>
    <w:p w14:paraId="0D197E8F" w14:textId="77777777" w:rsidR="00BD4A5E" w:rsidRDefault="00BD4A5E" w:rsidP="00BD4A5E">
      <w:r>
        <w:t xml:space="preserve">Procurement method that was used </w:t>
      </w:r>
      <w:r w:rsidRPr="00BE4B98">
        <w:t>for all contracts valued at $500,000 and above, restricted to the following definitions:</w:t>
      </w:r>
    </w:p>
    <w:p w14:paraId="2618DD76" w14:textId="77777777" w:rsidR="00BD4A5E" w:rsidRDefault="00BD4A5E" w:rsidP="00BD4A5E">
      <w:pPr>
        <w:pStyle w:val="ListParagraph"/>
        <w:numPr>
          <w:ilvl w:val="0"/>
          <w:numId w:val="19"/>
        </w:numPr>
        <w:spacing w:before="180" w:line="264" w:lineRule="auto"/>
        <w:contextualSpacing/>
      </w:pPr>
      <w:r>
        <w:t>Open</w:t>
      </w:r>
    </w:p>
    <w:p w14:paraId="22F4C379" w14:textId="77777777" w:rsidR="00BD4A5E" w:rsidRDefault="00BD4A5E" w:rsidP="00BD4A5E">
      <w:pPr>
        <w:pStyle w:val="ListParagraph"/>
        <w:numPr>
          <w:ilvl w:val="0"/>
          <w:numId w:val="19"/>
        </w:numPr>
        <w:spacing w:before="180" w:line="264" w:lineRule="auto"/>
        <w:contextualSpacing/>
      </w:pPr>
      <w:r>
        <w:t>Selective</w:t>
      </w:r>
    </w:p>
    <w:p w14:paraId="22FBB700" w14:textId="77777777" w:rsidR="00BD4A5E" w:rsidRDefault="00BD4A5E" w:rsidP="00BD4A5E">
      <w:pPr>
        <w:pStyle w:val="ListParagraph"/>
        <w:numPr>
          <w:ilvl w:val="0"/>
          <w:numId w:val="19"/>
        </w:numPr>
        <w:spacing w:before="180" w:line="264" w:lineRule="auto"/>
        <w:contextualSpacing/>
      </w:pPr>
      <w:r>
        <w:t>Limited</w:t>
      </w:r>
    </w:p>
    <w:p w14:paraId="2DA83DC3" w14:textId="77777777" w:rsidR="00BD4A5E" w:rsidRPr="00F42D22" w:rsidRDefault="00BD4A5E" w:rsidP="00BD4A5E">
      <w:pPr>
        <w:pStyle w:val="Heading2"/>
      </w:pPr>
      <w:bookmarkStart w:id="260" w:name="_Toc81401387"/>
      <w:bookmarkStart w:id="261" w:name="_Toc171520276"/>
      <w:r w:rsidRPr="00F42D22">
        <w:t>8.6 Reason for use of limited tendering</w:t>
      </w:r>
      <w:bookmarkEnd w:id="260"/>
      <w:bookmarkEnd w:id="261"/>
    </w:p>
    <w:p w14:paraId="2A56359C" w14:textId="77777777" w:rsidR="00BD4A5E" w:rsidRPr="00F42D22" w:rsidRDefault="00BD4A5E" w:rsidP="00BD4A5E">
      <w:r w:rsidRPr="00F42D22">
        <w:t xml:space="preserve">Rationale for use of a limited procurement method for tendering as required to meet FTA obligations, as extracted directly from </w:t>
      </w:r>
      <w:hyperlink r:id="rId33" w:history="1">
        <w:r w:rsidRPr="00F42D22">
          <w:rPr>
            <w:rStyle w:val="Hyperlink"/>
          </w:rPr>
          <w:t>Chapter 15.10 Section 2</w:t>
        </w:r>
      </w:hyperlink>
      <w:r w:rsidRPr="00F42D22">
        <w:t xml:space="preserve"> of the CPTPP.</w:t>
      </w:r>
    </w:p>
    <w:p w14:paraId="48537E5C" w14:textId="77777777" w:rsidR="00BD4A5E" w:rsidRPr="00F42D22" w:rsidRDefault="00BD4A5E" w:rsidP="00BD4A5E">
      <w:r w:rsidRPr="00F42D22">
        <w:t xml:space="preserve">A procuring entity may use limited tendering only under the following circumstances: </w:t>
      </w:r>
    </w:p>
    <w:p w14:paraId="46235D59" w14:textId="77777777" w:rsidR="00BD4A5E" w:rsidRPr="00F42D22" w:rsidRDefault="00BD4A5E" w:rsidP="00BD4A5E">
      <w:pPr>
        <w:pStyle w:val="ListParagraph"/>
        <w:numPr>
          <w:ilvl w:val="0"/>
          <w:numId w:val="20"/>
        </w:numPr>
        <w:spacing w:before="180" w:line="264" w:lineRule="auto"/>
        <w:contextualSpacing/>
        <w:rPr>
          <w:i/>
          <w:iCs/>
        </w:rPr>
      </w:pPr>
      <w:r w:rsidRPr="00F42D22">
        <w:rPr>
          <w:i/>
          <w:iCs/>
        </w:rPr>
        <w:t xml:space="preserve">if, in response to a prior notice, invitation to participate or invitation to tender: </w:t>
      </w:r>
    </w:p>
    <w:p w14:paraId="55C0F593" w14:textId="77777777" w:rsidR="00BD4A5E" w:rsidRPr="00F42D22" w:rsidRDefault="00BD4A5E" w:rsidP="00BD4A5E">
      <w:pPr>
        <w:pStyle w:val="ListParagraph"/>
        <w:numPr>
          <w:ilvl w:val="0"/>
          <w:numId w:val="21"/>
        </w:numPr>
        <w:spacing w:before="180" w:line="264" w:lineRule="auto"/>
        <w:contextualSpacing/>
        <w:rPr>
          <w:i/>
          <w:iCs/>
        </w:rPr>
      </w:pPr>
      <w:r w:rsidRPr="00F42D22">
        <w:rPr>
          <w:i/>
          <w:iCs/>
        </w:rPr>
        <w:t xml:space="preserve">no tenders were </w:t>
      </w:r>
      <w:proofErr w:type="gramStart"/>
      <w:r w:rsidRPr="00F42D22">
        <w:rPr>
          <w:i/>
          <w:iCs/>
        </w:rPr>
        <w:t>submitted</w:t>
      </w:r>
      <w:proofErr w:type="gramEnd"/>
      <w:r w:rsidRPr="00F42D22">
        <w:rPr>
          <w:i/>
          <w:iCs/>
        </w:rPr>
        <w:t xml:space="preserve"> or no suppliers requested participation; </w:t>
      </w:r>
    </w:p>
    <w:p w14:paraId="6699E4DD" w14:textId="77777777" w:rsidR="00BD4A5E" w:rsidRPr="00F42D22" w:rsidRDefault="00BD4A5E" w:rsidP="00BD4A5E">
      <w:pPr>
        <w:pStyle w:val="ListParagraph"/>
        <w:numPr>
          <w:ilvl w:val="0"/>
          <w:numId w:val="21"/>
        </w:numPr>
        <w:spacing w:before="180" w:line="264" w:lineRule="auto"/>
        <w:contextualSpacing/>
        <w:rPr>
          <w:i/>
          <w:iCs/>
        </w:rPr>
      </w:pPr>
      <w:r w:rsidRPr="00F42D22">
        <w:rPr>
          <w:i/>
          <w:iCs/>
        </w:rPr>
        <w:t xml:space="preserve">no tenders were submitted that conform to the essential requirements in the tender </w:t>
      </w:r>
      <w:proofErr w:type="gramStart"/>
      <w:r w:rsidRPr="00F42D22">
        <w:rPr>
          <w:i/>
          <w:iCs/>
        </w:rPr>
        <w:t>documentation;</w:t>
      </w:r>
      <w:proofErr w:type="gramEnd"/>
      <w:r w:rsidRPr="00F42D22">
        <w:rPr>
          <w:i/>
          <w:iCs/>
        </w:rPr>
        <w:t xml:space="preserve"> </w:t>
      </w:r>
    </w:p>
    <w:p w14:paraId="38EDD1AB" w14:textId="77777777" w:rsidR="00BD4A5E" w:rsidRPr="00F42D22" w:rsidRDefault="00BD4A5E" w:rsidP="00BD4A5E">
      <w:pPr>
        <w:pStyle w:val="ListParagraph"/>
        <w:numPr>
          <w:ilvl w:val="0"/>
          <w:numId w:val="21"/>
        </w:numPr>
        <w:spacing w:before="180" w:line="264" w:lineRule="auto"/>
        <w:contextualSpacing/>
        <w:rPr>
          <w:i/>
          <w:iCs/>
        </w:rPr>
      </w:pPr>
      <w:r w:rsidRPr="00F42D22">
        <w:rPr>
          <w:i/>
          <w:iCs/>
        </w:rPr>
        <w:t xml:space="preserve">no suppliers satisfied the conditions for participation; or </w:t>
      </w:r>
    </w:p>
    <w:p w14:paraId="16916FBB" w14:textId="77777777" w:rsidR="00BD4A5E" w:rsidRPr="00F42D22" w:rsidRDefault="00BD4A5E" w:rsidP="00BD4A5E">
      <w:pPr>
        <w:pStyle w:val="ListParagraph"/>
        <w:numPr>
          <w:ilvl w:val="0"/>
          <w:numId w:val="21"/>
        </w:numPr>
        <w:spacing w:before="180" w:line="264" w:lineRule="auto"/>
        <w:contextualSpacing/>
        <w:rPr>
          <w:i/>
          <w:iCs/>
        </w:rPr>
      </w:pPr>
      <w:r w:rsidRPr="00F42D22">
        <w:rPr>
          <w:i/>
          <w:iCs/>
        </w:rPr>
        <w:t xml:space="preserve">the tenders submitted were collusive, </w:t>
      </w:r>
    </w:p>
    <w:p w14:paraId="64780DE8" w14:textId="77777777" w:rsidR="00BD4A5E" w:rsidRPr="00F42D22" w:rsidRDefault="00BD4A5E" w:rsidP="00BD4A5E">
      <w:pPr>
        <w:ind w:left="720"/>
        <w:rPr>
          <w:i/>
          <w:iCs/>
        </w:rPr>
      </w:pPr>
      <w:r w:rsidRPr="00F42D22">
        <w:rPr>
          <w:i/>
          <w:iCs/>
        </w:rPr>
        <w:t xml:space="preserve">provided that the procuring entity does not substantially modify the essential requirements set out in the notices or tender </w:t>
      </w:r>
      <w:proofErr w:type="gramStart"/>
      <w:r w:rsidRPr="00F42D22">
        <w:rPr>
          <w:i/>
          <w:iCs/>
        </w:rPr>
        <w:t>documentation;</w:t>
      </w:r>
      <w:proofErr w:type="gramEnd"/>
      <w:r w:rsidRPr="00F42D22">
        <w:rPr>
          <w:i/>
          <w:iCs/>
        </w:rPr>
        <w:t xml:space="preserve"> </w:t>
      </w:r>
    </w:p>
    <w:p w14:paraId="6CBA673A" w14:textId="77777777" w:rsidR="00BD4A5E" w:rsidRPr="00F42D22" w:rsidRDefault="00BD4A5E" w:rsidP="00BD4A5E">
      <w:pPr>
        <w:pStyle w:val="ListParagraph"/>
        <w:numPr>
          <w:ilvl w:val="0"/>
          <w:numId w:val="20"/>
        </w:numPr>
        <w:spacing w:before="180" w:line="264" w:lineRule="auto"/>
        <w:contextualSpacing/>
        <w:rPr>
          <w:i/>
          <w:iCs/>
        </w:rPr>
      </w:pPr>
      <w:r w:rsidRPr="00F42D22">
        <w:rPr>
          <w:i/>
          <w:iCs/>
        </w:rPr>
        <w:t xml:space="preserve">if the good or service can be supplied only by a particular supplier and no reasonable alternative or substitute good or service exists for any of the following reasons: </w:t>
      </w:r>
    </w:p>
    <w:p w14:paraId="46171621" w14:textId="77777777" w:rsidR="00BD4A5E" w:rsidRPr="00F42D22" w:rsidRDefault="00BD4A5E" w:rsidP="00BD4A5E">
      <w:pPr>
        <w:pStyle w:val="ListParagraph"/>
        <w:numPr>
          <w:ilvl w:val="0"/>
          <w:numId w:val="22"/>
        </w:numPr>
        <w:spacing w:before="180" w:line="264" w:lineRule="auto"/>
        <w:contextualSpacing/>
        <w:rPr>
          <w:i/>
          <w:iCs/>
        </w:rPr>
      </w:pPr>
      <w:r w:rsidRPr="00F42D22">
        <w:rPr>
          <w:i/>
          <w:iCs/>
        </w:rPr>
        <w:t xml:space="preserve">the requirement is for a work of </w:t>
      </w:r>
      <w:proofErr w:type="gramStart"/>
      <w:r w:rsidRPr="00F42D22">
        <w:rPr>
          <w:i/>
          <w:iCs/>
        </w:rPr>
        <w:t>art;</w:t>
      </w:r>
      <w:proofErr w:type="gramEnd"/>
      <w:r w:rsidRPr="00F42D22">
        <w:rPr>
          <w:i/>
          <w:iCs/>
        </w:rPr>
        <w:t xml:space="preserve"> </w:t>
      </w:r>
    </w:p>
    <w:p w14:paraId="7EB8C5C7" w14:textId="77777777" w:rsidR="00BD4A5E" w:rsidRPr="00F42D22" w:rsidRDefault="00BD4A5E" w:rsidP="00BD4A5E">
      <w:pPr>
        <w:pStyle w:val="ListParagraph"/>
        <w:numPr>
          <w:ilvl w:val="0"/>
          <w:numId w:val="22"/>
        </w:numPr>
        <w:spacing w:before="180" w:line="264" w:lineRule="auto"/>
        <w:contextualSpacing/>
        <w:rPr>
          <w:i/>
          <w:iCs/>
        </w:rPr>
      </w:pPr>
      <w:r w:rsidRPr="00F42D22">
        <w:rPr>
          <w:i/>
          <w:iCs/>
        </w:rPr>
        <w:t xml:space="preserve">the protection of patents, </w:t>
      </w:r>
      <w:proofErr w:type="gramStart"/>
      <w:r w:rsidRPr="00F42D22">
        <w:rPr>
          <w:i/>
          <w:iCs/>
        </w:rPr>
        <w:t>copyrights</w:t>
      </w:r>
      <w:proofErr w:type="gramEnd"/>
      <w:r w:rsidRPr="00F42D22">
        <w:rPr>
          <w:i/>
          <w:iCs/>
        </w:rPr>
        <w:t xml:space="preserve"> or other exclusive rights; or </w:t>
      </w:r>
    </w:p>
    <w:p w14:paraId="118862AD" w14:textId="77777777" w:rsidR="00BD4A5E" w:rsidRPr="00F42D22" w:rsidRDefault="00BD4A5E" w:rsidP="00BD4A5E">
      <w:pPr>
        <w:pStyle w:val="ListParagraph"/>
        <w:numPr>
          <w:ilvl w:val="0"/>
          <w:numId w:val="22"/>
        </w:numPr>
        <w:spacing w:before="180" w:line="264" w:lineRule="auto"/>
        <w:contextualSpacing/>
        <w:rPr>
          <w:i/>
          <w:iCs/>
        </w:rPr>
      </w:pPr>
      <w:r w:rsidRPr="00F42D22">
        <w:rPr>
          <w:i/>
          <w:iCs/>
        </w:rPr>
        <w:t xml:space="preserve">due to an absence of competition for technical </w:t>
      </w:r>
      <w:proofErr w:type="gramStart"/>
      <w:r w:rsidRPr="00F42D22">
        <w:rPr>
          <w:i/>
          <w:iCs/>
        </w:rPr>
        <w:t>reasons;</w:t>
      </w:r>
      <w:proofErr w:type="gramEnd"/>
      <w:r w:rsidRPr="00F42D22">
        <w:rPr>
          <w:i/>
          <w:iCs/>
        </w:rPr>
        <w:t xml:space="preserve"> </w:t>
      </w:r>
    </w:p>
    <w:p w14:paraId="383E323B" w14:textId="77777777" w:rsidR="00BD4A5E" w:rsidRPr="00F42D22" w:rsidRDefault="00BD4A5E" w:rsidP="00BD4A5E">
      <w:pPr>
        <w:pStyle w:val="ListParagraph"/>
        <w:numPr>
          <w:ilvl w:val="0"/>
          <w:numId w:val="20"/>
        </w:numPr>
        <w:spacing w:before="180" w:line="264" w:lineRule="auto"/>
        <w:contextualSpacing/>
        <w:rPr>
          <w:i/>
          <w:iCs/>
        </w:rPr>
      </w:pPr>
      <w:r w:rsidRPr="00F42D22">
        <w:rPr>
          <w:i/>
          <w:iCs/>
        </w:rPr>
        <w:t xml:space="preserve">for additional deliveries by the original supplier or its authorised agents, of goods or services that were not included in the initial procurement if a change of supplier for such additional goods or services: </w:t>
      </w:r>
    </w:p>
    <w:p w14:paraId="4519E1CB" w14:textId="77777777" w:rsidR="00BD4A5E" w:rsidRPr="00F42D22" w:rsidRDefault="00BD4A5E" w:rsidP="00BD4A5E">
      <w:pPr>
        <w:pStyle w:val="ListParagraph"/>
        <w:numPr>
          <w:ilvl w:val="0"/>
          <w:numId w:val="23"/>
        </w:numPr>
        <w:spacing w:before="180" w:line="264" w:lineRule="auto"/>
        <w:contextualSpacing/>
        <w:rPr>
          <w:i/>
          <w:iCs/>
        </w:rPr>
      </w:pPr>
      <w:r w:rsidRPr="00F42D22">
        <w:rPr>
          <w:i/>
          <w:iCs/>
        </w:rPr>
        <w:t xml:space="preserve">cannot be made for technical reasons such as requirements of interchangeability or interoperability with existing equipment, software, </w:t>
      </w:r>
      <w:proofErr w:type="gramStart"/>
      <w:r w:rsidRPr="00F42D22">
        <w:rPr>
          <w:i/>
          <w:iCs/>
        </w:rPr>
        <w:t>services</w:t>
      </w:r>
      <w:proofErr w:type="gramEnd"/>
      <w:r w:rsidRPr="00F42D22">
        <w:rPr>
          <w:i/>
          <w:iCs/>
        </w:rPr>
        <w:t xml:space="preserve"> or installations procured under the initial procurement, or due to conditions under original supplier warranties; and </w:t>
      </w:r>
    </w:p>
    <w:p w14:paraId="0CF7F2DB" w14:textId="77777777" w:rsidR="00BD4A5E" w:rsidRPr="00F42D22" w:rsidRDefault="00BD4A5E" w:rsidP="00BD4A5E">
      <w:pPr>
        <w:pStyle w:val="ListParagraph"/>
        <w:numPr>
          <w:ilvl w:val="0"/>
          <w:numId w:val="23"/>
        </w:numPr>
        <w:spacing w:before="180" w:line="264" w:lineRule="auto"/>
        <w:contextualSpacing/>
        <w:rPr>
          <w:i/>
          <w:iCs/>
        </w:rPr>
      </w:pPr>
      <w:r w:rsidRPr="00F42D22">
        <w:rPr>
          <w:i/>
          <w:iCs/>
        </w:rPr>
        <w:t xml:space="preserve">would cause significant inconvenience or substantial duplication of costs for the procuring </w:t>
      </w:r>
      <w:proofErr w:type="gramStart"/>
      <w:r w:rsidRPr="00F42D22">
        <w:rPr>
          <w:i/>
          <w:iCs/>
        </w:rPr>
        <w:t>entity;</w:t>
      </w:r>
      <w:proofErr w:type="gramEnd"/>
      <w:r w:rsidRPr="00F42D22">
        <w:rPr>
          <w:i/>
          <w:iCs/>
        </w:rPr>
        <w:t xml:space="preserve"> </w:t>
      </w:r>
    </w:p>
    <w:p w14:paraId="1F2C6153" w14:textId="77777777" w:rsidR="00BD4A5E" w:rsidRPr="00F42D22" w:rsidRDefault="00BD4A5E" w:rsidP="00BD4A5E">
      <w:pPr>
        <w:pStyle w:val="ListParagraph"/>
        <w:numPr>
          <w:ilvl w:val="0"/>
          <w:numId w:val="20"/>
        </w:numPr>
        <w:spacing w:before="180" w:line="264" w:lineRule="auto"/>
        <w:contextualSpacing/>
        <w:rPr>
          <w:i/>
          <w:iCs/>
        </w:rPr>
      </w:pPr>
      <w:r w:rsidRPr="00F42D22">
        <w:rPr>
          <w:i/>
          <w:iCs/>
        </w:rPr>
        <w:t xml:space="preserve">for a good purchased on a commodity market or </w:t>
      </w:r>
      <w:proofErr w:type="gramStart"/>
      <w:r w:rsidRPr="00F42D22">
        <w:rPr>
          <w:i/>
          <w:iCs/>
        </w:rPr>
        <w:t>exchange;</w:t>
      </w:r>
      <w:proofErr w:type="gramEnd"/>
      <w:r w:rsidRPr="00F42D22">
        <w:rPr>
          <w:i/>
          <w:iCs/>
        </w:rPr>
        <w:t xml:space="preserve"> </w:t>
      </w:r>
    </w:p>
    <w:p w14:paraId="049E759D" w14:textId="77777777" w:rsidR="00BD4A5E" w:rsidRPr="00F42D22" w:rsidRDefault="00BD4A5E" w:rsidP="00BD4A5E">
      <w:pPr>
        <w:pStyle w:val="ListParagraph"/>
        <w:numPr>
          <w:ilvl w:val="0"/>
          <w:numId w:val="20"/>
        </w:numPr>
        <w:spacing w:before="180" w:line="264" w:lineRule="auto"/>
        <w:contextualSpacing/>
        <w:rPr>
          <w:i/>
          <w:iCs/>
        </w:rPr>
      </w:pPr>
      <w:r w:rsidRPr="00F42D22">
        <w:rPr>
          <w:i/>
          <w:iCs/>
        </w:rPr>
        <w:t xml:space="preserve">if a procuring entity procures a prototype or a first good or service that is intended for limited trial or that is developed at its request </w:t>
      </w:r>
      <w:proofErr w:type="gramStart"/>
      <w:r w:rsidRPr="00F42D22">
        <w:rPr>
          <w:i/>
          <w:iCs/>
        </w:rPr>
        <w:t>in the course of</w:t>
      </w:r>
      <w:proofErr w:type="gramEnd"/>
      <w:r w:rsidRPr="00F42D22">
        <w:rPr>
          <w:i/>
          <w:iCs/>
        </w:rPr>
        <w:t xml:space="preserve">, and for, a particular contract for research, experiment, study or original development. Original development of a prototype or a first good or service may include limited production or supply in order to incorporate the results of field testing and to demonstrate that the prototype or the first good or service is suitable for production or supply in quantity to acceptable quality </w:t>
      </w:r>
      <w:proofErr w:type="gramStart"/>
      <w:r w:rsidRPr="00F42D22">
        <w:rPr>
          <w:i/>
          <w:iCs/>
        </w:rPr>
        <w:t>standards, but</w:t>
      </w:r>
      <w:proofErr w:type="gramEnd"/>
      <w:r w:rsidRPr="00F42D22">
        <w:rPr>
          <w:i/>
          <w:iCs/>
        </w:rPr>
        <w:t xml:space="preserve"> does not include quantity production or supply to establish commercial viability or to recover research and development costs. Subsequent procurements of these newly developed goods or services, however, shall be subject to this </w:t>
      </w:r>
      <w:proofErr w:type="gramStart"/>
      <w:r w:rsidRPr="00F42D22">
        <w:rPr>
          <w:i/>
          <w:iCs/>
        </w:rPr>
        <w:t>Chapter;</w:t>
      </w:r>
      <w:proofErr w:type="gramEnd"/>
    </w:p>
    <w:p w14:paraId="4E12ADF3" w14:textId="77777777" w:rsidR="00BD4A5E" w:rsidRPr="00F42D22" w:rsidRDefault="00BD4A5E" w:rsidP="00BD4A5E">
      <w:pPr>
        <w:pStyle w:val="ListParagraph"/>
        <w:numPr>
          <w:ilvl w:val="0"/>
          <w:numId w:val="20"/>
        </w:numPr>
        <w:spacing w:before="180" w:line="264" w:lineRule="auto"/>
        <w:contextualSpacing/>
        <w:rPr>
          <w:i/>
          <w:iCs/>
        </w:rPr>
      </w:pPr>
      <w:r w:rsidRPr="00F42D22">
        <w:rPr>
          <w:i/>
          <w:iCs/>
        </w:rPr>
        <w:t xml:space="preserve">if additional construction services that were not included in the initial contract but that were within the objectives of the original tender documentation have, due to unforeseeable circumstances, become necessary to complete the construction services described therein. However, the total value of contracts awarded for additional construction services may not exceed 50 per cent of the value of the initial </w:t>
      </w:r>
      <w:proofErr w:type="gramStart"/>
      <w:r w:rsidRPr="00F42D22">
        <w:rPr>
          <w:i/>
          <w:iCs/>
        </w:rPr>
        <w:t>contract;</w:t>
      </w:r>
      <w:proofErr w:type="gramEnd"/>
      <w:r w:rsidRPr="00F42D22">
        <w:rPr>
          <w:i/>
          <w:iCs/>
        </w:rPr>
        <w:t xml:space="preserve"> </w:t>
      </w:r>
    </w:p>
    <w:p w14:paraId="3DA819AC" w14:textId="77777777" w:rsidR="00BD4A5E" w:rsidRPr="00F42D22" w:rsidRDefault="00BD4A5E" w:rsidP="00BD4A5E">
      <w:pPr>
        <w:pStyle w:val="ListParagraph"/>
        <w:numPr>
          <w:ilvl w:val="0"/>
          <w:numId w:val="20"/>
        </w:numPr>
        <w:spacing w:before="180" w:line="264" w:lineRule="auto"/>
        <w:contextualSpacing/>
        <w:rPr>
          <w:i/>
          <w:iCs/>
        </w:rPr>
      </w:pPr>
      <w:r w:rsidRPr="00F42D22">
        <w:rPr>
          <w:i/>
          <w:iCs/>
        </w:rPr>
        <w:t xml:space="preserve">for purchases made under exceptionally advantageous conditions that only arise in the very short term, such as from unusual disposals, liquidation, bankruptcy or receivership, but not for routine purchases from regular </w:t>
      </w:r>
      <w:proofErr w:type="gramStart"/>
      <w:r w:rsidRPr="00F42D22">
        <w:rPr>
          <w:i/>
          <w:iCs/>
        </w:rPr>
        <w:t>suppliers;</w:t>
      </w:r>
      <w:proofErr w:type="gramEnd"/>
      <w:r w:rsidRPr="00F42D22">
        <w:rPr>
          <w:i/>
          <w:iCs/>
        </w:rPr>
        <w:t xml:space="preserve"> </w:t>
      </w:r>
    </w:p>
    <w:p w14:paraId="74ED9F84" w14:textId="77777777" w:rsidR="00BD4A5E" w:rsidRPr="00F42D22" w:rsidRDefault="00BD4A5E" w:rsidP="00BD4A5E">
      <w:pPr>
        <w:pStyle w:val="ListParagraph"/>
        <w:numPr>
          <w:ilvl w:val="0"/>
          <w:numId w:val="20"/>
        </w:numPr>
        <w:spacing w:before="180" w:line="264" w:lineRule="auto"/>
        <w:contextualSpacing/>
        <w:rPr>
          <w:i/>
          <w:iCs/>
        </w:rPr>
      </w:pPr>
      <w:r w:rsidRPr="00F42D22">
        <w:rPr>
          <w:i/>
          <w:iCs/>
        </w:rPr>
        <w:t xml:space="preserve">if a contract is awarded to the winner of a design contest, provided that: </w:t>
      </w:r>
    </w:p>
    <w:p w14:paraId="5B0D8875" w14:textId="77777777" w:rsidR="00BD4A5E" w:rsidRPr="00F42D22" w:rsidRDefault="00BD4A5E" w:rsidP="00BD4A5E">
      <w:pPr>
        <w:pStyle w:val="ListParagraph"/>
        <w:numPr>
          <w:ilvl w:val="0"/>
          <w:numId w:val="24"/>
        </w:numPr>
        <w:spacing w:before="180" w:line="264" w:lineRule="auto"/>
        <w:contextualSpacing/>
        <w:rPr>
          <w:i/>
          <w:iCs/>
        </w:rPr>
      </w:pPr>
      <w:r w:rsidRPr="00F42D22">
        <w:rPr>
          <w:i/>
          <w:iCs/>
        </w:rPr>
        <w:t xml:space="preserve">the contest has been organised in a manner that is consistent with this Chapter; and </w:t>
      </w:r>
    </w:p>
    <w:p w14:paraId="3138D3EF" w14:textId="77777777" w:rsidR="00BD4A5E" w:rsidRPr="00F42D22" w:rsidRDefault="00BD4A5E" w:rsidP="00BD4A5E">
      <w:pPr>
        <w:pStyle w:val="ListParagraph"/>
        <w:numPr>
          <w:ilvl w:val="0"/>
          <w:numId w:val="24"/>
        </w:numPr>
        <w:spacing w:before="180" w:line="264" w:lineRule="auto"/>
        <w:contextualSpacing/>
        <w:rPr>
          <w:i/>
          <w:iCs/>
        </w:rPr>
      </w:pPr>
      <w:r w:rsidRPr="00F42D22">
        <w:rPr>
          <w:i/>
          <w:iCs/>
        </w:rPr>
        <w:t xml:space="preserve">the contest is judged by an independent jury with a view to award a design contract to the winner; or </w:t>
      </w:r>
    </w:p>
    <w:p w14:paraId="46FDB3B4" w14:textId="3152E33E" w:rsidR="00BD4A5E" w:rsidRDefault="00BD4A5E" w:rsidP="00BD4A5E">
      <w:pPr>
        <w:rPr>
          <w:i/>
          <w:iCs/>
        </w:rPr>
      </w:pPr>
      <w:r w:rsidRPr="00F42D22">
        <w:rPr>
          <w:i/>
          <w:iCs/>
        </w:rPr>
        <w:t xml:space="preserve">in so far as is strictly necessary if, for reasons of extreme urgency brought about by events unforeseeable by the procuring entity, the good or service could not be obtained in time by means of open or selective </w:t>
      </w:r>
      <w:r w:rsidR="00253643" w:rsidRPr="00F42D22">
        <w:rPr>
          <w:i/>
          <w:iCs/>
        </w:rPr>
        <w:t>tendering.</w:t>
      </w:r>
    </w:p>
    <w:p w14:paraId="7C2DA1CF" w14:textId="1F9A9916" w:rsidR="00F30695" w:rsidRDefault="00F30695" w:rsidP="00F30695">
      <w:pPr>
        <w:pStyle w:val="Heading1"/>
      </w:pPr>
      <w:bookmarkStart w:id="262" w:name="_Toc171520277"/>
      <w:r>
        <w:lastRenderedPageBreak/>
        <w:t>9 Data update process and tools</w:t>
      </w:r>
      <w:bookmarkEnd w:id="262"/>
    </w:p>
    <w:p w14:paraId="4E9FFC96" w14:textId="52E8BD96" w:rsidR="00F30695" w:rsidRDefault="00F30695" w:rsidP="00F30695">
      <w:pPr>
        <w:pStyle w:val="Heading2"/>
        <w:ind w:left="567" w:hanging="567"/>
        <w:rPr>
          <w:lang w:eastAsia="en-AU"/>
        </w:rPr>
      </w:pPr>
      <w:bookmarkStart w:id="263" w:name="_Toc81401389"/>
      <w:bookmarkStart w:id="264" w:name="_Toc171520278"/>
      <w:r>
        <w:t xml:space="preserve">9.1 </w:t>
      </w:r>
      <w:r w:rsidRPr="003426D5">
        <w:t>New contract disclosure process</w:t>
      </w:r>
      <w:bookmarkEnd w:id="263"/>
      <w:bookmarkEnd w:id="264"/>
    </w:p>
    <w:p w14:paraId="6AA9D923" w14:textId="6140989A" w:rsidR="00F96F51" w:rsidRDefault="00F96F51" w:rsidP="00F30695">
      <w:pPr>
        <w:rPr>
          <w:lang w:eastAsia="en-AU"/>
        </w:rPr>
        <w:sectPr w:rsidR="00F96F51" w:rsidSect="00F30695">
          <w:headerReference w:type="even" r:id="rId34"/>
          <w:headerReference w:type="default" r:id="rId35"/>
          <w:headerReference w:type="first" r:id="rId36"/>
          <w:pgSz w:w="11910" w:h="16840"/>
          <w:pgMar w:top="839" w:right="680" w:bottom="601" w:left="658" w:header="612" w:footer="420" w:gutter="0"/>
          <w:cols w:space="440"/>
          <w:docGrid w:linePitch="299"/>
        </w:sectPr>
      </w:pPr>
    </w:p>
    <w:p w14:paraId="10FBFAF8" w14:textId="24FDE1C0" w:rsidR="00F30695" w:rsidRDefault="00F30695" w:rsidP="00F30695">
      <w:pPr>
        <w:rPr>
          <w:lang w:eastAsia="en-AU"/>
        </w:rPr>
        <w:sectPr w:rsidR="00F30695" w:rsidSect="00D174AF">
          <w:type w:val="continuous"/>
          <w:pgSz w:w="11910" w:h="16840"/>
          <w:pgMar w:top="839" w:right="680" w:bottom="601" w:left="658" w:header="612" w:footer="420" w:gutter="0"/>
          <w:cols w:num="2" w:space="440"/>
          <w:docGrid w:linePitch="299"/>
        </w:sectPr>
      </w:pPr>
      <w:bookmarkStart w:id="265" w:name="_Toc429928"/>
      <w:bookmarkStart w:id="266" w:name="_Toc433734"/>
      <w:bookmarkStart w:id="267" w:name="_Toc429929"/>
      <w:bookmarkStart w:id="268" w:name="_Toc433735"/>
      <w:bookmarkStart w:id="269" w:name="_Toc429930"/>
      <w:bookmarkStart w:id="270" w:name="_Toc433736"/>
      <w:bookmarkEnd w:id="265"/>
      <w:bookmarkEnd w:id="266"/>
      <w:bookmarkEnd w:id="267"/>
      <w:bookmarkEnd w:id="268"/>
      <w:bookmarkEnd w:id="269"/>
      <w:bookmarkEnd w:id="270"/>
    </w:p>
    <w:p w14:paraId="2DD7BB1C" w14:textId="3ACA4AC2" w:rsidR="00F30695" w:rsidRPr="00B41F9F" w:rsidRDefault="00FB614A" w:rsidP="00F30695">
      <w:pPr>
        <w:rPr>
          <w:lang w:eastAsia="en-AU"/>
        </w:rPr>
        <w:sectPr w:rsidR="00F30695" w:rsidRPr="00B41F9F" w:rsidSect="00D174AF">
          <w:type w:val="continuous"/>
          <w:pgSz w:w="11910" w:h="16840"/>
          <w:pgMar w:top="839" w:right="680" w:bottom="601" w:left="658" w:header="612" w:footer="420" w:gutter="0"/>
          <w:cols w:space="440"/>
          <w:docGrid w:linePitch="299"/>
        </w:sectPr>
      </w:pPr>
      <w:r>
        <w:rPr>
          <w:noProof/>
          <w:lang w:eastAsia="en-AU"/>
        </w:rPr>
        <w:drawing>
          <wp:anchor distT="0" distB="0" distL="114300" distR="114300" simplePos="0" relativeHeight="251660288" behindDoc="0" locked="0" layoutInCell="1" allowOverlap="1" wp14:anchorId="301E0616" wp14:editId="47648CCD">
            <wp:simplePos x="0" y="0"/>
            <wp:positionH relativeFrom="margin">
              <wp:align>left</wp:align>
            </wp:positionH>
            <wp:positionV relativeFrom="paragraph">
              <wp:posOffset>114300</wp:posOffset>
            </wp:positionV>
            <wp:extent cx="4940300" cy="3712210"/>
            <wp:effectExtent l="0" t="0" r="0" b="254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40300" cy="3712210"/>
                    </a:xfrm>
                    <a:prstGeom prst="rect">
                      <a:avLst/>
                    </a:prstGeom>
                    <a:noFill/>
                  </pic:spPr>
                </pic:pic>
              </a:graphicData>
            </a:graphic>
            <wp14:sizeRelH relativeFrom="margin">
              <wp14:pctWidth>0</wp14:pctWidth>
            </wp14:sizeRelH>
            <wp14:sizeRelV relativeFrom="margin">
              <wp14:pctHeight>0</wp14:pctHeight>
            </wp14:sizeRelV>
          </wp:anchor>
        </w:drawing>
      </w:r>
    </w:p>
    <w:p w14:paraId="4831F1CB" w14:textId="422726E2" w:rsidR="00F30695" w:rsidRPr="003B573C" w:rsidRDefault="00F30695" w:rsidP="00F30695">
      <w:pPr>
        <w:pStyle w:val="Heading2"/>
        <w:ind w:left="567" w:hanging="567"/>
        <w:rPr>
          <w:lang w:val="en-GB"/>
        </w:rPr>
      </w:pPr>
      <w:bookmarkStart w:id="271" w:name="_Detail_Publishing_Process"/>
      <w:bookmarkStart w:id="272" w:name="_9.2_New_detailed"/>
      <w:bookmarkStart w:id="273" w:name="_Toc530988463"/>
      <w:bookmarkStart w:id="274" w:name="_Toc534804879"/>
      <w:bookmarkStart w:id="275" w:name="_Toc534805093"/>
      <w:bookmarkStart w:id="276" w:name="_Toc536192892"/>
      <w:bookmarkStart w:id="277" w:name="_Toc536622993"/>
      <w:bookmarkStart w:id="278" w:name="_Toc536623358"/>
      <w:bookmarkStart w:id="279" w:name="_Toc359260"/>
      <w:bookmarkStart w:id="280" w:name="_Toc360274"/>
      <w:bookmarkStart w:id="281" w:name="_Toc360376"/>
      <w:bookmarkStart w:id="282" w:name="_Toc1463301"/>
      <w:bookmarkStart w:id="283" w:name="_Toc1657042"/>
      <w:bookmarkStart w:id="284" w:name="_Toc81401390"/>
      <w:bookmarkStart w:id="285" w:name="_Toc171520279"/>
      <w:bookmarkEnd w:id="271"/>
      <w:bookmarkEnd w:id="272"/>
      <w:r w:rsidRPr="003B573C">
        <w:rPr>
          <w:lang w:val="en-GB"/>
        </w:rPr>
        <w:lastRenderedPageBreak/>
        <w:t>9.2 New detailed contract disclosure publishing process</w:t>
      </w:r>
      <w:bookmarkEnd w:id="273"/>
      <w:bookmarkEnd w:id="274"/>
      <w:bookmarkEnd w:id="275"/>
      <w:bookmarkEnd w:id="276"/>
      <w:bookmarkEnd w:id="277"/>
      <w:bookmarkEnd w:id="278"/>
      <w:bookmarkEnd w:id="279"/>
      <w:bookmarkEnd w:id="280"/>
      <w:bookmarkEnd w:id="281"/>
      <w:bookmarkEnd w:id="282"/>
      <w:bookmarkEnd w:id="283"/>
      <w:bookmarkEnd w:id="284"/>
      <w:bookmarkEnd w:id="285"/>
    </w:p>
    <w:p w14:paraId="3F15E3AB" w14:textId="1291F6D1" w:rsidR="00F30695" w:rsidRDefault="00F30695" w:rsidP="00F30695">
      <w:pPr>
        <w:rPr>
          <w:lang w:eastAsia="en-AU"/>
        </w:rPr>
      </w:pPr>
    </w:p>
    <w:p w14:paraId="45CBF8AD" w14:textId="07EDD3FF" w:rsidR="00F30695" w:rsidRDefault="00A76450" w:rsidP="00F30695">
      <w:pPr>
        <w:pStyle w:val="CommentText"/>
        <w:rPr>
          <w:lang w:eastAsia="en-AU"/>
        </w:rPr>
      </w:pPr>
      <w:r>
        <w:rPr>
          <w:noProof/>
          <w:lang w:eastAsia="en-AU"/>
        </w:rPr>
        <w:drawing>
          <wp:anchor distT="0" distB="0" distL="114300" distR="114300" simplePos="0" relativeHeight="251661312" behindDoc="0" locked="0" layoutInCell="1" allowOverlap="1" wp14:anchorId="5693948D" wp14:editId="3528B4A7">
            <wp:simplePos x="0" y="0"/>
            <wp:positionH relativeFrom="column">
              <wp:posOffset>12700</wp:posOffset>
            </wp:positionH>
            <wp:positionV relativeFrom="paragraph">
              <wp:posOffset>160020</wp:posOffset>
            </wp:positionV>
            <wp:extent cx="4773600" cy="5738400"/>
            <wp:effectExtent l="0" t="0" r="8255" b="0"/>
            <wp:wrapTopAndBottom/>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73600" cy="5738400"/>
                    </a:xfrm>
                    <a:prstGeom prst="rect">
                      <a:avLst/>
                    </a:prstGeom>
                    <a:noFill/>
                  </pic:spPr>
                </pic:pic>
              </a:graphicData>
            </a:graphic>
          </wp:anchor>
        </w:drawing>
      </w:r>
    </w:p>
    <w:p w14:paraId="3D0FF1B8" w14:textId="2DAFCE97" w:rsidR="00F30695" w:rsidRPr="007B6BD7" w:rsidRDefault="00F30695" w:rsidP="00F30695">
      <w:pPr>
        <w:rPr>
          <w:lang w:eastAsia="en-AU"/>
        </w:rPr>
      </w:pPr>
    </w:p>
    <w:p w14:paraId="7DDF6549" w14:textId="31543E7B" w:rsidR="00F30695" w:rsidRDefault="00F30695" w:rsidP="00F30695">
      <w:pPr>
        <w:spacing w:after="0" w:line="240" w:lineRule="auto"/>
        <w:rPr>
          <w:rFonts w:cs="Arial"/>
          <w:b/>
          <w:bCs/>
          <w:color w:val="708090"/>
          <w:sz w:val="28"/>
          <w:szCs w:val="20"/>
          <w:lang w:val="en-GB" w:eastAsia="en-AU"/>
        </w:rPr>
      </w:pPr>
      <w:bookmarkStart w:id="286" w:name="_Specific_technical_requirements"/>
      <w:bookmarkStart w:id="287" w:name="_Toc530988466"/>
      <w:bookmarkStart w:id="288" w:name="_Toc534804882"/>
      <w:bookmarkStart w:id="289" w:name="_Toc534805096"/>
      <w:bookmarkStart w:id="290" w:name="_Toc536192893"/>
      <w:bookmarkStart w:id="291" w:name="_Toc536622997"/>
      <w:bookmarkStart w:id="292" w:name="_Toc536623362"/>
      <w:bookmarkStart w:id="293" w:name="_Toc359261"/>
      <w:bookmarkStart w:id="294" w:name="_Toc360277"/>
      <w:bookmarkStart w:id="295" w:name="_Toc360379"/>
      <w:bookmarkStart w:id="296" w:name="_Toc1463304"/>
      <w:bookmarkStart w:id="297" w:name="_Toc1657043"/>
      <w:bookmarkEnd w:id="286"/>
      <w:r>
        <w:rPr>
          <w:lang w:val="en-GB"/>
        </w:rPr>
        <w:br w:type="page"/>
      </w:r>
    </w:p>
    <w:p w14:paraId="7E3DA889" w14:textId="77777777" w:rsidR="00F30695" w:rsidRDefault="00F30695" w:rsidP="00F30695">
      <w:pPr>
        <w:pStyle w:val="Heading2"/>
        <w:ind w:left="567" w:hanging="567"/>
        <w:rPr>
          <w:lang w:val="en-GB"/>
        </w:rPr>
      </w:pPr>
      <w:bookmarkStart w:id="298" w:name="_9.3_Specific_technical"/>
      <w:bookmarkStart w:id="299" w:name="_Toc81401391"/>
      <w:bookmarkStart w:id="300" w:name="_Toc171520280"/>
      <w:bookmarkEnd w:id="298"/>
      <w:r>
        <w:rPr>
          <w:lang w:val="en-GB"/>
        </w:rPr>
        <w:lastRenderedPageBreak/>
        <w:t>9.3</w:t>
      </w:r>
      <w:r>
        <w:rPr>
          <w:lang w:val="en-GB"/>
        </w:rPr>
        <w:tab/>
      </w:r>
      <w:r w:rsidRPr="00C06C8C">
        <w:rPr>
          <w:lang w:val="en-GB"/>
        </w:rPr>
        <w:t>Specific technical requirements</w:t>
      </w:r>
      <w:bookmarkEnd w:id="287"/>
      <w:bookmarkEnd w:id="288"/>
      <w:bookmarkEnd w:id="289"/>
      <w:bookmarkEnd w:id="290"/>
      <w:bookmarkEnd w:id="291"/>
      <w:bookmarkEnd w:id="292"/>
      <w:bookmarkEnd w:id="293"/>
      <w:bookmarkEnd w:id="294"/>
      <w:bookmarkEnd w:id="295"/>
      <w:bookmarkEnd w:id="296"/>
      <w:bookmarkEnd w:id="297"/>
      <w:bookmarkEnd w:id="299"/>
      <w:bookmarkEnd w:id="300"/>
    </w:p>
    <w:tbl>
      <w:tblPr>
        <w:tblStyle w:val="TableGrid"/>
        <w:tblW w:w="0" w:type="auto"/>
        <w:tblLook w:val="04A0" w:firstRow="1" w:lastRow="0" w:firstColumn="1" w:lastColumn="0" w:noHBand="0" w:noVBand="1"/>
      </w:tblPr>
      <w:tblGrid>
        <w:gridCol w:w="337"/>
        <w:gridCol w:w="2178"/>
        <w:gridCol w:w="2617"/>
        <w:gridCol w:w="3884"/>
      </w:tblGrid>
      <w:tr w:rsidR="00F30695" w14:paraId="30DA1085" w14:textId="77777777" w:rsidTr="00F30695">
        <w:tc>
          <w:tcPr>
            <w:tcW w:w="3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153D" w:themeFill="accent1"/>
          </w:tcPr>
          <w:p w14:paraId="1E779C43" w14:textId="77777777" w:rsidR="00F30695" w:rsidRPr="00F30695" w:rsidRDefault="00F30695" w:rsidP="00BF4FBA">
            <w:pPr>
              <w:rPr>
                <w:color w:val="FFFFFF" w:themeColor="background1"/>
                <w:szCs w:val="20"/>
                <w:lang w:val="en-GB" w:eastAsia="en-AU"/>
              </w:rPr>
            </w:pPr>
            <w:r w:rsidRPr="00F30695">
              <w:rPr>
                <w:color w:val="FFFFFF" w:themeColor="background1"/>
                <w:szCs w:val="20"/>
                <w:lang w:val="en-GB" w:eastAsia="en-AU"/>
              </w:rPr>
              <w:t>#</w:t>
            </w:r>
          </w:p>
        </w:tc>
        <w:tc>
          <w:tcPr>
            <w:tcW w:w="2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153D" w:themeFill="accent1"/>
          </w:tcPr>
          <w:p w14:paraId="6DB27FFE" w14:textId="77777777" w:rsidR="00F30695" w:rsidRPr="00F30695" w:rsidRDefault="00F30695" w:rsidP="00BF4FBA">
            <w:pPr>
              <w:jc w:val="center"/>
              <w:rPr>
                <w:b/>
                <w:color w:val="FFFFFF" w:themeColor="background1"/>
                <w:szCs w:val="20"/>
                <w:lang w:val="en-GB" w:eastAsia="en-AU"/>
              </w:rPr>
            </w:pPr>
            <w:r w:rsidRPr="00F30695">
              <w:rPr>
                <w:b/>
                <w:color w:val="FFFFFF" w:themeColor="background1"/>
                <w:szCs w:val="20"/>
                <w:lang w:val="en-GB" w:eastAsia="en-AU"/>
              </w:rPr>
              <w:t>Category</w:t>
            </w:r>
          </w:p>
        </w:tc>
        <w:tc>
          <w:tcPr>
            <w:tcW w:w="2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153D" w:themeFill="accent1"/>
          </w:tcPr>
          <w:p w14:paraId="73E52250" w14:textId="77777777" w:rsidR="00F30695" w:rsidRPr="00F30695" w:rsidRDefault="00F30695" w:rsidP="00BF4FBA">
            <w:pPr>
              <w:jc w:val="center"/>
              <w:rPr>
                <w:b/>
                <w:color w:val="FFFFFF" w:themeColor="background1"/>
                <w:szCs w:val="20"/>
                <w:lang w:val="en-GB" w:eastAsia="en-AU"/>
              </w:rPr>
            </w:pPr>
            <w:r w:rsidRPr="00F30695">
              <w:rPr>
                <w:b/>
                <w:color w:val="FFFFFF" w:themeColor="background1"/>
                <w:szCs w:val="20"/>
                <w:lang w:val="en-GB" w:eastAsia="en-AU"/>
              </w:rPr>
              <w:t>Requirements</w:t>
            </w:r>
          </w:p>
        </w:tc>
        <w:tc>
          <w:tcPr>
            <w:tcW w:w="4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B153D" w:themeFill="accent1"/>
          </w:tcPr>
          <w:p w14:paraId="38625EC2" w14:textId="77777777" w:rsidR="00F30695" w:rsidRPr="00F30695" w:rsidRDefault="00F30695" w:rsidP="00BF4FBA">
            <w:pPr>
              <w:jc w:val="center"/>
              <w:rPr>
                <w:b/>
                <w:color w:val="FFFFFF" w:themeColor="background1"/>
                <w:szCs w:val="20"/>
                <w:lang w:val="en-GB" w:eastAsia="en-AU"/>
              </w:rPr>
            </w:pPr>
            <w:r w:rsidRPr="00F30695">
              <w:rPr>
                <w:b/>
                <w:color w:val="FFFFFF" w:themeColor="background1"/>
                <w:szCs w:val="20"/>
                <w:lang w:val="en-GB" w:eastAsia="en-AU"/>
              </w:rPr>
              <w:t>Comments</w:t>
            </w:r>
          </w:p>
        </w:tc>
      </w:tr>
      <w:tr w:rsidR="00F30695" w14:paraId="26239E73" w14:textId="77777777" w:rsidTr="00F30695">
        <w:tc>
          <w:tcPr>
            <w:tcW w:w="337" w:type="dxa"/>
            <w:tcBorders>
              <w:top w:val="single" w:sz="4" w:space="0" w:color="FFFFFF" w:themeColor="background1"/>
            </w:tcBorders>
            <w:shd w:val="clear" w:color="auto" w:fill="808080" w:themeFill="background1" w:themeFillShade="80"/>
          </w:tcPr>
          <w:p w14:paraId="38B88234" w14:textId="77777777" w:rsidR="00F30695" w:rsidRPr="00F30695" w:rsidRDefault="00F30695" w:rsidP="00BF4FBA">
            <w:pPr>
              <w:rPr>
                <w:b/>
                <w:bCs/>
                <w:color w:val="FFFFFF" w:themeColor="background1"/>
                <w:szCs w:val="20"/>
                <w:lang w:val="en-GB" w:eastAsia="en-AU"/>
              </w:rPr>
            </w:pPr>
            <w:r w:rsidRPr="00F30695">
              <w:rPr>
                <w:b/>
                <w:bCs/>
                <w:color w:val="FFFFFF" w:themeColor="background1"/>
                <w:szCs w:val="20"/>
              </w:rPr>
              <w:t>1</w:t>
            </w:r>
          </w:p>
        </w:tc>
        <w:tc>
          <w:tcPr>
            <w:tcW w:w="2244" w:type="dxa"/>
            <w:tcBorders>
              <w:top w:val="single" w:sz="4" w:space="0" w:color="FFFFFF" w:themeColor="background1"/>
            </w:tcBorders>
          </w:tcPr>
          <w:p w14:paraId="1967CE19" w14:textId="77777777" w:rsidR="00F30695" w:rsidRPr="00F30695" w:rsidRDefault="00F30695" w:rsidP="00BF4FBA">
            <w:pPr>
              <w:rPr>
                <w:szCs w:val="20"/>
                <w:lang w:val="en-GB" w:eastAsia="en-AU"/>
              </w:rPr>
            </w:pPr>
            <w:r w:rsidRPr="00F30695">
              <w:rPr>
                <w:szCs w:val="20"/>
              </w:rPr>
              <w:t>Data file format</w:t>
            </w:r>
          </w:p>
        </w:tc>
        <w:tc>
          <w:tcPr>
            <w:tcW w:w="2697" w:type="dxa"/>
            <w:tcBorders>
              <w:top w:val="single" w:sz="4" w:space="0" w:color="FFFFFF" w:themeColor="background1"/>
            </w:tcBorders>
          </w:tcPr>
          <w:p w14:paraId="3E5A5A51" w14:textId="77777777" w:rsidR="00F30695" w:rsidRPr="00F30695" w:rsidRDefault="00F30695" w:rsidP="00BF4FBA">
            <w:pPr>
              <w:rPr>
                <w:szCs w:val="20"/>
                <w:lang w:val="en-GB" w:eastAsia="en-AU"/>
              </w:rPr>
            </w:pPr>
            <w:r w:rsidRPr="00F30695">
              <w:rPr>
                <w:szCs w:val="20"/>
              </w:rPr>
              <w:t>Comma separated values (CSV)</w:t>
            </w:r>
          </w:p>
        </w:tc>
        <w:tc>
          <w:tcPr>
            <w:tcW w:w="4068" w:type="dxa"/>
            <w:tcBorders>
              <w:top w:val="single" w:sz="4" w:space="0" w:color="FFFFFF" w:themeColor="background1"/>
            </w:tcBorders>
          </w:tcPr>
          <w:p w14:paraId="2B47A8F9" w14:textId="77777777" w:rsidR="00F30695" w:rsidRPr="00F30695" w:rsidRDefault="00F30695" w:rsidP="00BF4FBA">
            <w:pPr>
              <w:rPr>
                <w:szCs w:val="20"/>
              </w:rPr>
            </w:pPr>
            <w:r w:rsidRPr="00F30695">
              <w:rPr>
                <w:szCs w:val="20"/>
              </w:rPr>
              <w:t>Please ensure that all data fields are enclosed with double quotes before each comma separator e.g.</w:t>
            </w:r>
          </w:p>
          <w:p w14:paraId="772A203C" w14:textId="77777777" w:rsidR="00F30695" w:rsidRPr="00F30695" w:rsidRDefault="00F30695" w:rsidP="00BF4FBA">
            <w:pPr>
              <w:rPr>
                <w:szCs w:val="20"/>
                <w:lang w:val="en-GB" w:eastAsia="en-AU"/>
              </w:rPr>
            </w:pPr>
            <w:r w:rsidRPr="00F30695">
              <w:rPr>
                <w:szCs w:val="20"/>
              </w:rPr>
              <w:t>“Agency 1”, “Delivery address 1”, “CONS111”</w:t>
            </w:r>
          </w:p>
        </w:tc>
      </w:tr>
      <w:tr w:rsidR="00F30695" w14:paraId="7163A3CF" w14:textId="77777777" w:rsidTr="00F30695">
        <w:tc>
          <w:tcPr>
            <w:tcW w:w="337" w:type="dxa"/>
            <w:shd w:val="clear" w:color="auto" w:fill="808080" w:themeFill="background1" w:themeFillShade="80"/>
          </w:tcPr>
          <w:p w14:paraId="3F8276F9" w14:textId="77777777" w:rsidR="00F30695" w:rsidRPr="00F30695" w:rsidRDefault="00F30695" w:rsidP="00BF4FBA">
            <w:pPr>
              <w:rPr>
                <w:b/>
                <w:bCs/>
                <w:color w:val="FFFFFF" w:themeColor="background1"/>
                <w:szCs w:val="20"/>
              </w:rPr>
            </w:pPr>
            <w:r w:rsidRPr="00F30695">
              <w:rPr>
                <w:b/>
                <w:bCs/>
                <w:color w:val="FFFFFF" w:themeColor="background1"/>
                <w:szCs w:val="20"/>
              </w:rPr>
              <w:t>2</w:t>
            </w:r>
          </w:p>
        </w:tc>
        <w:tc>
          <w:tcPr>
            <w:tcW w:w="2244" w:type="dxa"/>
            <w:shd w:val="clear" w:color="auto" w:fill="F2F2F2" w:themeFill="background1" w:themeFillShade="F2"/>
          </w:tcPr>
          <w:p w14:paraId="0B1AF618" w14:textId="77777777" w:rsidR="00F30695" w:rsidRPr="00F30695" w:rsidRDefault="00F30695" w:rsidP="00BF4FBA">
            <w:pPr>
              <w:rPr>
                <w:szCs w:val="20"/>
              </w:rPr>
            </w:pPr>
            <w:r w:rsidRPr="00F30695">
              <w:rPr>
                <w:szCs w:val="20"/>
              </w:rPr>
              <w:t>Data file size limit</w:t>
            </w:r>
          </w:p>
        </w:tc>
        <w:tc>
          <w:tcPr>
            <w:tcW w:w="2697" w:type="dxa"/>
            <w:shd w:val="clear" w:color="auto" w:fill="F2F2F2" w:themeFill="background1" w:themeFillShade="F2"/>
          </w:tcPr>
          <w:p w14:paraId="245F9CB6" w14:textId="77777777" w:rsidR="00F30695" w:rsidRPr="00F30695" w:rsidRDefault="00F30695" w:rsidP="00BF4FBA">
            <w:pPr>
              <w:rPr>
                <w:szCs w:val="20"/>
              </w:rPr>
            </w:pPr>
            <w:r w:rsidRPr="00F30695">
              <w:rPr>
                <w:szCs w:val="20"/>
              </w:rPr>
              <w:t>200MB per file</w:t>
            </w:r>
          </w:p>
        </w:tc>
        <w:tc>
          <w:tcPr>
            <w:tcW w:w="4068" w:type="dxa"/>
            <w:shd w:val="clear" w:color="auto" w:fill="F2F2F2" w:themeFill="background1" w:themeFillShade="F2"/>
          </w:tcPr>
          <w:p w14:paraId="030BA91E" w14:textId="77777777" w:rsidR="00F30695" w:rsidRPr="00F30695" w:rsidRDefault="00F30695" w:rsidP="00BF4FBA">
            <w:pPr>
              <w:rPr>
                <w:szCs w:val="20"/>
              </w:rPr>
            </w:pPr>
            <w:r w:rsidRPr="00F30695">
              <w:rPr>
                <w:szCs w:val="20"/>
              </w:rPr>
              <w:t>File size cannot exceed 200MB per financial year.</w:t>
            </w:r>
          </w:p>
        </w:tc>
      </w:tr>
      <w:tr w:rsidR="00F30695" w14:paraId="176287EA" w14:textId="77777777" w:rsidTr="00F30695">
        <w:tc>
          <w:tcPr>
            <w:tcW w:w="337" w:type="dxa"/>
            <w:shd w:val="clear" w:color="auto" w:fill="808080" w:themeFill="background1" w:themeFillShade="80"/>
          </w:tcPr>
          <w:p w14:paraId="16903A15" w14:textId="77777777" w:rsidR="00F30695" w:rsidRPr="00F30695" w:rsidRDefault="00F30695" w:rsidP="00BF4FBA">
            <w:pPr>
              <w:rPr>
                <w:b/>
                <w:bCs/>
                <w:color w:val="FFFFFF" w:themeColor="background1"/>
                <w:szCs w:val="20"/>
              </w:rPr>
            </w:pPr>
            <w:r w:rsidRPr="00F30695">
              <w:rPr>
                <w:b/>
                <w:bCs/>
                <w:color w:val="FFFFFF" w:themeColor="background1"/>
                <w:szCs w:val="20"/>
              </w:rPr>
              <w:t>3</w:t>
            </w:r>
          </w:p>
        </w:tc>
        <w:tc>
          <w:tcPr>
            <w:tcW w:w="2244" w:type="dxa"/>
          </w:tcPr>
          <w:p w14:paraId="3611082E" w14:textId="77777777" w:rsidR="00F30695" w:rsidRPr="00F30695" w:rsidRDefault="00F30695" w:rsidP="00BF4FBA">
            <w:pPr>
              <w:rPr>
                <w:szCs w:val="20"/>
              </w:rPr>
            </w:pPr>
            <w:r w:rsidRPr="00F30695">
              <w:rPr>
                <w:szCs w:val="20"/>
              </w:rPr>
              <w:t>Data file naming convention</w:t>
            </w:r>
          </w:p>
        </w:tc>
        <w:tc>
          <w:tcPr>
            <w:tcW w:w="2697" w:type="dxa"/>
          </w:tcPr>
          <w:p w14:paraId="46738A4D" w14:textId="77777777" w:rsidR="00F30695" w:rsidRPr="00F30695" w:rsidRDefault="00F30695" w:rsidP="00BF4FBA">
            <w:pPr>
              <w:rPr>
                <w:szCs w:val="20"/>
              </w:rPr>
            </w:pPr>
            <w:r w:rsidRPr="00F30695">
              <w:rPr>
                <w:szCs w:val="20"/>
              </w:rPr>
              <w:t xml:space="preserve">Financial </w:t>
            </w:r>
            <w:proofErr w:type="spellStart"/>
            <w:r w:rsidRPr="00F30695">
              <w:rPr>
                <w:szCs w:val="20"/>
              </w:rPr>
              <w:t>Year_Agency</w:t>
            </w:r>
            <w:proofErr w:type="spellEnd"/>
            <w:r w:rsidRPr="00F30695">
              <w:rPr>
                <w:szCs w:val="20"/>
              </w:rPr>
              <w:t xml:space="preserve"> </w:t>
            </w:r>
            <w:proofErr w:type="spellStart"/>
            <w:r w:rsidRPr="00F30695">
              <w:rPr>
                <w:szCs w:val="20"/>
              </w:rPr>
              <w:t>Name_Contract</w:t>
            </w:r>
            <w:proofErr w:type="spellEnd"/>
            <w:r w:rsidRPr="00F30695">
              <w:rPr>
                <w:szCs w:val="20"/>
              </w:rPr>
              <w:t xml:space="preserve"> disclosure report</w:t>
            </w:r>
          </w:p>
          <w:p w14:paraId="598D91A6" w14:textId="77777777" w:rsidR="00F30695" w:rsidRPr="00F30695" w:rsidRDefault="00F30695" w:rsidP="00BF4FBA">
            <w:pPr>
              <w:rPr>
                <w:szCs w:val="20"/>
              </w:rPr>
            </w:pPr>
          </w:p>
        </w:tc>
        <w:tc>
          <w:tcPr>
            <w:tcW w:w="4068" w:type="dxa"/>
          </w:tcPr>
          <w:p w14:paraId="271979CD" w14:textId="77777777" w:rsidR="00F30695" w:rsidRPr="00F30695" w:rsidRDefault="00F30695" w:rsidP="00BF4FBA">
            <w:pPr>
              <w:rPr>
                <w:szCs w:val="20"/>
              </w:rPr>
            </w:pPr>
            <w:r w:rsidRPr="00F30695">
              <w:rPr>
                <w:szCs w:val="20"/>
              </w:rPr>
              <w:t xml:space="preserve">Financial </w:t>
            </w:r>
            <w:proofErr w:type="spellStart"/>
            <w:r w:rsidRPr="00F30695">
              <w:rPr>
                <w:szCs w:val="20"/>
              </w:rPr>
              <w:t>Year_Agency</w:t>
            </w:r>
            <w:proofErr w:type="spellEnd"/>
            <w:r w:rsidRPr="00F30695">
              <w:rPr>
                <w:szCs w:val="20"/>
              </w:rPr>
              <w:t xml:space="preserve"> </w:t>
            </w:r>
            <w:proofErr w:type="spellStart"/>
            <w:r w:rsidRPr="00F30695">
              <w:rPr>
                <w:szCs w:val="20"/>
              </w:rPr>
              <w:t>name_Contract</w:t>
            </w:r>
            <w:proofErr w:type="spellEnd"/>
            <w:r w:rsidRPr="00F30695">
              <w:rPr>
                <w:szCs w:val="20"/>
              </w:rPr>
              <w:t xml:space="preserve"> disclosure report</w:t>
            </w:r>
          </w:p>
        </w:tc>
      </w:tr>
      <w:tr w:rsidR="00F30695" w14:paraId="6A841151" w14:textId="77777777" w:rsidTr="00F30695">
        <w:tc>
          <w:tcPr>
            <w:tcW w:w="337" w:type="dxa"/>
            <w:shd w:val="clear" w:color="auto" w:fill="808080" w:themeFill="background1" w:themeFillShade="80"/>
          </w:tcPr>
          <w:p w14:paraId="3A04D8B3" w14:textId="77777777" w:rsidR="00F30695" w:rsidRPr="00F30695" w:rsidRDefault="00F30695" w:rsidP="00BF4FBA">
            <w:pPr>
              <w:rPr>
                <w:b/>
                <w:bCs/>
                <w:color w:val="FFFFFF" w:themeColor="background1"/>
                <w:szCs w:val="20"/>
              </w:rPr>
            </w:pPr>
            <w:r w:rsidRPr="00F30695">
              <w:rPr>
                <w:b/>
                <w:bCs/>
                <w:color w:val="FFFFFF" w:themeColor="background1"/>
                <w:szCs w:val="20"/>
              </w:rPr>
              <w:t>4</w:t>
            </w:r>
          </w:p>
        </w:tc>
        <w:tc>
          <w:tcPr>
            <w:tcW w:w="2244" w:type="dxa"/>
            <w:shd w:val="clear" w:color="auto" w:fill="F2F2F2" w:themeFill="background1" w:themeFillShade="F2"/>
          </w:tcPr>
          <w:p w14:paraId="66FA29CF" w14:textId="77777777" w:rsidR="00F30695" w:rsidRPr="00F30695" w:rsidRDefault="00F30695" w:rsidP="00BF4FBA">
            <w:pPr>
              <w:rPr>
                <w:szCs w:val="20"/>
              </w:rPr>
            </w:pPr>
            <w:r w:rsidRPr="00F30695">
              <w:rPr>
                <w:szCs w:val="20"/>
              </w:rPr>
              <w:t>Dataset write mode</w:t>
            </w:r>
          </w:p>
        </w:tc>
        <w:tc>
          <w:tcPr>
            <w:tcW w:w="2697" w:type="dxa"/>
            <w:shd w:val="clear" w:color="auto" w:fill="F2F2F2" w:themeFill="background1" w:themeFillShade="F2"/>
          </w:tcPr>
          <w:p w14:paraId="2622E1C9" w14:textId="77777777" w:rsidR="00F30695" w:rsidRPr="00F30695" w:rsidRDefault="00F30695" w:rsidP="00BF4FBA">
            <w:pPr>
              <w:rPr>
                <w:szCs w:val="20"/>
                <w:highlight w:val="yellow"/>
              </w:rPr>
            </w:pPr>
            <w:r w:rsidRPr="00F30695">
              <w:rPr>
                <w:szCs w:val="20"/>
              </w:rPr>
              <w:t>Append to file until end of financial year</w:t>
            </w:r>
          </w:p>
        </w:tc>
        <w:tc>
          <w:tcPr>
            <w:tcW w:w="4068" w:type="dxa"/>
            <w:shd w:val="clear" w:color="auto" w:fill="F2F2F2" w:themeFill="background1" w:themeFillShade="F2"/>
          </w:tcPr>
          <w:p w14:paraId="233CB1F7" w14:textId="77777777" w:rsidR="00F30695" w:rsidRPr="00F30695" w:rsidRDefault="00F30695" w:rsidP="00BF4FBA">
            <w:pPr>
              <w:rPr>
                <w:szCs w:val="20"/>
                <w:highlight w:val="yellow"/>
              </w:rPr>
            </w:pPr>
            <w:r w:rsidRPr="00F30695">
              <w:rPr>
                <w:szCs w:val="20"/>
              </w:rPr>
              <w:t>There must only one contract disclosure file per financial year which will be created each new financial year using the prescribed file naming convention. Through-out the financial year the file will be updated or added with new information.</w:t>
            </w:r>
          </w:p>
        </w:tc>
      </w:tr>
      <w:tr w:rsidR="00F30695" w14:paraId="3B9B6292" w14:textId="77777777" w:rsidTr="00F30695">
        <w:tc>
          <w:tcPr>
            <w:tcW w:w="337" w:type="dxa"/>
            <w:shd w:val="clear" w:color="auto" w:fill="808080" w:themeFill="background1" w:themeFillShade="80"/>
          </w:tcPr>
          <w:p w14:paraId="6799404B" w14:textId="77777777" w:rsidR="00F30695" w:rsidRPr="00F30695" w:rsidRDefault="00F30695" w:rsidP="00BF4FBA">
            <w:pPr>
              <w:rPr>
                <w:b/>
                <w:bCs/>
                <w:color w:val="FFFFFF" w:themeColor="background1"/>
                <w:szCs w:val="20"/>
              </w:rPr>
            </w:pPr>
            <w:r w:rsidRPr="00F30695">
              <w:rPr>
                <w:b/>
                <w:bCs/>
                <w:color w:val="FFFFFF" w:themeColor="background1"/>
                <w:szCs w:val="20"/>
              </w:rPr>
              <w:t>5</w:t>
            </w:r>
          </w:p>
        </w:tc>
        <w:tc>
          <w:tcPr>
            <w:tcW w:w="2244" w:type="dxa"/>
          </w:tcPr>
          <w:p w14:paraId="7D445E5A" w14:textId="77777777" w:rsidR="00F30695" w:rsidRPr="00F30695" w:rsidRDefault="00F30695" w:rsidP="00BF4FBA">
            <w:pPr>
              <w:rPr>
                <w:szCs w:val="20"/>
              </w:rPr>
            </w:pPr>
            <w:r w:rsidRPr="00F30695">
              <w:rPr>
                <w:szCs w:val="20"/>
              </w:rPr>
              <w:t>Data upload frequency</w:t>
            </w:r>
          </w:p>
        </w:tc>
        <w:tc>
          <w:tcPr>
            <w:tcW w:w="2697" w:type="dxa"/>
          </w:tcPr>
          <w:p w14:paraId="42E48C1F" w14:textId="77777777" w:rsidR="00F30695" w:rsidRPr="00F30695" w:rsidRDefault="00F30695" w:rsidP="00BF4FBA">
            <w:pPr>
              <w:rPr>
                <w:szCs w:val="20"/>
              </w:rPr>
            </w:pPr>
            <w:r w:rsidRPr="00F30695">
              <w:rPr>
                <w:szCs w:val="20"/>
              </w:rPr>
              <w:t>As per QGP contract disclosure guideline</w:t>
            </w:r>
          </w:p>
        </w:tc>
        <w:tc>
          <w:tcPr>
            <w:tcW w:w="4068" w:type="dxa"/>
          </w:tcPr>
          <w:p w14:paraId="54E04A9E" w14:textId="77777777" w:rsidR="00F30695" w:rsidRPr="00F30695" w:rsidRDefault="00F30695" w:rsidP="00BF4FBA">
            <w:pPr>
              <w:rPr>
                <w:szCs w:val="20"/>
              </w:rPr>
            </w:pPr>
          </w:p>
        </w:tc>
      </w:tr>
      <w:tr w:rsidR="00F30695" w14:paraId="066DEBCF" w14:textId="77777777" w:rsidTr="00F30695">
        <w:tc>
          <w:tcPr>
            <w:tcW w:w="337" w:type="dxa"/>
            <w:shd w:val="clear" w:color="auto" w:fill="808080" w:themeFill="background1" w:themeFillShade="80"/>
          </w:tcPr>
          <w:p w14:paraId="53214657" w14:textId="77777777" w:rsidR="00F30695" w:rsidRPr="00F30695" w:rsidRDefault="00F30695" w:rsidP="00BF4FBA">
            <w:pPr>
              <w:rPr>
                <w:b/>
                <w:bCs/>
                <w:color w:val="FFFFFF" w:themeColor="background1"/>
                <w:szCs w:val="20"/>
              </w:rPr>
            </w:pPr>
            <w:r w:rsidRPr="00F30695">
              <w:rPr>
                <w:b/>
                <w:bCs/>
                <w:color w:val="FFFFFF" w:themeColor="background1"/>
                <w:szCs w:val="20"/>
              </w:rPr>
              <w:t>6</w:t>
            </w:r>
          </w:p>
        </w:tc>
        <w:tc>
          <w:tcPr>
            <w:tcW w:w="2244" w:type="dxa"/>
            <w:shd w:val="clear" w:color="auto" w:fill="F2F2F2" w:themeFill="background1" w:themeFillShade="F2"/>
          </w:tcPr>
          <w:p w14:paraId="3E946680" w14:textId="77777777" w:rsidR="00F30695" w:rsidRPr="00F30695" w:rsidRDefault="00F30695" w:rsidP="00BF4FBA">
            <w:pPr>
              <w:rPr>
                <w:szCs w:val="20"/>
              </w:rPr>
            </w:pPr>
            <w:r w:rsidRPr="00F30695">
              <w:rPr>
                <w:szCs w:val="20"/>
              </w:rPr>
              <w:t>Open data tag/group</w:t>
            </w:r>
          </w:p>
        </w:tc>
        <w:tc>
          <w:tcPr>
            <w:tcW w:w="2697" w:type="dxa"/>
            <w:shd w:val="clear" w:color="auto" w:fill="F2F2F2" w:themeFill="background1" w:themeFillShade="F2"/>
          </w:tcPr>
          <w:p w14:paraId="5E2D0FBE" w14:textId="77777777" w:rsidR="00F30695" w:rsidRPr="00F30695" w:rsidRDefault="00F30695" w:rsidP="00BF4FBA">
            <w:pPr>
              <w:rPr>
                <w:szCs w:val="20"/>
              </w:rPr>
            </w:pPr>
            <w:r w:rsidRPr="00F30695">
              <w:rPr>
                <w:szCs w:val="20"/>
              </w:rPr>
              <w:t>Contract disclosure</w:t>
            </w:r>
          </w:p>
        </w:tc>
        <w:tc>
          <w:tcPr>
            <w:tcW w:w="4068" w:type="dxa"/>
            <w:shd w:val="clear" w:color="auto" w:fill="F2F2F2" w:themeFill="background1" w:themeFillShade="F2"/>
          </w:tcPr>
          <w:p w14:paraId="01C1E4A9" w14:textId="77777777" w:rsidR="00F30695" w:rsidRPr="00F30695" w:rsidRDefault="00F30695" w:rsidP="00BF4FBA">
            <w:pPr>
              <w:rPr>
                <w:szCs w:val="20"/>
              </w:rPr>
            </w:pPr>
            <w:r w:rsidRPr="00F30695">
              <w:rPr>
                <w:szCs w:val="20"/>
              </w:rPr>
              <w:t>Data file must be uploaded using this data tag/group to ensure that it can be easily searched and grouped on open data portal</w:t>
            </w:r>
          </w:p>
        </w:tc>
      </w:tr>
      <w:tr w:rsidR="00F30695" w14:paraId="456786B2" w14:textId="77777777" w:rsidTr="00F30695">
        <w:tc>
          <w:tcPr>
            <w:tcW w:w="337" w:type="dxa"/>
            <w:shd w:val="clear" w:color="auto" w:fill="808080" w:themeFill="background1" w:themeFillShade="80"/>
          </w:tcPr>
          <w:p w14:paraId="41FC1175" w14:textId="77777777" w:rsidR="00F30695" w:rsidRPr="00F30695" w:rsidRDefault="00F30695" w:rsidP="00BF4FBA">
            <w:pPr>
              <w:rPr>
                <w:b/>
                <w:bCs/>
                <w:color w:val="FFFFFF" w:themeColor="background1"/>
                <w:szCs w:val="20"/>
              </w:rPr>
            </w:pPr>
            <w:r w:rsidRPr="00F30695">
              <w:rPr>
                <w:b/>
                <w:bCs/>
                <w:color w:val="FFFFFF" w:themeColor="background1"/>
                <w:szCs w:val="20"/>
              </w:rPr>
              <w:t>7</w:t>
            </w:r>
          </w:p>
        </w:tc>
        <w:tc>
          <w:tcPr>
            <w:tcW w:w="2244" w:type="dxa"/>
          </w:tcPr>
          <w:p w14:paraId="7E369B3E" w14:textId="77777777" w:rsidR="00F30695" w:rsidRPr="00F30695" w:rsidRDefault="00F30695" w:rsidP="00BF4FBA">
            <w:pPr>
              <w:rPr>
                <w:szCs w:val="20"/>
              </w:rPr>
            </w:pPr>
            <w:r w:rsidRPr="00F30695">
              <w:rPr>
                <w:szCs w:val="20"/>
              </w:rPr>
              <w:t>Dataset custodian</w:t>
            </w:r>
          </w:p>
        </w:tc>
        <w:tc>
          <w:tcPr>
            <w:tcW w:w="2697" w:type="dxa"/>
          </w:tcPr>
          <w:p w14:paraId="0FEEA412" w14:textId="77777777" w:rsidR="00F30695" w:rsidRPr="00F30695" w:rsidRDefault="00F30695" w:rsidP="00BF4FBA">
            <w:pPr>
              <w:rPr>
                <w:szCs w:val="20"/>
              </w:rPr>
            </w:pPr>
            <w:r w:rsidRPr="00F30695">
              <w:rPr>
                <w:szCs w:val="20"/>
              </w:rPr>
              <w:t>Agency</w:t>
            </w:r>
          </w:p>
        </w:tc>
        <w:tc>
          <w:tcPr>
            <w:tcW w:w="4068" w:type="dxa"/>
          </w:tcPr>
          <w:p w14:paraId="5118F478" w14:textId="77777777" w:rsidR="00F30695" w:rsidRPr="00F30695" w:rsidRDefault="00F30695" w:rsidP="00BF4FBA">
            <w:pPr>
              <w:rPr>
                <w:szCs w:val="20"/>
              </w:rPr>
            </w:pPr>
          </w:p>
        </w:tc>
      </w:tr>
      <w:tr w:rsidR="00F30695" w14:paraId="627B2734" w14:textId="77777777" w:rsidTr="00F30695">
        <w:tc>
          <w:tcPr>
            <w:tcW w:w="337" w:type="dxa"/>
            <w:shd w:val="clear" w:color="auto" w:fill="808080" w:themeFill="background1" w:themeFillShade="80"/>
          </w:tcPr>
          <w:p w14:paraId="2FA7321B" w14:textId="77777777" w:rsidR="00F30695" w:rsidRPr="00F30695" w:rsidRDefault="00F30695" w:rsidP="00BF4FBA">
            <w:pPr>
              <w:rPr>
                <w:b/>
                <w:bCs/>
                <w:color w:val="FFFFFF" w:themeColor="background1"/>
                <w:szCs w:val="20"/>
              </w:rPr>
            </w:pPr>
            <w:r w:rsidRPr="00F30695">
              <w:rPr>
                <w:b/>
                <w:bCs/>
                <w:color w:val="FFFFFF" w:themeColor="background1"/>
                <w:szCs w:val="20"/>
              </w:rPr>
              <w:t>8</w:t>
            </w:r>
          </w:p>
        </w:tc>
        <w:tc>
          <w:tcPr>
            <w:tcW w:w="2244" w:type="dxa"/>
            <w:shd w:val="clear" w:color="auto" w:fill="F2F2F2" w:themeFill="background1" w:themeFillShade="F2"/>
          </w:tcPr>
          <w:p w14:paraId="3C3A0EAD" w14:textId="77777777" w:rsidR="00F30695" w:rsidRPr="00F30695" w:rsidRDefault="00F30695" w:rsidP="00BF4FBA">
            <w:pPr>
              <w:rPr>
                <w:szCs w:val="20"/>
              </w:rPr>
            </w:pPr>
            <w:r w:rsidRPr="00F30695">
              <w:rPr>
                <w:szCs w:val="20"/>
              </w:rPr>
              <w:t>Information classification</w:t>
            </w:r>
          </w:p>
        </w:tc>
        <w:tc>
          <w:tcPr>
            <w:tcW w:w="2697" w:type="dxa"/>
            <w:shd w:val="clear" w:color="auto" w:fill="F2F2F2" w:themeFill="background1" w:themeFillShade="F2"/>
          </w:tcPr>
          <w:p w14:paraId="1A51C6A9" w14:textId="77777777" w:rsidR="00F30695" w:rsidRPr="00F30695" w:rsidRDefault="00F30695" w:rsidP="00BF4FBA">
            <w:pPr>
              <w:rPr>
                <w:szCs w:val="20"/>
              </w:rPr>
            </w:pPr>
            <w:r w:rsidRPr="00F30695">
              <w:rPr>
                <w:szCs w:val="20"/>
              </w:rPr>
              <w:t>Public</w:t>
            </w:r>
          </w:p>
        </w:tc>
        <w:tc>
          <w:tcPr>
            <w:tcW w:w="4068" w:type="dxa"/>
            <w:shd w:val="clear" w:color="auto" w:fill="F2F2F2" w:themeFill="background1" w:themeFillShade="F2"/>
          </w:tcPr>
          <w:p w14:paraId="4E3F03A1" w14:textId="77777777" w:rsidR="00F30695" w:rsidRPr="00F30695" w:rsidRDefault="00F30695" w:rsidP="00BF4FBA">
            <w:pPr>
              <w:rPr>
                <w:szCs w:val="20"/>
              </w:rPr>
            </w:pPr>
          </w:p>
        </w:tc>
      </w:tr>
    </w:tbl>
    <w:p w14:paraId="299BEF6D" w14:textId="77777777" w:rsidR="00F30695" w:rsidRPr="00DB0ADF" w:rsidRDefault="00F30695" w:rsidP="00F30695">
      <w:pPr>
        <w:rPr>
          <w:lang w:eastAsia="en-AU"/>
        </w:rPr>
      </w:pPr>
      <w:bookmarkStart w:id="301" w:name="_Toc536192894"/>
      <w:bookmarkStart w:id="302" w:name="_Toc536622998"/>
      <w:bookmarkStart w:id="303" w:name="_Toc536623363"/>
      <w:bookmarkStart w:id="304" w:name="_Toc359262"/>
      <w:bookmarkStart w:id="305" w:name="_Toc360278"/>
      <w:bookmarkStart w:id="306" w:name="_Toc360380"/>
      <w:bookmarkStart w:id="307" w:name="_Toc1463305"/>
      <w:bookmarkStart w:id="308" w:name="_Toc1657044"/>
    </w:p>
    <w:p w14:paraId="5E3CF3E6" w14:textId="77777777" w:rsidR="00F30695" w:rsidRDefault="00F30695" w:rsidP="00F30695">
      <w:pPr>
        <w:pStyle w:val="Heading2"/>
        <w:ind w:left="567" w:hanging="567"/>
      </w:pPr>
      <w:bookmarkStart w:id="309" w:name="_Toc81401392"/>
      <w:bookmarkStart w:id="310" w:name="_Toc171520281"/>
      <w:r>
        <w:t>9.</w:t>
      </w:r>
      <w:r w:rsidRPr="0082000B">
        <w:t>4</w:t>
      </w:r>
      <w:r>
        <w:tab/>
      </w:r>
      <w:r w:rsidRPr="001B0A52">
        <w:t>Formatting</w:t>
      </w:r>
      <w:bookmarkEnd w:id="301"/>
      <w:bookmarkEnd w:id="302"/>
      <w:bookmarkEnd w:id="303"/>
      <w:bookmarkEnd w:id="304"/>
      <w:bookmarkEnd w:id="305"/>
      <w:bookmarkEnd w:id="306"/>
      <w:bookmarkEnd w:id="307"/>
      <w:bookmarkEnd w:id="308"/>
      <w:bookmarkEnd w:id="309"/>
      <w:bookmarkEnd w:id="310"/>
    </w:p>
    <w:p w14:paraId="6365AD72" w14:textId="77777777" w:rsidR="00F30695" w:rsidRPr="00F30695" w:rsidRDefault="00F30695" w:rsidP="00F30695">
      <w:pPr>
        <w:pStyle w:val="BodyText"/>
        <w:spacing w:before="137" w:after="120"/>
        <w:jc w:val="left"/>
        <w:rPr>
          <w:sz w:val="20"/>
        </w:rPr>
      </w:pPr>
      <w:r w:rsidRPr="00F30695">
        <w:rPr>
          <w:sz w:val="20"/>
        </w:rPr>
        <w:t>The following formatting requirements must be met when compiling this data:</w:t>
      </w:r>
    </w:p>
    <w:p w14:paraId="4EBBE806" w14:textId="77777777" w:rsidR="00F30695" w:rsidRPr="00F30695" w:rsidRDefault="00F30695" w:rsidP="00F30695">
      <w:pPr>
        <w:pStyle w:val="ListParagraph"/>
        <w:numPr>
          <w:ilvl w:val="0"/>
          <w:numId w:val="12"/>
        </w:numPr>
        <w:spacing w:before="180" w:line="264" w:lineRule="auto"/>
        <w:contextualSpacing/>
        <w:rPr>
          <w:szCs w:val="20"/>
        </w:rPr>
      </w:pPr>
      <w:r w:rsidRPr="00F30695">
        <w:rPr>
          <w:szCs w:val="20"/>
        </w:rPr>
        <w:t xml:space="preserve">minimise the use of capital </w:t>
      </w:r>
      <w:proofErr w:type="gramStart"/>
      <w:r w:rsidRPr="00F30695">
        <w:rPr>
          <w:szCs w:val="20"/>
        </w:rPr>
        <w:t>letters</w:t>
      </w:r>
      <w:proofErr w:type="gramEnd"/>
      <w:r w:rsidRPr="00F30695">
        <w:rPr>
          <w:szCs w:val="20"/>
        </w:rPr>
        <w:t xml:space="preserve"> </w:t>
      </w:r>
    </w:p>
    <w:p w14:paraId="19C10074" w14:textId="77777777" w:rsidR="00F30695" w:rsidRPr="00F30695" w:rsidRDefault="00F30695" w:rsidP="00F30695">
      <w:pPr>
        <w:pStyle w:val="ListParagraph"/>
        <w:numPr>
          <w:ilvl w:val="0"/>
          <w:numId w:val="12"/>
        </w:numPr>
        <w:spacing w:before="180" w:line="264" w:lineRule="auto"/>
        <w:contextualSpacing/>
        <w:rPr>
          <w:szCs w:val="20"/>
        </w:rPr>
      </w:pPr>
      <w:r w:rsidRPr="00F30695">
        <w:rPr>
          <w:szCs w:val="20"/>
        </w:rPr>
        <w:t>use the correct date number format in the cell, DD/MM/YYYY (ensure your locale/location is set to English (Australia))</w:t>
      </w:r>
    </w:p>
    <w:p w14:paraId="1C3B268D" w14:textId="77777777" w:rsidR="00F30695" w:rsidRPr="00F30695" w:rsidRDefault="00F30695" w:rsidP="00F30695">
      <w:pPr>
        <w:pStyle w:val="ListParagraph"/>
        <w:numPr>
          <w:ilvl w:val="0"/>
          <w:numId w:val="12"/>
        </w:numPr>
        <w:spacing w:before="180" w:line="264" w:lineRule="auto"/>
        <w:contextualSpacing/>
        <w:rPr>
          <w:szCs w:val="20"/>
        </w:rPr>
      </w:pPr>
      <w:r w:rsidRPr="00F30695">
        <w:rPr>
          <w:szCs w:val="20"/>
        </w:rPr>
        <w:t xml:space="preserve">do not use the % symbol in </w:t>
      </w:r>
      <w:proofErr w:type="gramStart"/>
      <w:r w:rsidRPr="00F30695">
        <w:rPr>
          <w:szCs w:val="20"/>
        </w:rPr>
        <w:t>cells</w:t>
      </w:r>
      <w:proofErr w:type="gramEnd"/>
    </w:p>
    <w:p w14:paraId="2442C2D8" w14:textId="77777777" w:rsidR="00F30695" w:rsidRPr="00F30695" w:rsidRDefault="00F30695" w:rsidP="00F30695">
      <w:pPr>
        <w:pStyle w:val="ListParagraph"/>
        <w:numPr>
          <w:ilvl w:val="0"/>
          <w:numId w:val="12"/>
        </w:numPr>
        <w:spacing w:before="180" w:line="264" w:lineRule="auto"/>
        <w:contextualSpacing/>
        <w:rPr>
          <w:szCs w:val="20"/>
        </w:rPr>
      </w:pPr>
      <w:r w:rsidRPr="00F30695">
        <w:rPr>
          <w:szCs w:val="20"/>
        </w:rPr>
        <w:t>do not use commas in numeric cells (e.g. 1000000 not 1,000,000 or 1 000 000.00)</w:t>
      </w:r>
    </w:p>
    <w:p w14:paraId="3039A738" w14:textId="77777777" w:rsidR="00F30695" w:rsidRPr="00F30695" w:rsidRDefault="00F30695" w:rsidP="00F30695">
      <w:pPr>
        <w:pStyle w:val="ListParagraph"/>
        <w:numPr>
          <w:ilvl w:val="0"/>
          <w:numId w:val="12"/>
        </w:numPr>
        <w:spacing w:before="180" w:line="264" w:lineRule="auto"/>
        <w:contextualSpacing/>
        <w:rPr>
          <w:szCs w:val="20"/>
        </w:rPr>
      </w:pPr>
      <w:r w:rsidRPr="00F30695">
        <w:rPr>
          <w:szCs w:val="20"/>
        </w:rPr>
        <w:t xml:space="preserve">use whole numbers only, not fractions or </w:t>
      </w:r>
      <w:proofErr w:type="gramStart"/>
      <w:r w:rsidRPr="00F30695">
        <w:rPr>
          <w:szCs w:val="20"/>
        </w:rPr>
        <w:t>decimals</w:t>
      </w:r>
      <w:proofErr w:type="gramEnd"/>
    </w:p>
    <w:p w14:paraId="2ED0E583" w14:textId="77777777" w:rsidR="00F30695" w:rsidRPr="00F30695" w:rsidRDefault="00F30695" w:rsidP="00F30695">
      <w:pPr>
        <w:pStyle w:val="ListParagraph"/>
        <w:numPr>
          <w:ilvl w:val="0"/>
          <w:numId w:val="12"/>
        </w:numPr>
        <w:spacing w:before="180" w:line="264" w:lineRule="auto"/>
        <w:contextualSpacing/>
        <w:rPr>
          <w:szCs w:val="20"/>
        </w:rPr>
      </w:pPr>
      <w:r w:rsidRPr="00F30695">
        <w:rPr>
          <w:szCs w:val="20"/>
        </w:rPr>
        <w:t xml:space="preserve">do not change the heading row in the </w:t>
      </w:r>
      <w:proofErr w:type="gramStart"/>
      <w:r w:rsidRPr="00F30695">
        <w:rPr>
          <w:szCs w:val="20"/>
        </w:rPr>
        <w:t>template</w:t>
      </w:r>
      <w:proofErr w:type="gramEnd"/>
    </w:p>
    <w:p w14:paraId="1F01A816" w14:textId="77777777" w:rsidR="00F30695" w:rsidRPr="00F30695" w:rsidRDefault="00F30695" w:rsidP="00F30695">
      <w:pPr>
        <w:pStyle w:val="ListParagraph"/>
        <w:numPr>
          <w:ilvl w:val="0"/>
          <w:numId w:val="12"/>
        </w:numPr>
        <w:spacing w:before="180" w:line="264" w:lineRule="auto"/>
        <w:contextualSpacing/>
        <w:rPr>
          <w:szCs w:val="20"/>
        </w:rPr>
      </w:pPr>
      <w:r w:rsidRPr="00F30695">
        <w:rPr>
          <w:szCs w:val="20"/>
        </w:rPr>
        <w:t>remove hidden white spaces from the rows of files:</w:t>
      </w:r>
    </w:p>
    <w:p w14:paraId="1D9A1123" w14:textId="77777777" w:rsidR="00F30695" w:rsidRPr="00F30695" w:rsidRDefault="00F30695" w:rsidP="00F30695">
      <w:pPr>
        <w:pStyle w:val="ListParagraph"/>
        <w:widowControl w:val="0"/>
        <w:numPr>
          <w:ilvl w:val="1"/>
          <w:numId w:val="26"/>
        </w:numPr>
        <w:tabs>
          <w:tab w:val="left" w:pos="1002"/>
          <w:tab w:val="left" w:pos="1003"/>
        </w:tabs>
        <w:autoSpaceDE w:val="0"/>
        <w:autoSpaceDN w:val="0"/>
        <w:spacing w:before="65" w:after="0" w:line="276" w:lineRule="auto"/>
        <w:ind w:hanging="424"/>
        <w:rPr>
          <w:szCs w:val="20"/>
        </w:rPr>
      </w:pPr>
      <w:r w:rsidRPr="00F30695">
        <w:rPr>
          <w:szCs w:val="20"/>
        </w:rPr>
        <w:t>select the first empty new row by clicking on the row</w:t>
      </w:r>
      <w:r w:rsidRPr="00F30695">
        <w:rPr>
          <w:spacing w:val="-20"/>
          <w:szCs w:val="20"/>
        </w:rPr>
        <w:t xml:space="preserve"> </w:t>
      </w:r>
      <w:proofErr w:type="gramStart"/>
      <w:r w:rsidRPr="00F30695">
        <w:rPr>
          <w:szCs w:val="20"/>
        </w:rPr>
        <w:t>number</w:t>
      </w:r>
      <w:proofErr w:type="gramEnd"/>
    </w:p>
    <w:p w14:paraId="3A902795" w14:textId="77777777" w:rsidR="00F30695" w:rsidRPr="00F30695" w:rsidRDefault="00F30695" w:rsidP="00F30695">
      <w:pPr>
        <w:pStyle w:val="ListParagraph"/>
        <w:widowControl w:val="0"/>
        <w:numPr>
          <w:ilvl w:val="1"/>
          <w:numId w:val="26"/>
        </w:numPr>
        <w:tabs>
          <w:tab w:val="left" w:pos="1002"/>
          <w:tab w:val="left" w:pos="1003"/>
        </w:tabs>
        <w:autoSpaceDE w:val="0"/>
        <w:autoSpaceDN w:val="0"/>
        <w:spacing w:before="65" w:after="0" w:line="276" w:lineRule="auto"/>
        <w:ind w:hanging="424"/>
        <w:rPr>
          <w:szCs w:val="20"/>
        </w:rPr>
      </w:pPr>
      <w:r w:rsidRPr="00F30695">
        <w:rPr>
          <w:szCs w:val="20"/>
        </w:rPr>
        <w:t xml:space="preserve">press </w:t>
      </w:r>
      <w:proofErr w:type="spellStart"/>
      <w:r w:rsidRPr="00F30695">
        <w:rPr>
          <w:szCs w:val="20"/>
        </w:rPr>
        <w:t>ctrl+shift+down</w:t>
      </w:r>
      <w:proofErr w:type="spellEnd"/>
      <w:r w:rsidRPr="00F30695">
        <w:rPr>
          <w:szCs w:val="20"/>
        </w:rPr>
        <w:t xml:space="preserve"> arrow - this will select everything after your last row with</w:t>
      </w:r>
      <w:r w:rsidRPr="00F30695">
        <w:rPr>
          <w:spacing w:val="-28"/>
          <w:szCs w:val="20"/>
        </w:rPr>
        <w:t xml:space="preserve"> </w:t>
      </w:r>
      <w:proofErr w:type="gramStart"/>
      <w:r w:rsidRPr="00F30695">
        <w:rPr>
          <w:szCs w:val="20"/>
        </w:rPr>
        <w:t>data</w:t>
      </w:r>
      <w:proofErr w:type="gramEnd"/>
    </w:p>
    <w:p w14:paraId="474B5DFD" w14:textId="77777777" w:rsidR="00F30695" w:rsidRPr="00F30695" w:rsidRDefault="00F30695" w:rsidP="00F30695">
      <w:pPr>
        <w:pStyle w:val="ListParagraph"/>
        <w:widowControl w:val="0"/>
        <w:numPr>
          <w:ilvl w:val="1"/>
          <w:numId w:val="26"/>
        </w:numPr>
        <w:tabs>
          <w:tab w:val="left" w:pos="1002"/>
          <w:tab w:val="left" w:pos="1003"/>
        </w:tabs>
        <w:autoSpaceDE w:val="0"/>
        <w:autoSpaceDN w:val="0"/>
        <w:spacing w:before="68" w:after="0" w:line="276" w:lineRule="auto"/>
        <w:ind w:hanging="424"/>
        <w:rPr>
          <w:szCs w:val="20"/>
        </w:rPr>
      </w:pPr>
      <w:r w:rsidRPr="00F30695">
        <w:rPr>
          <w:szCs w:val="20"/>
        </w:rPr>
        <w:t>press delete - this will clear any hidden</w:t>
      </w:r>
      <w:r w:rsidRPr="00F30695">
        <w:rPr>
          <w:spacing w:val="-15"/>
          <w:szCs w:val="20"/>
        </w:rPr>
        <w:t xml:space="preserve"> </w:t>
      </w:r>
      <w:proofErr w:type="gramStart"/>
      <w:r w:rsidRPr="00F30695">
        <w:rPr>
          <w:szCs w:val="20"/>
        </w:rPr>
        <w:t>whitespaces</w:t>
      </w:r>
      <w:proofErr w:type="gramEnd"/>
    </w:p>
    <w:p w14:paraId="31618B1A" w14:textId="77777777" w:rsidR="00F30695" w:rsidRPr="00F30695" w:rsidRDefault="00F30695" w:rsidP="00F30695">
      <w:pPr>
        <w:pStyle w:val="ListParagraph"/>
        <w:numPr>
          <w:ilvl w:val="0"/>
          <w:numId w:val="12"/>
        </w:numPr>
        <w:spacing w:before="180" w:line="264" w:lineRule="auto"/>
        <w:contextualSpacing/>
        <w:rPr>
          <w:szCs w:val="20"/>
        </w:rPr>
      </w:pPr>
      <w:r w:rsidRPr="00F30695">
        <w:rPr>
          <w:szCs w:val="20"/>
        </w:rPr>
        <w:t>remove hidden white spaces from the columns of files:</w:t>
      </w:r>
    </w:p>
    <w:p w14:paraId="06223645" w14:textId="77777777" w:rsidR="00F30695" w:rsidRPr="00F30695" w:rsidRDefault="00F30695" w:rsidP="00F30695">
      <w:pPr>
        <w:pStyle w:val="ListParagraph"/>
        <w:widowControl w:val="0"/>
        <w:numPr>
          <w:ilvl w:val="1"/>
          <w:numId w:val="26"/>
        </w:numPr>
        <w:tabs>
          <w:tab w:val="left" w:pos="1002"/>
          <w:tab w:val="left" w:pos="1003"/>
        </w:tabs>
        <w:autoSpaceDE w:val="0"/>
        <w:autoSpaceDN w:val="0"/>
        <w:spacing w:before="65" w:after="0" w:line="276" w:lineRule="auto"/>
        <w:ind w:hanging="424"/>
        <w:rPr>
          <w:szCs w:val="20"/>
        </w:rPr>
      </w:pPr>
      <w:r w:rsidRPr="00F30695">
        <w:rPr>
          <w:szCs w:val="20"/>
        </w:rPr>
        <w:t xml:space="preserve">select the first empty new column by clicking on the column </w:t>
      </w:r>
      <w:proofErr w:type="gramStart"/>
      <w:r w:rsidRPr="00F30695">
        <w:rPr>
          <w:szCs w:val="20"/>
        </w:rPr>
        <w:t>letter</w:t>
      </w:r>
      <w:proofErr w:type="gramEnd"/>
    </w:p>
    <w:p w14:paraId="6988B607" w14:textId="77777777" w:rsidR="00F30695" w:rsidRPr="00F30695" w:rsidRDefault="00F30695" w:rsidP="00F30695">
      <w:pPr>
        <w:pStyle w:val="ListParagraph"/>
        <w:widowControl w:val="0"/>
        <w:numPr>
          <w:ilvl w:val="1"/>
          <w:numId w:val="26"/>
        </w:numPr>
        <w:tabs>
          <w:tab w:val="left" w:pos="1002"/>
          <w:tab w:val="left" w:pos="1003"/>
        </w:tabs>
        <w:autoSpaceDE w:val="0"/>
        <w:autoSpaceDN w:val="0"/>
        <w:spacing w:before="65" w:after="0" w:line="276" w:lineRule="auto"/>
        <w:ind w:hanging="424"/>
        <w:rPr>
          <w:szCs w:val="20"/>
        </w:rPr>
      </w:pPr>
      <w:r w:rsidRPr="00F30695">
        <w:rPr>
          <w:szCs w:val="20"/>
        </w:rPr>
        <w:t xml:space="preserve">press </w:t>
      </w:r>
      <w:proofErr w:type="spellStart"/>
      <w:r w:rsidRPr="00F30695">
        <w:rPr>
          <w:szCs w:val="20"/>
        </w:rPr>
        <w:t>ctrl+shift+right</w:t>
      </w:r>
      <w:proofErr w:type="spellEnd"/>
      <w:r w:rsidRPr="00F30695">
        <w:rPr>
          <w:szCs w:val="20"/>
        </w:rPr>
        <w:t xml:space="preserve"> arrow - this will select everything after your last column with </w:t>
      </w:r>
      <w:proofErr w:type="gramStart"/>
      <w:r w:rsidRPr="00F30695">
        <w:rPr>
          <w:szCs w:val="20"/>
        </w:rPr>
        <w:t>data</w:t>
      </w:r>
      <w:proofErr w:type="gramEnd"/>
    </w:p>
    <w:p w14:paraId="3CBC16E4" w14:textId="77777777" w:rsidR="00F30695" w:rsidRPr="00F30695" w:rsidRDefault="00F30695" w:rsidP="00F30695">
      <w:pPr>
        <w:pStyle w:val="ListParagraph"/>
        <w:widowControl w:val="0"/>
        <w:numPr>
          <w:ilvl w:val="1"/>
          <w:numId w:val="26"/>
        </w:numPr>
        <w:tabs>
          <w:tab w:val="left" w:pos="1002"/>
          <w:tab w:val="left" w:pos="1003"/>
        </w:tabs>
        <w:autoSpaceDE w:val="0"/>
        <w:autoSpaceDN w:val="0"/>
        <w:spacing w:before="65" w:after="0" w:line="276" w:lineRule="auto"/>
        <w:ind w:hanging="424"/>
        <w:rPr>
          <w:szCs w:val="20"/>
        </w:rPr>
      </w:pPr>
      <w:r w:rsidRPr="00F30695">
        <w:rPr>
          <w:szCs w:val="20"/>
        </w:rPr>
        <w:t xml:space="preserve">press delete - this will clear any hidden </w:t>
      </w:r>
      <w:proofErr w:type="gramStart"/>
      <w:r w:rsidRPr="00F30695">
        <w:rPr>
          <w:szCs w:val="20"/>
        </w:rPr>
        <w:t>whitespaces</w:t>
      </w:r>
      <w:proofErr w:type="gramEnd"/>
    </w:p>
    <w:p w14:paraId="16C6F555" w14:textId="77777777" w:rsidR="00F30695" w:rsidRPr="00F30695" w:rsidRDefault="00F30695" w:rsidP="00F30695">
      <w:pPr>
        <w:spacing w:line="259" w:lineRule="auto"/>
        <w:rPr>
          <w:szCs w:val="20"/>
        </w:rPr>
      </w:pPr>
      <w:r w:rsidRPr="00F30695">
        <w:rPr>
          <w:szCs w:val="20"/>
        </w:rPr>
        <w:br w:type="page"/>
      </w:r>
    </w:p>
    <w:p w14:paraId="69BE82D0" w14:textId="6D8AC441" w:rsidR="00F30695" w:rsidRPr="00F30695" w:rsidRDefault="00F30695" w:rsidP="00F30695">
      <w:pPr>
        <w:pStyle w:val="ListParagraph"/>
        <w:widowControl w:val="0"/>
        <w:numPr>
          <w:ilvl w:val="0"/>
          <w:numId w:val="12"/>
        </w:numPr>
        <w:tabs>
          <w:tab w:val="left" w:pos="578"/>
          <w:tab w:val="left" w:pos="579"/>
        </w:tabs>
        <w:autoSpaceDE w:val="0"/>
        <w:autoSpaceDN w:val="0"/>
        <w:spacing w:before="68" w:after="0" w:line="276" w:lineRule="auto"/>
        <w:ind w:right="372"/>
        <w:rPr>
          <w:szCs w:val="20"/>
        </w:rPr>
      </w:pPr>
      <w:r w:rsidRPr="00F30695">
        <w:rPr>
          <w:szCs w:val="20"/>
        </w:rPr>
        <w:lastRenderedPageBreak/>
        <w:t xml:space="preserve">adhere to the </w:t>
      </w:r>
      <w:proofErr w:type="spellStart"/>
      <w:r w:rsidRPr="00F30695">
        <w:rPr>
          <w:szCs w:val="20"/>
        </w:rPr>
        <w:t>QGov</w:t>
      </w:r>
      <w:proofErr w:type="spellEnd"/>
      <w:r w:rsidRPr="00F30695">
        <w:rPr>
          <w:szCs w:val="20"/>
        </w:rPr>
        <w:t xml:space="preserve"> online resource formatting requirements available via the open data publishing standards site - </w:t>
      </w:r>
      <w:hyperlink r:id="rId39" w:history="1">
        <w:r w:rsidRPr="00F30695">
          <w:rPr>
            <w:rStyle w:val="Hyperlink"/>
            <w:szCs w:val="20"/>
          </w:rPr>
          <w:t xml:space="preserve">https://publications.qld.gov.au/dataset/publishing-standards-data- </w:t>
        </w:r>
        <w:proofErr w:type="spellStart"/>
        <w:r w:rsidRPr="00F30695">
          <w:rPr>
            <w:rStyle w:val="Hyperlink"/>
            <w:szCs w:val="20"/>
          </w:rPr>
          <w:t>qld</w:t>
        </w:r>
        <w:proofErr w:type="spellEnd"/>
        <w:r w:rsidRPr="00F30695">
          <w:rPr>
            <w:rStyle w:val="Hyperlink"/>
            <w:szCs w:val="20"/>
          </w:rPr>
          <w:t>-gov-au</w:t>
        </w:r>
      </w:hyperlink>
      <w:r>
        <w:rPr>
          <w:szCs w:val="20"/>
        </w:rPr>
        <w:t>.</w:t>
      </w:r>
    </w:p>
    <w:p w14:paraId="4CAD4399" w14:textId="77777777" w:rsidR="00F30695" w:rsidRDefault="00F30695" w:rsidP="00F30695">
      <w:pPr>
        <w:spacing w:after="0" w:line="240" w:lineRule="auto"/>
      </w:pPr>
    </w:p>
    <w:p w14:paraId="2E071CD9" w14:textId="77777777" w:rsidR="00F30695" w:rsidRPr="0082000B" w:rsidRDefault="00F30695" w:rsidP="00F30695">
      <w:pPr>
        <w:pStyle w:val="Heading2"/>
        <w:ind w:left="567" w:hanging="567"/>
      </w:pPr>
      <w:bookmarkStart w:id="311" w:name="_Toc1657045"/>
      <w:bookmarkStart w:id="312" w:name="_Toc81401393"/>
      <w:bookmarkStart w:id="313" w:name="_Toc171520282"/>
      <w:bookmarkStart w:id="314" w:name="_Toc536192895"/>
      <w:bookmarkStart w:id="315" w:name="_Toc536622999"/>
      <w:bookmarkStart w:id="316" w:name="_Toc536623364"/>
      <w:bookmarkStart w:id="317" w:name="_Toc359263"/>
      <w:bookmarkStart w:id="318" w:name="_Toc360279"/>
      <w:bookmarkStart w:id="319" w:name="_Toc360381"/>
      <w:r>
        <w:t>9.5</w:t>
      </w:r>
      <w:r>
        <w:tab/>
      </w:r>
      <w:r w:rsidRPr="0082000B">
        <w:t>Reference material and contacts</w:t>
      </w:r>
      <w:bookmarkEnd w:id="311"/>
      <w:bookmarkEnd w:id="312"/>
      <w:bookmarkEnd w:id="313"/>
    </w:p>
    <w:p w14:paraId="61EA899F" w14:textId="77777777" w:rsidR="00F30695" w:rsidRPr="00F30695" w:rsidRDefault="00F30695" w:rsidP="00F30695">
      <w:pPr>
        <w:pStyle w:val="ListParagraph"/>
        <w:numPr>
          <w:ilvl w:val="0"/>
          <w:numId w:val="12"/>
        </w:numPr>
        <w:spacing w:before="180" w:line="264" w:lineRule="auto"/>
        <w:contextualSpacing/>
        <w:rPr>
          <w:szCs w:val="20"/>
        </w:rPr>
      </w:pPr>
      <w:r w:rsidRPr="00F30695">
        <w:rPr>
          <w:szCs w:val="20"/>
        </w:rPr>
        <w:t>Contract disclosure data publishing template:</w:t>
      </w:r>
    </w:p>
    <w:p w14:paraId="7DAE7BF7" w14:textId="7C6964CC" w:rsidR="00F30695" w:rsidRDefault="00F30695" w:rsidP="00F30695">
      <w:pPr>
        <w:pStyle w:val="ListParagraph"/>
        <w:numPr>
          <w:ilvl w:val="1"/>
          <w:numId w:val="12"/>
        </w:numPr>
        <w:spacing w:before="180" w:line="264" w:lineRule="auto"/>
        <w:ind w:left="709" w:hanging="283"/>
        <w:contextualSpacing/>
        <w:rPr>
          <w:szCs w:val="20"/>
          <w:lang w:eastAsia="en-AU"/>
        </w:rPr>
      </w:pPr>
      <w:r w:rsidRPr="00F30695">
        <w:rPr>
          <w:szCs w:val="20"/>
          <w:lang w:eastAsia="en-AU"/>
        </w:rPr>
        <w:t xml:space="preserve">For data template please visit the following website: </w:t>
      </w:r>
      <w:hyperlink r:id="rId40" w:history="1">
        <w:r w:rsidR="004330D1" w:rsidRPr="00751D3B">
          <w:rPr>
            <w:rStyle w:val="Hyperlink"/>
            <w:szCs w:val="20"/>
            <w:lang w:eastAsia="en-AU"/>
          </w:rPr>
          <w:t>https://www.forgov.qld.gov.au/__data/assets/excel</w:t>
        </w:r>
        <w:r w:rsidR="004330D1" w:rsidRPr="00751D3B">
          <w:rPr>
            <w:rStyle w:val="Hyperlink"/>
            <w:szCs w:val="20"/>
            <w:lang w:eastAsia="en-AU"/>
          </w:rPr>
          <w:t>_</w:t>
        </w:r>
        <w:r w:rsidR="004330D1" w:rsidRPr="00751D3B">
          <w:rPr>
            <w:rStyle w:val="Hyperlink"/>
            <w:szCs w:val="20"/>
            <w:lang w:eastAsia="en-AU"/>
          </w:rPr>
          <w:t>doc/0033/513</w:t>
        </w:r>
        <w:r w:rsidR="004330D1" w:rsidRPr="00751D3B">
          <w:rPr>
            <w:rStyle w:val="Hyperlink"/>
            <w:szCs w:val="20"/>
            <w:lang w:eastAsia="en-AU"/>
          </w:rPr>
          <w:t>6</w:t>
        </w:r>
        <w:r w:rsidR="004330D1" w:rsidRPr="00751D3B">
          <w:rPr>
            <w:rStyle w:val="Hyperlink"/>
            <w:szCs w:val="20"/>
            <w:lang w:eastAsia="en-AU"/>
          </w:rPr>
          <w:t>99/contract-disclosure-template.xlsx</w:t>
        </w:r>
      </w:hyperlink>
    </w:p>
    <w:p w14:paraId="29D69F74" w14:textId="77777777" w:rsidR="00F30695" w:rsidRPr="00F30695" w:rsidRDefault="00F30695" w:rsidP="00F30695">
      <w:pPr>
        <w:pStyle w:val="ListParagraph"/>
        <w:spacing w:before="180" w:line="264" w:lineRule="auto"/>
        <w:ind w:left="709"/>
        <w:contextualSpacing/>
        <w:rPr>
          <w:szCs w:val="20"/>
          <w:lang w:eastAsia="en-AU"/>
        </w:rPr>
      </w:pPr>
    </w:p>
    <w:p w14:paraId="29AFEE33" w14:textId="77777777" w:rsidR="00F30695" w:rsidRPr="00F30695" w:rsidRDefault="00F30695" w:rsidP="00F30695">
      <w:pPr>
        <w:pStyle w:val="ListParagraph"/>
        <w:numPr>
          <w:ilvl w:val="0"/>
          <w:numId w:val="12"/>
        </w:numPr>
        <w:spacing w:before="180" w:line="264" w:lineRule="auto"/>
        <w:contextualSpacing/>
        <w:rPr>
          <w:szCs w:val="20"/>
        </w:rPr>
      </w:pPr>
      <w:r w:rsidRPr="00F30695">
        <w:rPr>
          <w:szCs w:val="20"/>
        </w:rPr>
        <w:t>Where can I find more information about the contract disclosure requirements and open data?</w:t>
      </w:r>
    </w:p>
    <w:p w14:paraId="5D51D1D3" w14:textId="77777777" w:rsidR="00F30695" w:rsidRPr="00F30695" w:rsidRDefault="00F30695" w:rsidP="00F30695">
      <w:pPr>
        <w:pStyle w:val="bullet2"/>
        <w:rPr>
          <w:sz w:val="20"/>
          <w:szCs w:val="20"/>
        </w:rPr>
      </w:pPr>
      <w:r w:rsidRPr="00F30695">
        <w:rPr>
          <w:sz w:val="20"/>
          <w:szCs w:val="20"/>
        </w:rPr>
        <w:t xml:space="preserve">For more information about the policy requirements, please visit the following website: </w:t>
      </w:r>
      <w:hyperlink r:id="rId41" w:history="1">
        <w:r w:rsidRPr="00F30695">
          <w:rPr>
            <w:rStyle w:val="Hyperlink"/>
            <w:rFonts w:eastAsiaTheme="majorEastAsia"/>
            <w:sz w:val="20"/>
            <w:szCs w:val="20"/>
          </w:rPr>
          <w:t>https://www.forgov.qld.gov.au/procurement-policy</w:t>
        </w:r>
      </w:hyperlink>
      <w:r w:rsidRPr="00F30695">
        <w:rPr>
          <w:sz w:val="20"/>
          <w:szCs w:val="20"/>
        </w:rPr>
        <w:t xml:space="preserve"> </w:t>
      </w:r>
    </w:p>
    <w:p w14:paraId="26EB6771" w14:textId="77777777" w:rsidR="00F30695" w:rsidRPr="00F30695" w:rsidRDefault="00F30695" w:rsidP="00F30695">
      <w:pPr>
        <w:pStyle w:val="bullet2"/>
        <w:rPr>
          <w:sz w:val="20"/>
          <w:szCs w:val="20"/>
        </w:rPr>
      </w:pPr>
      <w:r w:rsidRPr="00F30695">
        <w:rPr>
          <w:sz w:val="20"/>
          <w:szCs w:val="20"/>
        </w:rPr>
        <w:t xml:space="preserve">For more information about contract disclosure please visit the following website: </w:t>
      </w:r>
      <w:hyperlink r:id="rId42" w:history="1">
        <w:r w:rsidRPr="00F30695">
          <w:rPr>
            <w:rStyle w:val="Hyperlink"/>
            <w:rFonts w:eastAsiaTheme="majorEastAsia"/>
            <w:sz w:val="20"/>
            <w:szCs w:val="20"/>
          </w:rPr>
          <w:t>https://www.forgov.qld.gov.au/procurement-guides</w:t>
        </w:r>
      </w:hyperlink>
    </w:p>
    <w:p w14:paraId="2FEC2116" w14:textId="77777777" w:rsidR="00F30695" w:rsidRPr="00F30695" w:rsidRDefault="00F30695" w:rsidP="00F30695">
      <w:pPr>
        <w:pStyle w:val="bullet2"/>
        <w:spacing w:after="240"/>
        <w:ind w:left="714" w:hanging="357"/>
        <w:rPr>
          <w:sz w:val="20"/>
          <w:szCs w:val="20"/>
        </w:rPr>
      </w:pPr>
      <w:r w:rsidRPr="00F30695">
        <w:rPr>
          <w:sz w:val="20"/>
          <w:szCs w:val="20"/>
        </w:rPr>
        <w:t xml:space="preserve">For more information about open data please visit the following website: </w:t>
      </w:r>
      <w:hyperlink r:id="rId43" w:history="1">
        <w:r w:rsidRPr="00F30695">
          <w:rPr>
            <w:rStyle w:val="Hyperlink"/>
            <w:rFonts w:eastAsiaTheme="majorEastAsia"/>
            <w:sz w:val="20"/>
            <w:szCs w:val="20"/>
          </w:rPr>
          <w:t>https://www.data.qld.gov.au/article/standards-and-guidance/publishing-guides-standards/open-data-portal-publishing-guide</w:t>
        </w:r>
      </w:hyperlink>
    </w:p>
    <w:p w14:paraId="10BE03F7" w14:textId="77777777" w:rsidR="00F30695" w:rsidRPr="00F30695" w:rsidRDefault="00C261F7" w:rsidP="00F30695">
      <w:pPr>
        <w:pStyle w:val="bullet2"/>
        <w:numPr>
          <w:ilvl w:val="0"/>
          <w:numId w:val="0"/>
        </w:numPr>
        <w:spacing w:after="240"/>
        <w:ind w:left="714"/>
        <w:rPr>
          <w:sz w:val="20"/>
          <w:szCs w:val="20"/>
        </w:rPr>
      </w:pPr>
      <w:hyperlink r:id="rId44" w:history="1">
        <w:r w:rsidR="00F30695" w:rsidRPr="00F30695">
          <w:rPr>
            <w:rStyle w:val="Hyperlink"/>
            <w:sz w:val="20"/>
            <w:szCs w:val="20"/>
          </w:rPr>
          <w:t>https://www.data.qld.gov.au/article/standards-and-guidance/strategies</w:t>
        </w:r>
      </w:hyperlink>
    </w:p>
    <w:p w14:paraId="64AACC55" w14:textId="77777777" w:rsidR="00F30695" w:rsidRPr="00F30695" w:rsidRDefault="00F30695" w:rsidP="00F30695">
      <w:pPr>
        <w:pStyle w:val="ListParagraph"/>
        <w:numPr>
          <w:ilvl w:val="0"/>
          <w:numId w:val="12"/>
        </w:numPr>
        <w:spacing w:before="180" w:line="264" w:lineRule="auto"/>
        <w:contextualSpacing/>
        <w:rPr>
          <w:szCs w:val="20"/>
        </w:rPr>
      </w:pPr>
      <w:r w:rsidRPr="00F30695">
        <w:rPr>
          <w:szCs w:val="20"/>
        </w:rPr>
        <w:t>Where can I get help?</w:t>
      </w:r>
    </w:p>
    <w:p w14:paraId="076DBC2A" w14:textId="77777777" w:rsidR="00F30695" w:rsidRPr="00F30695" w:rsidRDefault="00F30695" w:rsidP="00F30695">
      <w:pPr>
        <w:pStyle w:val="bullet2"/>
        <w:rPr>
          <w:sz w:val="20"/>
          <w:szCs w:val="20"/>
        </w:rPr>
      </w:pPr>
      <w:r w:rsidRPr="00F30695">
        <w:rPr>
          <w:sz w:val="20"/>
          <w:szCs w:val="20"/>
        </w:rPr>
        <w:t xml:space="preserve">For policy requirements and contract disclosure related enquiries please email: </w:t>
      </w:r>
      <w:hyperlink r:id="rId45" w:history="1">
        <w:r w:rsidRPr="00F30695">
          <w:rPr>
            <w:rStyle w:val="Hyperlink"/>
            <w:rFonts w:eastAsiaTheme="majorEastAsia"/>
            <w:sz w:val="20"/>
            <w:szCs w:val="20"/>
          </w:rPr>
          <w:t>betterprocurement@hpw.qld.gov.au</w:t>
        </w:r>
      </w:hyperlink>
    </w:p>
    <w:p w14:paraId="17D83E39" w14:textId="77777777" w:rsidR="00F30695" w:rsidRPr="00F30695" w:rsidRDefault="00F30695" w:rsidP="00F30695">
      <w:pPr>
        <w:pStyle w:val="bullet2"/>
        <w:rPr>
          <w:sz w:val="20"/>
          <w:szCs w:val="20"/>
        </w:rPr>
      </w:pPr>
      <w:r w:rsidRPr="00F30695">
        <w:rPr>
          <w:sz w:val="20"/>
          <w:szCs w:val="20"/>
        </w:rPr>
        <w:t>For open data related questions please use the contact form:</w:t>
      </w:r>
      <w:r w:rsidRPr="00F30695">
        <w:rPr>
          <w:sz w:val="20"/>
          <w:szCs w:val="20"/>
        </w:rPr>
        <w:br/>
      </w:r>
      <w:hyperlink r:id="rId46" w:history="1">
        <w:r w:rsidRPr="00F30695">
          <w:rPr>
            <w:rStyle w:val="Hyperlink"/>
            <w:rFonts w:eastAsiaTheme="majorEastAsia"/>
            <w:sz w:val="20"/>
            <w:szCs w:val="20"/>
          </w:rPr>
          <w:t>https://data.qld.gov.au/article/contact</w:t>
        </w:r>
      </w:hyperlink>
      <w:r w:rsidRPr="00F30695">
        <w:rPr>
          <w:sz w:val="20"/>
          <w:szCs w:val="20"/>
        </w:rPr>
        <w:t>.</w:t>
      </w:r>
    </w:p>
    <w:p w14:paraId="5DD7D591" w14:textId="5B85F293" w:rsidR="00F30695" w:rsidRDefault="00F30695" w:rsidP="00F30695">
      <w:pPr>
        <w:pStyle w:val="Heading1"/>
      </w:pPr>
      <w:bookmarkStart w:id="320" w:name="_Appendix_B_Publishing"/>
      <w:bookmarkStart w:id="321" w:name="_Toc359264"/>
      <w:bookmarkStart w:id="322" w:name="_Toc360280"/>
      <w:bookmarkStart w:id="323" w:name="_Toc360382"/>
      <w:bookmarkStart w:id="324" w:name="_Toc1463307"/>
      <w:bookmarkStart w:id="325" w:name="_Toc81401394"/>
      <w:bookmarkStart w:id="326" w:name="_Toc1657047"/>
      <w:bookmarkStart w:id="327" w:name="_Toc171520283"/>
      <w:bookmarkEnd w:id="314"/>
      <w:bookmarkEnd w:id="315"/>
      <w:bookmarkEnd w:id="316"/>
      <w:bookmarkEnd w:id="317"/>
      <w:bookmarkEnd w:id="318"/>
      <w:bookmarkEnd w:id="319"/>
      <w:bookmarkEnd w:id="320"/>
      <w:r>
        <w:t xml:space="preserve">10 Publishing to the </w:t>
      </w:r>
      <w:bookmarkEnd w:id="321"/>
      <w:bookmarkEnd w:id="322"/>
      <w:bookmarkEnd w:id="323"/>
      <w:r>
        <w:t>open data portal</w:t>
      </w:r>
      <w:bookmarkEnd w:id="324"/>
      <w:bookmarkEnd w:id="325"/>
      <w:bookmarkEnd w:id="326"/>
      <w:bookmarkEnd w:id="327"/>
    </w:p>
    <w:p w14:paraId="3C28F2BE" w14:textId="77777777" w:rsidR="00F30695" w:rsidRDefault="00F30695" w:rsidP="00F30695">
      <w:r>
        <w:t>The following details and links provide instruction on how affected entities can publish contract disclosure reports to the open data portal on both the staging and production sites. Users must be authorised to publish to the open data portal.</w:t>
      </w:r>
    </w:p>
    <w:p w14:paraId="09F53F6A" w14:textId="77777777" w:rsidR="00F30695" w:rsidRPr="00140CA3" w:rsidRDefault="00F30695" w:rsidP="00F30695">
      <w:pPr>
        <w:rPr>
          <w:b/>
        </w:rPr>
      </w:pPr>
      <w:r>
        <w:t xml:space="preserve">Remember that all white space must be removed, certain symbols such as percent signs and commas in number columns are not permitted, and there is only </w:t>
      </w:r>
      <w:r>
        <w:rPr>
          <w:b/>
        </w:rPr>
        <w:t xml:space="preserve">one </w:t>
      </w:r>
      <w:r>
        <w:t xml:space="preserve">.csv file involved: </w:t>
      </w:r>
      <w:r w:rsidRPr="00140CA3">
        <w:rPr>
          <w:b/>
        </w:rPr>
        <w:t xml:space="preserve">Agency/stat body </w:t>
      </w:r>
      <w:proofErr w:type="spellStart"/>
      <w:r w:rsidRPr="00140CA3">
        <w:rPr>
          <w:b/>
        </w:rPr>
        <w:t>name_Contract</w:t>
      </w:r>
      <w:proofErr w:type="spellEnd"/>
      <w:r w:rsidRPr="00140CA3">
        <w:rPr>
          <w:b/>
        </w:rPr>
        <w:t xml:space="preserve"> disclosure report</w:t>
      </w:r>
      <w:r>
        <w:rPr>
          <w:b/>
        </w:rPr>
        <w:t>.</w:t>
      </w:r>
    </w:p>
    <w:p w14:paraId="208E7790" w14:textId="77777777" w:rsidR="00F30695" w:rsidRDefault="00F30695" w:rsidP="00F30695">
      <w:pPr>
        <w:rPr>
          <w:b/>
        </w:rPr>
      </w:pPr>
      <w:r>
        <w:t xml:space="preserve">Please note, that on open data, the dataset will still be called </w:t>
      </w:r>
      <w:r w:rsidRPr="00140CA3">
        <w:rPr>
          <w:b/>
        </w:rPr>
        <w:t xml:space="preserve">Agency/stat body </w:t>
      </w:r>
      <w:proofErr w:type="spellStart"/>
      <w:r w:rsidRPr="00140CA3">
        <w:rPr>
          <w:b/>
        </w:rPr>
        <w:t>name_Contract</w:t>
      </w:r>
      <w:proofErr w:type="spellEnd"/>
      <w:r w:rsidRPr="00140CA3">
        <w:rPr>
          <w:b/>
        </w:rPr>
        <w:t xml:space="preserve"> disclosure report</w:t>
      </w:r>
      <w:r>
        <w:rPr>
          <w:b/>
        </w:rPr>
        <w:t>.</w:t>
      </w:r>
    </w:p>
    <w:p w14:paraId="148D8FAE" w14:textId="77777777" w:rsidR="00F30695" w:rsidRDefault="00F30695" w:rsidP="00F30695">
      <w:r>
        <w:t>Following are the links to the open data portals and how to obtain your username and password.</w:t>
      </w:r>
    </w:p>
    <w:p w14:paraId="15CDBAD0" w14:textId="77777777" w:rsidR="00F30695" w:rsidRPr="00E3519B" w:rsidRDefault="00F30695" w:rsidP="00F30695">
      <w:pPr>
        <w:rPr>
          <w:b/>
        </w:rPr>
      </w:pPr>
      <w:r w:rsidRPr="00E3519B">
        <w:rPr>
          <w:b/>
        </w:rPr>
        <w:t>Data portal</w:t>
      </w:r>
      <w:r>
        <w:rPr>
          <w:b/>
        </w:rPr>
        <w:t>:</w:t>
      </w:r>
    </w:p>
    <w:p w14:paraId="108484AC" w14:textId="77777777" w:rsidR="00F30695" w:rsidRDefault="00F30695" w:rsidP="00F30695">
      <w:pPr>
        <w:ind w:left="284"/>
      </w:pPr>
      <w:r>
        <w:t xml:space="preserve">Training site: </w:t>
      </w:r>
      <w:hyperlink r:id="rId47" w:history="1">
        <w:r w:rsidRPr="001D7563">
          <w:rPr>
            <w:rStyle w:val="Hyperlink"/>
          </w:rPr>
          <w:t>https://staging.data.qld.gov.au/user/login</w:t>
        </w:r>
      </w:hyperlink>
    </w:p>
    <w:p w14:paraId="46E27C6C" w14:textId="77777777" w:rsidR="00F30695" w:rsidRDefault="00F30695" w:rsidP="00F30695">
      <w:pPr>
        <w:ind w:left="284"/>
      </w:pPr>
      <w:r>
        <w:t>Live site:</w:t>
      </w:r>
      <w:r w:rsidRPr="00F31CAB">
        <w:t xml:space="preserve"> </w:t>
      </w:r>
      <w:hyperlink r:id="rId48" w:history="1">
        <w:r w:rsidRPr="00294DE2">
          <w:rPr>
            <w:rStyle w:val="Hyperlink"/>
          </w:rPr>
          <w:t>http://data.qld.gov.au/user/login</w:t>
        </w:r>
      </w:hyperlink>
      <w:r w:rsidRPr="00294DE2">
        <w:rPr>
          <w:rStyle w:val="Hyperlink"/>
        </w:rPr>
        <w:t>.</w:t>
      </w:r>
      <w:r>
        <w:t xml:space="preserve"> </w:t>
      </w:r>
    </w:p>
    <w:p w14:paraId="79CC0F13" w14:textId="77777777" w:rsidR="00F30695" w:rsidRPr="00E3519B" w:rsidRDefault="00F30695" w:rsidP="00F30695">
      <w:pPr>
        <w:rPr>
          <w:b/>
        </w:rPr>
      </w:pPr>
      <w:r w:rsidRPr="00E3519B">
        <w:rPr>
          <w:b/>
        </w:rPr>
        <w:t>Publications portal</w:t>
      </w:r>
      <w:r>
        <w:rPr>
          <w:b/>
        </w:rPr>
        <w:t>:</w:t>
      </w:r>
    </w:p>
    <w:p w14:paraId="246B55EC" w14:textId="77777777" w:rsidR="00F30695" w:rsidRDefault="00F30695" w:rsidP="00F30695">
      <w:pPr>
        <w:ind w:left="284"/>
      </w:pPr>
      <w:r>
        <w:t xml:space="preserve">Training site: </w:t>
      </w:r>
      <w:hyperlink r:id="rId49" w:history="1">
        <w:r w:rsidRPr="00BB013E">
          <w:rPr>
            <w:rStyle w:val="Hyperlink"/>
          </w:rPr>
          <w:t>https://staging.publications.qld.gov.au/user/login</w:t>
        </w:r>
      </w:hyperlink>
      <w:r>
        <w:t xml:space="preserve"> </w:t>
      </w:r>
    </w:p>
    <w:p w14:paraId="44CC08B0" w14:textId="77777777" w:rsidR="00F30695" w:rsidRDefault="00F30695" w:rsidP="00F30695">
      <w:pPr>
        <w:ind w:left="284"/>
      </w:pPr>
      <w:r>
        <w:lastRenderedPageBreak/>
        <w:t>Live site:</w:t>
      </w:r>
      <w:r w:rsidRPr="00F31CAB">
        <w:t xml:space="preserve"> </w:t>
      </w:r>
      <w:hyperlink r:id="rId50" w:history="1">
        <w:r w:rsidRPr="00BB013E">
          <w:rPr>
            <w:rStyle w:val="Hyperlink"/>
          </w:rPr>
          <w:t>http://publications.qld.gov.au/user/login</w:t>
        </w:r>
      </w:hyperlink>
      <w:r>
        <w:t>.</w:t>
      </w:r>
      <w:r>
        <w:br/>
      </w:r>
    </w:p>
    <w:p w14:paraId="62762C7D" w14:textId="77777777" w:rsidR="00F30695" w:rsidRDefault="00F30695" w:rsidP="00F30695">
      <w:r>
        <w:t>If you do not have a username or password, contact the Online Products Team. (</w:t>
      </w:r>
      <w:hyperlink r:id="rId51" w:history="1">
        <w:r w:rsidRPr="00282334">
          <w:rPr>
            <w:rStyle w:val="Hyperlink"/>
          </w:rPr>
          <w:t>onlineproducts@smartservice.qld.gov.au</w:t>
        </w:r>
      </w:hyperlink>
      <w:r>
        <w:t>).</w:t>
      </w:r>
      <w:r>
        <w:br/>
      </w:r>
    </w:p>
    <w:p w14:paraId="6A95AE78" w14:textId="77777777" w:rsidR="00F30695" w:rsidRDefault="00F30695" w:rsidP="00F30695">
      <w:bookmarkStart w:id="328" w:name="_Hlk2685252"/>
      <w:r>
        <w:t xml:space="preserve">For detailed instructions on entering data into the open data portal, please refer to the </w:t>
      </w:r>
      <w:hyperlink r:id="rId52" w:history="1">
        <w:r w:rsidRPr="00630449">
          <w:rPr>
            <w:rStyle w:val="Hyperlink"/>
          </w:rPr>
          <w:t>process guide</w:t>
        </w:r>
      </w:hyperlink>
      <w:r>
        <w:t>.</w:t>
      </w:r>
    </w:p>
    <w:bookmarkEnd w:id="328"/>
    <w:p w14:paraId="0B53237D" w14:textId="77777777" w:rsidR="00F30695" w:rsidRDefault="00F30695" w:rsidP="00F30695">
      <w:r>
        <w:t xml:space="preserve">For further information on open data standards and formatting guides visit </w:t>
      </w:r>
      <w:hyperlink r:id="rId53" w:history="1">
        <w:r w:rsidRPr="00630449">
          <w:rPr>
            <w:rStyle w:val="Hyperlink"/>
          </w:rPr>
          <w:t>publishing standards</w:t>
        </w:r>
      </w:hyperlink>
      <w:r>
        <w:t>.</w:t>
      </w:r>
    </w:p>
    <w:sectPr w:rsidR="00F30695" w:rsidSect="00F306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1A8E5" w14:textId="77777777" w:rsidR="008D7173" w:rsidRDefault="008D7173" w:rsidP="00F752DB">
      <w:pPr>
        <w:spacing w:after="0" w:line="240" w:lineRule="auto"/>
      </w:pPr>
      <w:r>
        <w:separator/>
      </w:r>
    </w:p>
  </w:endnote>
  <w:endnote w:type="continuationSeparator" w:id="0">
    <w:p w14:paraId="14566B91" w14:textId="77777777" w:rsidR="008D7173" w:rsidRDefault="008D7173"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1FF" w14:textId="3474EF52" w:rsidR="007A7AD0" w:rsidRPr="00381F07" w:rsidRDefault="009D42B1" w:rsidP="00211A7F">
    <w:pPr>
      <w:pStyle w:val="Footer"/>
      <w:pBdr>
        <w:top w:val="single" w:sz="4" w:space="8" w:color="A70240"/>
      </w:pBdr>
      <w:spacing w:before="360"/>
      <w:contextualSpacing/>
      <w:rPr>
        <w:noProof/>
        <w:color w:val="404040" w:themeColor="text1" w:themeTint="BF"/>
      </w:rPr>
    </w:pPr>
    <w:r>
      <w:rPr>
        <w:noProof/>
        <w:color w:val="404040" w:themeColor="text1" w:themeTint="BF"/>
      </w:rPr>
      <w:t>Queensland Government Procurement</w:t>
    </w:r>
    <w:r w:rsidR="005A7EB2">
      <w:rPr>
        <w:noProof/>
        <w:color w:val="404040" w:themeColor="text1" w:themeTint="BF"/>
      </w:rPr>
      <w:tab/>
    </w:r>
    <w:r w:rsidR="005A7EB2">
      <w:rPr>
        <w:noProof/>
        <w:color w:val="404040" w:themeColor="text1" w:themeTint="BF"/>
      </w:rPr>
      <w:tab/>
    </w:r>
    <w:r w:rsidR="00134DE5">
      <w:rPr>
        <w:noProof/>
        <w:color w:val="404040" w:themeColor="text1" w:themeTint="BF"/>
      </w:rPr>
      <w:ptab w:relativeTo="margin" w:alignment="right" w:leader="none"/>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1B56" w14:textId="77777777" w:rsidR="000140F8" w:rsidRDefault="005256B3" w:rsidP="000140F8">
    <w:pPr>
      <w:pStyle w:val="Footer"/>
      <w:jc w:val="right"/>
    </w:pPr>
    <w:r>
      <w:rPr>
        <w:noProof/>
      </w:rPr>
      <w:drawing>
        <wp:anchor distT="0" distB="0" distL="114300" distR="114300" simplePos="0" relativeHeight="251659264" behindDoc="1" locked="0" layoutInCell="1" allowOverlap="1" wp14:anchorId="74408989" wp14:editId="6AE95583">
          <wp:simplePos x="0" y="0"/>
          <wp:positionH relativeFrom="column">
            <wp:posOffset>4610100</wp:posOffset>
          </wp:positionH>
          <wp:positionV relativeFrom="paragraph">
            <wp:posOffset>-238760</wp:posOffset>
          </wp:positionV>
          <wp:extent cx="1594485" cy="52070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9448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4826F77" wp14:editId="6AFAD8DB">
          <wp:simplePos x="0" y="0"/>
          <wp:positionH relativeFrom="page">
            <wp:align>right</wp:align>
          </wp:positionH>
          <wp:positionV relativeFrom="paragraph">
            <wp:posOffset>-3031490</wp:posOffset>
          </wp:positionV>
          <wp:extent cx="7530465" cy="358521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30465" cy="3585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3BA2" w14:textId="77777777" w:rsidR="008D7173" w:rsidRDefault="008D7173" w:rsidP="00F752DB">
      <w:pPr>
        <w:spacing w:after="0" w:line="240" w:lineRule="auto"/>
      </w:pPr>
      <w:r>
        <w:separator/>
      </w:r>
    </w:p>
  </w:footnote>
  <w:footnote w:type="continuationSeparator" w:id="0">
    <w:p w14:paraId="71FA26B4" w14:textId="77777777" w:rsidR="008D7173" w:rsidRDefault="008D7173" w:rsidP="00F752DB">
      <w:pPr>
        <w:spacing w:after="0" w:line="240" w:lineRule="auto"/>
      </w:pPr>
      <w:r>
        <w:continuationSeparator/>
      </w:r>
    </w:p>
  </w:footnote>
  <w:footnote w:id="1">
    <w:p w14:paraId="3B5A52F7" w14:textId="77777777" w:rsidR="009D42B1" w:rsidRDefault="009D42B1" w:rsidP="009D42B1">
      <w:pPr>
        <w:pStyle w:val="FootnoteText"/>
      </w:pPr>
      <w:r>
        <w:rPr>
          <w:rStyle w:val="FootnoteReference"/>
        </w:rPr>
        <w:footnoteRef/>
      </w:r>
      <w:r>
        <w:t xml:space="preserve"> All dollar values referred to in this guideline are inclusive of GST.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8F21" w14:textId="2A73273E" w:rsidR="00F752DB" w:rsidRPr="00AB0F2F" w:rsidRDefault="00C261F7" w:rsidP="00211A7F">
    <w:pPr>
      <w:pStyle w:val="Header"/>
      <w:pBdr>
        <w:bottom w:val="single" w:sz="4" w:space="8" w:color="A70240"/>
      </w:pBdr>
      <w:spacing w:after="360"/>
      <w:contextualSpacing/>
      <w:jc w:val="right"/>
      <w:rPr>
        <w:color w:val="404040" w:themeColor="text1" w:themeTint="BF"/>
        <w:sz w:val="16"/>
        <w:szCs w:val="16"/>
      </w:rPr>
    </w:pPr>
    <w:sdt>
      <w:sdtPr>
        <w:rPr>
          <w:color w:val="404040" w:themeColor="text1" w:themeTint="BF"/>
          <w:sz w:val="16"/>
          <w:szCs w:val="16"/>
        </w:rPr>
        <w:alias w:val="Title"/>
        <w:tag w:val=""/>
        <w:id w:val="1568223084"/>
        <w:dataBinding w:prefixMappings="xmlns:ns0='http://purl.org/dc/elements/1.1/' xmlns:ns1='http://schemas.openxmlformats.org/package/2006/metadata/core-properties' " w:xpath="/ns1:coreProperties[1]/ns0:title[1]" w:storeItemID="{6C3C8BC8-F283-45AE-878A-BAB7291924A1}"/>
        <w:text/>
      </w:sdtPr>
      <w:sdtEndPr/>
      <w:sdtContent>
        <w:r w:rsidR="009D42B1">
          <w:rPr>
            <w:color w:val="404040" w:themeColor="text1" w:themeTint="BF"/>
            <w:sz w:val="16"/>
            <w:szCs w:val="16"/>
          </w:rPr>
          <w:t>Open data portal manual for contract disclosure</w:t>
        </w:r>
      </w:sdtContent>
    </w:sdt>
  </w:p>
  <w:p w14:paraId="2F6F9FE2" w14:textId="77777777" w:rsidR="00F752DB" w:rsidRDefault="00F752DB">
    <w:pPr>
      <w:pStyle w:val="Header"/>
    </w:pPr>
  </w:p>
  <w:p w14:paraId="68557219"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5F10" w14:textId="77777777" w:rsidR="000140F8" w:rsidRDefault="0065472F">
    <w:pPr>
      <w:pStyle w:val="Header"/>
    </w:pPr>
    <w:r>
      <w:rPr>
        <w:noProof/>
      </w:rPr>
      <w:drawing>
        <wp:anchor distT="0" distB="0" distL="114300" distR="114300" simplePos="0" relativeHeight="251661312" behindDoc="1" locked="0" layoutInCell="1" allowOverlap="1" wp14:anchorId="1071BA12" wp14:editId="75FBF444">
          <wp:simplePos x="0" y="0"/>
          <wp:positionH relativeFrom="page">
            <wp:align>left</wp:align>
          </wp:positionH>
          <wp:positionV relativeFrom="paragraph">
            <wp:posOffset>-449580</wp:posOffset>
          </wp:positionV>
          <wp:extent cx="7572143" cy="3609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362" cy="361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3E44F1">
      <w:rPr>
        <w:noProof/>
      </w:rPr>
      <w:drawing>
        <wp:anchor distT="0" distB="0" distL="114300" distR="114300" simplePos="0" relativeHeight="251660288" behindDoc="0" locked="0" layoutInCell="1" allowOverlap="1" wp14:anchorId="5DD6C997" wp14:editId="14008D7C">
          <wp:simplePos x="0" y="0"/>
          <wp:positionH relativeFrom="column">
            <wp:posOffset>4257675</wp:posOffset>
          </wp:positionH>
          <wp:positionV relativeFrom="paragraph">
            <wp:posOffset>-116205</wp:posOffset>
          </wp:positionV>
          <wp:extent cx="1941368" cy="358731"/>
          <wp:effectExtent l="0" t="0" r="190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1368" cy="3587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0ABD" w14:textId="77777777" w:rsidR="00F30695" w:rsidRDefault="00F306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2F43" w14:textId="77777777" w:rsidR="00F30695" w:rsidRPr="00157715" w:rsidRDefault="00F30695" w:rsidP="00A04359">
    <w:pPr>
      <w:pBdr>
        <w:bottom w:val="single" w:sz="4" w:space="1" w:color="A70236"/>
      </w:pBdr>
      <w:spacing w:after="0" w:line="240" w:lineRule="auto"/>
      <w:ind w:right="58"/>
      <w:jc w:val="right"/>
      <w:rPr>
        <w:sz w:val="18"/>
        <w:szCs w:val="18"/>
      </w:rPr>
    </w:pPr>
    <w:r>
      <w:rPr>
        <w:sz w:val="18"/>
        <w:szCs w:val="18"/>
      </w:rPr>
      <w:t>Publishing user manual for contract disclosure on open data portal</w:t>
    </w:r>
  </w:p>
  <w:p w14:paraId="0A81F097" w14:textId="77777777" w:rsidR="00F30695" w:rsidRDefault="00F306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94C9" w14:textId="77777777" w:rsidR="00F30695" w:rsidRDefault="00F30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3753"/>
    <w:multiLevelType w:val="hybridMultilevel"/>
    <w:tmpl w:val="6DA8465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3E09E2"/>
    <w:multiLevelType w:val="hybridMultilevel"/>
    <w:tmpl w:val="A0A8C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414F50"/>
    <w:multiLevelType w:val="multilevel"/>
    <w:tmpl w:val="AA562F7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6E09A0"/>
    <w:multiLevelType w:val="hybridMultilevel"/>
    <w:tmpl w:val="C192827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6A3037"/>
    <w:multiLevelType w:val="hybridMultilevel"/>
    <w:tmpl w:val="7FD8E564"/>
    <w:lvl w:ilvl="0" w:tplc="272C426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56B5ECD"/>
    <w:multiLevelType w:val="hybridMultilevel"/>
    <w:tmpl w:val="2F10C63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4D2FD8"/>
    <w:multiLevelType w:val="hybridMultilevel"/>
    <w:tmpl w:val="D2DAB394"/>
    <w:lvl w:ilvl="0" w:tplc="2358387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435417"/>
    <w:multiLevelType w:val="hybridMultilevel"/>
    <w:tmpl w:val="1548D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81D4A"/>
    <w:multiLevelType w:val="hybridMultilevel"/>
    <w:tmpl w:val="7DAA4378"/>
    <w:lvl w:ilvl="0" w:tplc="4880D9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D245AD"/>
    <w:multiLevelType w:val="hybridMultilevel"/>
    <w:tmpl w:val="7FD8E564"/>
    <w:lvl w:ilvl="0" w:tplc="272C426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814A3C"/>
    <w:multiLevelType w:val="hybridMultilevel"/>
    <w:tmpl w:val="80860D06"/>
    <w:lvl w:ilvl="0" w:tplc="77009994">
      <w:start w:val="1"/>
      <w:numFmt w:val="bullet"/>
      <w:pStyle w:val="bullet1"/>
      <w:lvlText w:val=""/>
      <w:lvlJc w:val="left"/>
      <w:pPr>
        <w:ind w:left="360" w:hanging="360"/>
      </w:pPr>
      <w:rPr>
        <w:rFonts w:ascii="Symbol" w:hAnsi="Symbol" w:hint="default"/>
      </w:rPr>
    </w:lvl>
    <w:lvl w:ilvl="1" w:tplc="894C9D4A">
      <w:start w:val="1"/>
      <w:numFmt w:val="bullet"/>
      <w:lvlText w:val=""/>
      <w:lvlJc w:val="left"/>
      <w:pPr>
        <w:ind w:left="1080" w:hanging="360"/>
      </w:pPr>
      <w:rPr>
        <w:rFonts w:ascii="Symbol" w:hAnsi="Symbol" w:hint="default"/>
      </w:rPr>
    </w:lvl>
    <w:lvl w:ilvl="2" w:tplc="0C090003">
      <w:start w:val="1"/>
      <w:numFmt w:val="bullet"/>
      <w:lvlText w:val="o"/>
      <w:lvlJc w:val="left"/>
      <w:pPr>
        <w:ind w:left="1800" w:hanging="360"/>
      </w:pPr>
      <w:rPr>
        <w:rFonts w:ascii="Courier New" w:hAnsi="Courier New" w:cs="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8A76B3"/>
    <w:multiLevelType w:val="hybridMultilevel"/>
    <w:tmpl w:val="17E06178"/>
    <w:lvl w:ilvl="0" w:tplc="9500A7B8">
      <w:numFmt w:val="bullet"/>
      <w:lvlText w:val=""/>
      <w:lvlJc w:val="left"/>
      <w:pPr>
        <w:ind w:left="578" w:hanging="426"/>
      </w:pPr>
      <w:rPr>
        <w:rFonts w:ascii="Symbol" w:eastAsia="Symbol" w:hAnsi="Symbol" w:cs="Symbol" w:hint="default"/>
        <w:w w:val="99"/>
        <w:sz w:val="20"/>
        <w:szCs w:val="20"/>
      </w:rPr>
    </w:lvl>
    <w:lvl w:ilvl="1" w:tplc="B6A0B344">
      <w:numFmt w:val="bullet"/>
      <w:lvlText w:val="–"/>
      <w:lvlJc w:val="left"/>
      <w:pPr>
        <w:ind w:left="1002" w:hanging="425"/>
      </w:pPr>
      <w:rPr>
        <w:rFonts w:ascii="Arial" w:eastAsia="Arial" w:hAnsi="Arial" w:cs="Arial" w:hint="default"/>
        <w:color w:val="2D526B"/>
        <w:w w:val="100"/>
        <w:sz w:val="22"/>
        <w:szCs w:val="22"/>
      </w:rPr>
    </w:lvl>
    <w:lvl w:ilvl="2" w:tplc="D4F8D6DA">
      <w:numFmt w:val="bullet"/>
      <w:lvlText w:val="•"/>
      <w:lvlJc w:val="left"/>
      <w:pPr>
        <w:ind w:left="1994" w:hanging="425"/>
      </w:pPr>
      <w:rPr>
        <w:rFonts w:hint="default"/>
      </w:rPr>
    </w:lvl>
    <w:lvl w:ilvl="3" w:tplc="09F69278">
      <w:numFmt w:val="bullet"/>
      <w:lvlText w:val="•"/>
      <w:lvlJc w:val="left"/>
      <w:pPr>
        <w:ind w:left="2988" w:hanging="425"/>
      </w:pPr>
      <w:rPr>
        <w:rFonts w:hint="default"/>
      </w:rPr>
    </w:lvl>
    <w:lvl w:ilvl="4" w:tplc="9560F7D2">
      <w:numFmt w:val="bullet"/>
      <w:lvlText w:val="•"/>
      <w:lvlJc w:val="left"/>
      <w:pPr>
        <w:ind w:left="3982" w:hanging="425"/>
      </w:pPr>
      <w:rPr>
        <w:rFonts w:hint="default"/>
      </w:rPr>
    </w:lvl>
    <w:lvl w:ilvl="5" w:tplc="C1545574">
      <w:numFmt w:val="bullet"/>
      <w:lvlText w:val="•"/>
      <w:lvlJc w:val="left"/>
      <w:pPr>
        <w:ind w:left="4976" w:hanging="425"/>
      </w:pPr>
      <w:rPr>
        <w:rFonts w:hint="default"/>
      </w:rPr>
    </w:lvl>
    <w:lvl w:ilvl="6" w:tplc="B37296CC">
      <w:numFmt w:val="bullet"/>
      <w:lvlText w:val="•"/>
      <w:lvlJc w:val="left"/>
      <w:pPr>
        <w:ind w:left="5970" w:hanging="425"/>
      </w:pPr>
      <w:rPr>
        <w:rFonts w:hint="default"/>
      </w:rPr>
    </w:lvl>
    <w:lvl w:ilvl="7" w:tplc="BC186872">
      <w:numFmt w:val="bullet"/>
      <w:lvlText w:val="•"/>
      <w:lvlJc w:val="left"/>
      <w:pPr>
        <w:ind w:left="6964" w:hanging="425"/>
      </w:pPr>
      <w:rPr>
        <w:rFonts w:hint="default"/>
      </w:rPr>
    </w:lvl>
    <w:lvl w:ilvl="8" w:tplc="6F70A2C2">
      <w:numFmt w:val="bullet"/>
      <w:lvlText w:val="•"/>
      <w:lvlJc w:val="left"/>
      <w:pPr>
        <w:ind w:left="7958" w:hanging="425"/>
      </w:pPr>
      <w:rPr>
        <w:rFonts w:hint="default"/>
      </w:rPr>
    </w:lvl>
  </w:abstractNum>
  <w:abstractNum w:abstractNumId="17" w15:restartNumberingAfterBreak="0">
    <w:nsid w:val="40F964F8"/>
    <w:multiLevelType w:val="hybridMultilevel"/>
    <w:tmpl w:val="7FD8E564"/>
    <w:lvl w:ilvl="0" w:tplc="272C426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B5C5C05"/>
    <w:multiLevelType w:val="hybridMultilevel"/>
    <w:tmpl w:val="EA86B6C6"/>
    <w:lvl w:ilvl="0" w:tplc="0C090001">
      <w:start w:val="1"/>
      <w:numFmt w:val="bullet"/>
      <w:lvlText w:val=""/>
      <w:lvlJc w:val="left"/>
      <w:pPr>
        <w:ind w:left="360" w:hanging="360"/>
      </w:pPr>
      <w:rPr>
        <w:rFonts w:ascii="Symbol" w:hAnsi="Symbol" w:hint="default"/>
      </w:rPr>
    </w:lvl>
    <w:lvl w:ilvl="1" w:tplc="B6A0B344">
      <w:numFmt w:val="bullet"/>
      <w:lvlText w:val="–"/>
      <w:lvlJc w:val="left"/>
      <w:pPr>
        <w:ind w:left="1080" w:hanging="360"/>
      </w:pPr>
      <w:rPr>
        <w:rFonts w:ascii="Arial" w:eastAsia="Arial" w:hAnsi="Arial" w:cs="Arial" w:hint="default"/>
        <w:color w:val="2D526B"/>
        <w:w w:val="100"/>
        <w:sz w:val="22"/>
        <w:szCs w:val="22"/>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14A59B7"/>
    <w:multiLevelType w:val="hybridMultilevel"/>
    <w:tmpl w:val="D766FDCA"/>
    <w:lvl w:ilvl="0" w:tplc="95A2DA8C">
      <w:start w:val="8"/>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3A45455"/>
    <w:multiLevelType w:val="hybridMultilevel"/>
    <w:tmpl w:val="7FD8E564"/>
    <w:lvl w:ilvl="0" w:tplc="272C426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3AE5196"/>
    <w:multiLevelType w:val="multilevel"/>
    <w:tmpl w:val="AA562F78"/>
    <w:lvl w:ilvl="0">
      <w:start w:val="4"/>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D650943"/>
    <w:multiLevelType w:val="hybridMultilevel"/>
    <w:tmpl w:val="7F066F48"/>
    <w:lvl w:ilvl="0" w:tplc="77BA8D80">
      <w:start w:val="1"/>
      <w:numFmt w:val="bullet"/>
      <w:pStyle w:val="bullet2"/>
      <w:lvlText w:val="­"/>
      <w:lvlJc w:val="left"/>
      <w:pPr>
        <w:ind w:left="720" w:hanging="360"/>
      </w:pPr>
      <w:rPr>
        <w:rFonts w:ascii="Courier New" w:hAnsi="Courier New" w:hint="default"/>
        <w:color w:val="auto"/>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770854123">
    <w:abstractNumId w:val="9"/>
  </w:num>
  <w:num w:numId="2" w16cid:durableId="618491830">
    <w:abstractNumId w:val="14"/>
  </w:num>
  <w:num w:numId="3" w16cid:durableId="1941519922">
    <w:abstractNumId w:val="21"/>
  </w:num>
  <w:num w:numId="4" w16cid:durableId="405885481">
    <w:abstractNumId w:val="25"/>
  </w:num>
  <w:num w:numId="5" w16cid:durableId="70280811">
    <w:abstractNumId w:val="10"/>
  </w:num>
  <w:num w:numId="6" w16cid:durableId="813989627">
    <w:abstractNumId w:val="12"/>
  </w:num>
  <w:num w:numId="7" w16cid:durableId="1547185218">
    <w:abstractNumId w:val="15"/>
  </w:num>
  <w:num w:numId="8" w16cid:durableId="271400770">
    <w:abstractNumId w:val="19"/>
  </w:num>
  <w:num w:numId="9" w16cid:durableId="1942251266">
    <w:abstractNumId w:val="5"/>
  </w:num>
  <w:num w:numId="10" w16cid:durableId="2005543213">
    <w:abstractNumId w:val="7"/>
  </w:num>
  <w:num w:numId="11" w16cid:durableId="1601331790">
    <w:abstractNumId w:val="8"/>
  </w:num>
  <w:num w:numId="12" w16cid:durableId="39676607">
    <w:abstractNumId w:val="18"/>
  </w:num>
  <w:num w:numId="13" w16cid:durableId="470438273">
    <w:abstractNumId w:val="6"/>
  </w:num>
  <w:num w:numId="14" w16cid:durableId="1116602747">
    <w:abstractNumId w:val="13"/>
  </w:num>
  <w:num w:numId="15" w16cid:durableId="1738436918">
    <w:abstractNumId w:val="23"/>
  </w:num>
  <w:num w:numId="16" w16cid:durableId="113989055">
    <w:abstractNumId w:val="2"/>
  </w:num>
  <w:num w:numId="17" w16cid:durableId="300354554">
    <w:abstractNumId w:val="20"/>
  </w:num>
  <w:num w:numId="18" w16cid:durableId="1471315837">
    <w:abstractNumId w:val="0"/>
  </w:num>
  <w:num w:numId="19" w16cid:durableId="1143621336">
    <w:abstractNumId w:val="1"/>
  </w:num>
  <w:num w:numId="20" w16cid:durableId="170485257">
    <w:abstractNumId w:val="3"/>
  </w:num>
  <w:num w:numId="21" w16cid:durableId="1037925599">
    <w:abstractNumId w:val="11"/>
  </w:num>
  <w:num w:numId="22" w16cid:durableId="993141531">
    <w:abstractNumId w:val="22"/>
  </w:num>
  <w:num w:numId="23" w16cid:durableId="1846628923">
    <w:abstractNumId w:val="4"/>
  </w:num>
  <w:num w:numId="24" w16cid:durableId="1625187321">
    <w:abstractNumId w:val="17"/>
  </w:num>
  <w:num w:numId="25" w16cid:durableId="1261527558">
    <w:abstractNumId w:val="24"/>
  </w:num>
  <w:num w:numId="26" w16cid:durableId="13030729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73"/>
    <w:rsid w:val="0001115A"/>
    <w:rsid w:val="000140F8"/>
    <w:rsid w:val="00052385"/>
    <w:rsid w:val="00071234"/>
    <w:rsid w:val="00074E77"/>
    <w:rsid w:val="000F4BE1"/>
    <w:rsid w:val="00105D9D"/>
    <w:rsid w:val="00134DE5"/>
    <w:rsid w:val="00142FC9"/>
    <w:rsid w:val="0015308B"/>
    <w:rsid w:val="00172C66"/>
    <w:rsid w:val="001B5456"/>
    <w:rsid w:val="001E7E00"/>
    <w:rsid w:val="001F39D7"/>
    <w:rsid w:val="00211A7F"/>
    <w:rsid w:val="0022054F"/>
    <w:rsid w:val="0023125F"/>
    <w:rsid w:val="00253643"/>
    <w:rsid w:val="002A5361"/>
    <w:rsid w:val="002F23BE"/>
    <w:rsid w:val="00381F07"/>
    <w:rsid w:val="003A1CD0"/>
    <w:rsid w:val="003E44F1"/>
    <w:rsid w:val="00414D67"/>
    <w:rsid w:val="00422BA9"/>
    <w:rsid w:val="004242A3"/>
    <w:rsid w:val="004330D1"/>
    <w:rsid w:val="004454C9"/>
    <w:rsid w:val="004544E5"/>
    <w:rsid w:val="004A0CF6"/>
    <w:rsid w:val="004D376B"/>
    <w:rsid w:val="004F624B"/>
    <w:rsid w:val="00514250"/>
    <w:rsid w:val="005256B3"/>
    <w:rsid w:val="00595044"/>
    <w:rsid w:val="00595C5C"/>
    <w:rsid w:val="005A7EB2"/>
    <w:rsid w:val="00607972"/>
    <w:rsid w:val="0065472F"/>
    <w:rsid w:val="0066160F"/>
    <w:rsid w:val="00673C5E"/>
    <w:rsid w:val="006742E0"/>
    <w:rsid w:val="006A5661"/>
    <w:rsid w:val="00701011"/>
    <w:rsid w:val="00717C30"/>
    <w:rsid w:val="007A1262"/>
    <w:rsid w:val="007A7AD0"/>
    <w:rsid w:val="007B7968"/>
    <w:rsid w:val="007E06B5"/>
    <w:rsid w:val="00847102"/>
    <w:rsid w:val="008745A9"/>
    <w:rsid w:val="008800FE"/>
    <w:rsid w:val="008A640C"/>
    <w:rsid w:val="008D7173"/>
    <w:rsid w:val="008E5BF3"/>
    <w:rsid w:val="00987515"/>
    <w:rsid w:val="009908A1"/>
    <w:rsid w:val="009D42B1"/>
    <w:rsid w:val="009D458A"/>
    <w:rsid w:val="00A76450"/>
    <w:rsid w:val="00AB0F2F"/>
    <w:rsid w:val="00B018BF"/>
    <w:rsid w:val="00B33273"/>
    <w:rsid w:val="00B373CA"/>
    <w:rsid w:val="00BA09BC"/>
    <w:rsid w:val="00BD4A5E"/>
    <w:rsid w:val="00C261F7"/>
    <w:rsid w:val="00C515DB"/>
    <w:rsid w:val="00C54CF3"/>
    <w:rsid w:val="00C67B83"/>
    <w:rsid w:val="00CA138C"/>
    <w:rsid w:val="00D24204"/>
    <w:rsid w:val="00D35D6D"/>
    <w:rsid w:val="00D42A1E"/>
    <w:rsid w:val="00DB3C08"/>
    <w:rsid w:val="00DD5ABB"/>
    <w:rsid w:val="00DE1281"/>
    <w:rsid w:val="00DE1611"/>
    <w:rsid w:val="00E515B6"/>
    <w:rsid w:val="00F30695"/>
    <w:rsid w:val="00F752DB"/>
    <w:rsid w:val="00F81DE9"/>
    <w:rsid w:val="00F905BC"/>
    <w:rsid w:val="00F96F51"/>
    <w:rsid w:val="00FB6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F96F725"/>
  <w15:chartTrackingRefBased/>
  <w15:docId w15:val="{D2D19525-4A40-4D5B-9470-2A3F2739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uiPriority w:val="9"/>
    <w:qFormat/>
    <w:rsid w:val="004242A3"/>
    <w:pPr>
      <w:keepNext/>
      <w:keepLines/>
      <w:spacing w:before="360" w:after="120" w:line="240" w:lineRule="auto"/>
      <w:outlineLvl w:val="0"/>
    </w:pPr>
    <w:rPr>
      <w:rFonts w:eastAsiaTheme="majorEastAsia" w:cstheme="majorBidi"/>
      <w:b/>
      <w:color w:val="8B153D" w:themeColor="accent1"/>
      <w:sz w:val="32"/>
      <w:szCs w:val="32"/>
    </w:rPr>
  </w:style>
  <w:style w:type="paragraph" w:styleId="Heading2">
    <w:name w:val="heading 2"/>
    <w:basedOn w:val="Normal"/>
    <w:next w:val="Normal"/>
    <w:link w:val="Heading2Char"/>
    <w:uiPriority w:val="9"/>
    <w:unhideWhenUsed/>
    <w:qFormat/>
    <w:rsid w:val="004242A3"/>
    <w:pPr>
      <w:keepNext/>
      <w:keepLines/>
      <w:spacing w:before="120" w:after="120" w:line="240" w:lineRule="auto"/>
      <w:outlineLvl w:val="1"/>
    </w:pPr>
    <w:rPr>
      <w:rFonts w:eastAsiaTheme="majorEastAsia" w:cstheme="majorBidi"/>
      <w:color w:val="BD4830" w:themeColor="accent4"/>
      <w:sz w:val="32"/>
      <w:szCs w:val="26"/>
    </w:rPr>
  </w:style>
  <w:style w:type="paragraph" w:styleId="Heading3">
    <w:name w:val="heading 3"/>
    <w:basedOn w:val="Normal"/>
    <w:next w:val="Normal"/>
    <w:link w:val="Heading3Char"/>
    <w:uiPriority w:val="9"/>
    <w:unhideWhenUsed/>
    <w:qFormat/>
    <w:rsid w:val="004242A3"/>
    <w:pPr>
      <w:keepNext/>
      <w:keepLines/>
      <w:spacing w:before="120" w:after="120" w:line="240" w:lineRule="auto"/>
      <w:outlineLvl w:val="2"/>
    </w:pPr>
    <w:rPr>
      <w:rFonts w:eastAsiaTheme="majorEastAsia" w:cstheme="majorBidi"/>
      <w:b/>
      <w:color w:val="415569"/>
      <w:sz w:val="28"/>
      <w:szCs w:val="24"/>
    </w:rPr>
  </w:style>
  <w:style w:type="paragraph" w:styleId="Heading4">
    <w:name w:val="heading 4"/>
    <w:basedOn w:val="Normal"/>
    <w:next w:val="Normal"/>
    <w:link w:val="Heading4Char"/>
    <w:uiPriority w:val="9"/>
    <w:unhideWhenUsed/>
    <w:qFormat/>
    <w:rsid w:val="004242A3"/>
    <w:pPr>
      <w:keepNext/>
      <w:keepLines/>
      <w:spacing w:before="120" w:after="120" w:line="240" w:lineRule="auto"/>
      <w:outlineLvl w:val="3"/>
    </w:pPr>
    <w:rPr>
      <w:rFonts w:eastAsiaTheme="majorEastAsia" w:cstheme="majorBidi"/>
      <w:iCs/>
      <w:color w:val="8B153D" w:themeColor="accent1"/>
      <w:sz w:val="24"/>
    </w:rPr>
  </w:style>
  <w:style w:type="paragraph" w:styleId="Heading5">
    <w:name w:val="heading 5"/>
    <w:basedOn w:val="Normal"/>
    <w:next w:val="Normal"/>
    <w:link w:val="Heading5Char"/>
    <w:uiPriority w:val="9"/>
    <w:unhideWhenUsed/>
    <w:qFormat/>
    <w:rsid w:val="00717C30"/>
    <w:pPr>
      <w:keepNext/>
      <w:keepLines/>
      <w:spacing w:before="120" w:after="120" w:line="240" w:lineRule="auto"/>
      <w:outlineLvl w:val="4"/>
    </w:pPr>
    <w:rPr>
      <w:rFonts w:eastAsiaTheme="majorEastAsia" w:cstheme="majorBidi"/>
      <w:b/>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99"/>
    <w:qFormat/>
    <w:rsid w:val="000F4BE1"/>
    <w:pPr>
      <w:spacing w:after="60"/>
      <w:ind w:left="720"/>
    </w:pPr>
  </w:style>
  <w:style w:type="character" w:customStyle="1" w:styleId="Heading1Char">
    <w:name w:val="Heading 1 Char"/>
    <w:basedOn w:val="DefaultParagraphFont"/>
    <w:link w:val="Heading1"/>
    <w:uiPriority w:val="9"/>
    <w:rsid w:val="004242A3"/>
    <w:rPr>
      <w:rFonts w:ascii="Arial" w:eastAsiaTheme="majorEastAsia" w:hAnsi="Arial" w:cstheme="majorBidi"/>
      <w:b/>
      <w:color w:val="8B153D" w:themeColor="accent1"/>
      <w:sz w:val="32"/>
      <w:szCs w:val="32"/>
    </w:rPr>
  </w:style>
  <w:style w:type="character" w:customStyle="1" w:styleId="Heading2Char">
    <w:name w:val="Heading 2 Char"/>
    <w:basedOn w:val="DefaultParagraphFont"/>
    <w:link w:val="Heading2"/>
    <w:uiPriority w:val="9"/>
    <w:rsid w:val="004242A3"/>
    <w:rPr>
      <w:rFonts w:ascii="Arial" w:eastAsiaTheme="majorEastAsia" w:hAnsi="Arial" w:cstheme="majorBidi"/>
      <w:color w:val="BD4830" w:themeColor="accent4"/>
      <w:sz w:val="32"/>
      <w:szCs w:val="26"/>
    </w:rPr>
  </w:style>
  <w:style w:type="character" w:customStyle="1" w:styleId="Heading3Char">
    <w:name w:val="Heading 3 Char"/>
    <w:basedOn w:val="DefaultParagraphFont"/>
    <w:link w:val="Heading3"/>
    <w:uiPriority w:val="9"/>
    <w:rsid w:val="004242A3"/>
    <w:rPr>
      <w:rFonts w:ascii="Arial" w:eastAsiaTheme="majorEastAsia" w:hAnsi="Arial" w:cstheme="majorBidi"/>
      <w:b/>
      <w:color w:val="415569"/>
      <w:sz w:val="28"/>
      <w:szCs w:val="24"/>
    </w:rPr>
  </w:style>
  <w:style w:type="character" w:customStyle="1" w:styleId="Heading4Char">
    <w:name w:val="Heading 4 Char"/>
    <w:basedOn w:val="DefaultParagraphFont"/>
    <w:link w:val="Heading4"/>
    <w:uiPriority w:val="9"/>
    <w:rsid w:val="004242A3"/>
    <w:rPr>
      <w:rFonts w:ascii="Arial" w:eastAsiaTheme="majorEastAsia" w:hAnsi="Arial" w:cstheme="majorBidi"/>
      <w:iCs/>
      <w:color w:val="8B153D" w:themeColor="accent1"/>
      <w:sz w:val="24"/>
    </w:rPr>
  </w:style>
  <w:style w:type="character" w:customStyle="1" w:styleId="Heading5Char">
    <w:name w:val="Heading 5 Char"/>
    <w:basedOn w:val="DefaultParagraphFont"/>
    <w:link w:val="Heading5"/>
    <w:uiPriority w:val="9"/>
    <w:rsid w:val="00717C30"/>
    <w:rPr>
      <w:rFonts w:ascii="Arial" w:eastAsiaTheme="majorEastAsia" w:hAnsi="Arial" w:cstheme="majorBidi"/>
      <w:b/>
      <w:color w:val="44546A" w:themeColor="text2"/>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aliases w:val="QGCPO colours"/>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35D6D"/>
    <w:pPr>
      <w:spacing w:after="0" w:line="240" w:lineRule="auto"/>
      <w:contextualSpacing/>
    </w:pPr>
    <w:rPr>
      <w:rFonts w:eastAsiaTheme="majorEastAsia" w:cstheme="majorBidi"/>
      <w:b/>
      <w:color w:val="44546A" w:themeColor="text2"/>
      <w:spacing w:val="-10"/>
      <w:kern w:val="28"/>
      <w:sz w:val="72"/>
      <w:szCs w:val="56"/>
    </w:rPr>
  </w:style>
  <w:style w:type="character" w:customStyle="1" w:styleId="TitleChar">
    <w:name w:val="Title Char"/>
    <w:basedOn w:val="DefaultParagraphFont"/>
    <w:link w:val="Title"/>
    <w:uiPriority w:val="10"/>
    <w:rsid w:val="00D35D6D"/>
    <w:rPr>
      <w:rFonts w:ascii="Arial" w:eastAsiaTheme="majorEastAsia" w:hAnsi="Arial" w:cstheme="majorBidi"/>
      <w:b/>
      <w:color w:val="44546A" w:themeColor="text2"/>
      <w:spacing w:val="-10"/>
      <w:kern w:val="28"/>
      <w:sz w:val="72"/>
      <w:szCs w:val="56"/>
    </w:rPr>
  </w:style>
  <w:style w:type="paragraph" w:styleId="Subtitle">
    <w:name w:val="Subtitle"/>
    <w:basedOn w:val="Normal"/>
    <w:next w:val="Normal"/>
    <w:link w:val="SubtitleChar"/>
    <w:uiPriority w:val="11"/>
    <w:qFormat/>
    <w:rsid w:val="008A640C"/>
    <w:pPr>
      <w:numPr>
        <w:ilvl w:val="1"/>
      </w:numPr>
      <w:spacing w:after="0" w:line="380" w:lineRule="exact"/>
    </w:pPr>
    <w:rPr>
      <w:rFonts w:eastAsiaTheme="minorEastAsia"/>
      <w:color w:val="44546A" w:themeColor="text2"/>
      <w:spacing w:val="15"/>
      <w:sz w:val="36"/>
    </w:rPr>
  </w:style>
  <w:style w:type="character" w:customStyle="1" w:styleId="SubtitleChar">
    <w:name w:val="Subtitle Char"/>
    <w:basedOn w:val="DefaultParagraphFont"/>
    <w:link w:val="Subtitle"/>
    <w:uiPriority w:val="11"/>
    <w:rsid w:val="008A640C"/>
    <w:rPr>
      <w:rFonts w:ascii="Arial" w:eastAsiaTheme="minorEastAsia" w:hAnsi="Arial"/>
      <w:color w:val="44546A" w:themeColor="text2"/>
      <w:spacing w:val="15"/>
      <w:sz w:val="36"/>
    </w:rPr>
  </w:style>
  <w:style w:type="paragraph" w:styleId="IntenseQuote">
    <w:name w:val="Intense Quote"/>
    <w:basedOn w:val="Normal"/>
    <w:next w:val="Normal"/>
    <w:link w:val="IntenseQuoteChar"/>
    <w:uiPriority w:val="30"/>
    <w:qFormat/>
    <w:rsid w:val="004242A3"/>
    <w:pPr>
      <w:pBdr>
        <w:top w:val="single" w:sz="4" w:space="10" w:color="A70240"/>
        <w:bottom w:val="single" w:sz="4" w:space="10" w:color="A70240"/>
      </w:pBdr>
      <w:spacing w:before="120" w:after="120"/>
      <w:ind w:left="862" w:right="862"/>
      <w:jc w:val="center"/>
    </w:pPr>
    <w:rPr>
      <w:iCs/>
      <w:color w:val="44546A" w:themeColor="text2"/>
    </w:rPr>
  </w:style>
  <w:style w:type="character" w:customStyle="1" w:styleId="IntenseQuoteChar">
    <w:name w:val="Intense Quote Char"/>
    <w:basedOn w:val="DefaultParagraphFont"/>
    <w:link w:val="IntenseQuote"/>
    <w:uiPriority w:val="30"/>
    <w:rsid w:val="004242A3"/>
    <w:rPr>
      <w:rFonts w:ascii="Arial" w:hAnsi="Arial"/>
      <w:iCs/>
      <w:color w:val="44546A" w:themeColor="text2"/>
      <w:sz w:val="20"/>
    </w:rPr>
  </w:style>
  <w:style w:type="character" w:styleId="Hyperlink">
    <w:name w:val="Hyperlink"/>
    <w:basedOn w:val="DefaultParagraphFont"/>
    <w:uiPriority w:val="99"/>
    <w:unhideWhenUsed/>
    <w:rsid w:val="002A5361"/>
    <w:rPr>
      <w:color w:val="008D97" w:themeColor="hyperlink"/>
      <w:u w:val="single"/>
    </w:rPr>
  </w:style>
  <w:style w:type="character" w:styleId="UnresolvedMention">
    <w:name w:val="Unresolved Mention"/>
    <w:basedOn w:val="DefaultParagraphFont"/>
    <w:uiPriority w:val="99"/>
    <w:semiHidden/>
    <w:unhideWhenUsed/>
    <w:rsid w:val="002A5361"/>
    <w:rPr>
      <w:color w:val="605E5C"/>
      <w:shd w:val="clear" w:color="auto" w:fill="E1DFDD"/>
    </w:rPr>
  </w:style>
  <w:style w:type="paragraph" w:styleId="TOCHeading">
    <w:name w:val="TOC Heading"/>
    <w:basedOn w:val="Heading1"/>
    <w:next w:val="Normal"/>
    <w:uiPriority w:val="39"/>
    <w:unhideWhenUsed/>
    <w:qFormat/>
    <w:rsid w:val="009D42B1"/>
    <w:pPr>
      <w:spacing w:before="240" w:after="0" w:line="259" w:lineRule="auto"/>
      <w:outlineLvl w:val="9"/>
    </w:pPr>
    <w:rPr>
      <w:rFonts w:asciiTheme="majorHAnsi" w:hAnsiTheme="majorHAnsi"/>
      <w:b w:val="0"/>
      <w:color w:val="670F2D" w:themeColor="accent1" w:themeShade="BF"/>
      <w:lang w:val="en-US"/>
    </w:rPr>
  </w:style>
  <w:style w:type="paragraph" w:styleId="TOC1">
    <w:name w:val="toc 1"/>
    <w:basedOn w:val="Normal"/>
    <w:next w:val="Normal"/>
    <w:autoRedefine/>
    <w:uiPriority w:val="39"/>
    <w:unhideWhenUsed/>
    <w:rsid w:val="009D42B1"/>
    <w:pPr>
      <w:spacing w:after="100"/>
    </w:pPr>
  </w:style>
  <w:style w:type="paragraph" w:styleId="TOC2">
    <w:name w:val="toc 2"/>
    <w:basedOn w:val="Normal"/>
    <w:next w:val="Normal"/>
    <w:autoRedefine/>
    <w:uiPriority w:val="39"/>
    <w:unhideWhenUsed/>
    <w:rsid w:val="009D42B1"/>
    <w:pPr>
      <w:spacing w:after="100"/>
      <w:ind w:left="200"/>
    </w:pPr>
  </w:style>
  <w:style w:type="paragraph" w:styleId="TOC3">
    <w:name w:val="toc 3"/>
    <w:basedOn w:val="Normal"/>
    <w:next w:val="Normal"/>
    <w:autoRedefine/>
    <w:uiPriority w:val="39"/>
    <w:unhideWhenUsed/>
    <w:rsid w:val="009D42B1"/>
    <w:pPr>
      <w:spacing w:after="100"/>
      <w:ind w:left="400"/>
    </w:pPr>
  </w:style>
  <w:style w:type="paragraph" w:styleId="FootnoteText">
    <w:name w:val="footnote text"/>
    <w:basedOn w:val="Normal"/>
    <w:link w:val="FootnoteTextChar"/>
    <w:rsid w:val="009D42B1"/>
    <w:pPr>
      <w:spacing w:before="40" w:after="40" w:line="264" w:lineRule="auto"/>
    </w:pPr>
    <w:rPr>
      <w:rFonts w:eastAsia="Times New Roman" w:cs="Times New Roman"/>
      <w:sz w:val="18"/>
      <w:szCs w:val="20"/>
    </w:rPr>
  </w:style>
  <w:style w:type="character" w:customStyle="1" w:styleId="FootnoteTextChar">
    <w:name w:val="Footnote Text Char"/>
    <w:basedOn w:val="DefaultParagraphFont"/>
    <w:link w:val="FootnoteText"/>
    <w:rsid w:val="009D42B1"/>
    <w:rPr>
      <w:rFonts w:ascii="Arial" w:eastAsia="Times New Roman" w:hAnsi="Arial" w:cs="Times New Roman"/>
      <w:sz w:val="18"/>
      <w:szCs w:val="20"/>
    </w:rPr>
  </w:style>
  <w:style w:type="character" w:styleId="FootnoteReference">
    <w:name w:val="footnote reference"/>
    <w:semiHidden/>
    <w:rsid w:val="009D42B1"/>
    <w:rPr>
      <w:vertAlign w:val="superscript"/>
    </w:rPr>
  </w:style>
  <w:style w:type="paragraph" w:customStyle="1" w:styleId="bullet1">
    <w:name w:val="bullet1"/>
    <w:basedOn w:val="Normal"/>
    <w:link w:val="bullet1Char"/>
    <w:qFormat/>
    <w:rsid w:val="009D42B1"/>
    <w:pPr>
      <w:numPr>
        <w:numId w:val="14"/>
      </w:numPr>
      <w:spacing w:after="120" w:line="280" w:lineRule="atLeast"/>
    </w:pPr>
    <w:rPr>
      <w:rFonts w:eastAsia="Times New Roman" w:cs="Times New Roman"/>
      <w:sz w:val="22"/>
      <w:szCs w:val="24"/>
      <w:lang w:eastAsia="en-AU"/>
    </w:rPr>
  </w:style>
  <w:style w:type="character" w:customStyle="1" w:styleId="bullet1Char">
    <w:name w:val="bullet1 Char"/>
    <w:basedOn w:val="DefaultParagraphFont"/>
    <w:link w:val="bullet1"/>
    <w:rsid w:val="009D42B1"/>
    <w:rPr>
      <w:rFonts w:ascii="Arial" w:eastAsia="Times New Roman" w:hAnsi="Arial" w:cs="Times New Roman"/>
      <w:szCs w:val="24"/>
      <w:lang w:eastAsia="en-AU"/>
    </w:rPr>
  </w:style>
  <w:style w:type="paragraph" w:styleId="BodyText">
    <w:name w:val="Body Text"/>
    <w:basedOn w:val="Normal"/>
    <w:link w:val="BodyTextChar"/>
    <w:rsid w:val="00F30695"/>
    <w:pPr>
      <w:overflowPunct w:val="0"/>
      <w:autoSpaceDE w:val="0"/>
      <w:autoSpaceDN w:val="0"/>
      <w:adjustRightInd w:val="0"/>
      <w:spacing w:before="120" w:after="0" w:line="240" w:lineRule="auto"/>
      <w:jc w:val="both"/>
      <w:textAlignment w:val="baseline"/>
    </w:pPr>
    <w:rPr>
      <w:rFonts w:eastAsia="Times New Roman" w:cs="Times New Roman"/>
      <w:sz w:val="22"/>
      <w:szCs w:val="20"/>
      <w:lang w:eastAsia="en-AU"/>
    </w:rPr>
  </w:style>
  <w:style w:type="character" w:customStyle="1" w:styleId="BodyTextChar">
    <w:name w:val="Body Text Char"/>
    <w:basedOn w:val="DefaultParagraphFont"/>
    <w:link w:val="BodyText"/>
    <w:rsid w:val="00F30695"/>
    <w:rPr>
      <w:rFonts w:ascii="Arial" w:eastAsia="Times New Roman" w:hAnsi="Arial" w:cs="Times New Roman"/>
      <w:szCs w:val="20"/>
      <w:lang w:eastAsia="en-AU"/>
    </w:rPr>
  </w:style>
  <w:style w:type="paragraph" w:customStyle="1" w:styleId="bullet2">
    <w:name w:val="bullet 2"/>
    <w:basedOn w:val="Normal"/>
    <w:link w:val="bullet2Char"/>
    <w:qFormat/>
    <w:rsid w:val="00F30695"/>
    <w:pPr>
      <w:numPr>
        <w:numId w:val="25"/>
      </w:numPr>
      <w:spacing w:after="120" w:line="280" w:lineRule="atLeast"/>
    </w:pPr>
    <w:rPr>
      <w:rFonts w:eastAsia="Times New Roman" w:cs="Times New Roman"/>
      <w:sz w:val="22"/>
      <w:szCs w:val="24"/>
      <w:lang w:eastAsia="en-AU"/>
    </w:rPr>
  </w:style>
  <w:style w:type="character" w:customStyle="1" w:styleId="bullet2Char">
    <w:name w:val="bullet 2 Char"/>
    <w:basedOn w:val="DefaultParagraphFont"/>
    <w:link w:val="bullet2"/>
    <w:rsid w:val="00F30695"/>
    <w:rPr>
      <w:rFonts w:ascii="Arial" w:eastAsia="Times New Roman" w:hAnsi="Arial" w:cs="Times New Roman"/>
      <w:szCs w:val="24"/>
      <w:lang w:eastAsia="en-AU"/>
    </w:rPr>
  </w:style>
  <w:style w:type="paragraph" w:styleId="CommentText">
    <w:name w:val="annotation text"/>
    <w:basedOn w:val="Normal"/>
    <w:link w:val="CommentTextChar"/>
    <w:rsid w:val="00F30695"/>
    <w:pPr>
      <w:spacing w:before="180" w:after="60" w:line="240" w:lineRule="auto"/>
    </w:pPr>
    <w:rPr>
      <w:rFonts w:eastAsia="Times New Roman" w:cs="Times New Roman"/>
      <w:szCs w:val="20"/>
    </w:rPr>
  </w:style>
  <w:style w:type="character" w:customStyle="1" w:styleId="CommentTextChar">
    <w:name w:val="Comment Text Char"/>
    <w:basedOn w:val="DefaultParagraphFont"/>
    <w:link w:val="CommentText"/>
    <w:rsid w:val="00F30695"/>
    <w:rPr>
      <w:rFonts w:ascii="Arial" w:eastAsia="Times New Roman" w:hAnsi="Arial" w:cs="Times New Roman"/>
      <w:sz w:val="20"/>
      <w:szCs w:val="20"/>
    </w:rPr>
  </w:style>
  <w:style w:type="paragraph" w:styleId="Revision">
    <w:name w:val="Revision"/>
    <w:hidden/>
    <w:uiPriority w:val="99"/>
    <w:semiHidden/>
    <w:rsid w:val="008800FE"/>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8800FE"/>
    <w:rPr>
      <w:sz w:val="16"/>
      <w:szCs w:val="16"/>
    </w:rPr>
  </w:style>
  <w:style w:type="paragraph" w:styleId="CommentSubject">
    <w:name w:val="annotation subject"/>
    <w:basedOn w:val="CommentText"/>
    <w:next w:val="CommentText"/>
    <w:link w:val="CommentSubjectChar"/>
    <w:uiPriority w:val="99"/>
    <w:semiHidden/>
    <w:unhideWhenUsed/>
    <w:rsid w:val="008800FE"/>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8800FE"/>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74E77"/>
    <w:rPr>
      <w:color w:val="41556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etterprocurement@epw.qld.gov.au" TargetMode="External"/><Relationship Id="rId18" Type="http://schemas.openxmlformats.org/officeDocument/2006/relationships/hyperlink" Target="https://www.forgov.qld.gov.au/search-procurement-resources/contract-disclosure-guidelines" TargetMode="External"/><Relationship Id="rId26" Type="http://schemas.openxmlformats.org/officeDocument/2006/relationships/hyperlink" Target="https://www.forgov.qld.gov.au/request-publishing-access-data-and-publications-portals" TargetMode="External"/><Relationship Id="rId39" Type="http://schemas.openxmlformats.org/officeDocument/2006/relationships/hyperlink" Target="https://publications.qld.gov.au/dataset/publishing-standards-data-%20qld-gov-au" TargetMode="External"/><Relationship Id="rId21" Type="http://schemas.openxmlformats.org/officeDocument/2006/relationships/hyperlink" Target="https://www.forgov.qld.gov.au/procurement-policy" TargetMode="External"/><Relationship Id="rId34" Type="http://schemas.openxmlformats.org/officeDocument/2006/relationships/header" Target="header3.xml"/><Relationship Id="rId42" Type="http://schemas.openxmlformats.org/officeDocument/2006/relationships/hyperlink" Target="https://www.forgov.qld.gov.au/procurement-guides" TargetMode="External"/><Relationship Id="rId47" Type="http://schemas.openxmlformats.org/officeDocument/2006/relationships/hyperlink" Target="https://staging.data.qld.gov.au/user/login" TargetMode="External"/><Relationship Id="rId50" Type="http://schemas.openxmlformats.org/officeDocument/2006/relationships/hyperlink" Target="http://publications.qld.gov.au/user/login"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qld.gov.au/view/pdf/inforce/current/act-1971-055" TargetMode="External"/><Relationship Id="rId29" Type="http://schemas.openxmlformats.org/officeDocument/2006/relationships/header" Target="header2.xml"/><Relationship Id="rId11" Type="http://schemas.openxmlformats.org/officeDocument/2006/relationships/image" Target="media/image1.emf"/><Relationship Id="rId24" Type="http://schemas.openxmlformats.org/officeDocument/2006/relationships/hyperlink" Target="https://www.forgov.qld.gov.au/search-procurement-resources/contract-disclosure-guidelines" TargetMode="External"/><Relationship Id="rId32" Type="http://schemas.openxmlformats.org/officeDocument/2006/relationships/hyperlink" Target="https://www.forgov.qld.gov.au/buying-categories" TargetMode="External"/><Relationship Id="rId37" Type="http://schemas.openxmlformats.org/officeDocument/2006/relationships/image" Target="media/image6.png"/><Relationship Id="rId40" Type="http://schemas.openxmlformats.org/officeDocument/2006/relationships/hyperlink" Target="https://www.forgov.qld.gov.au/__data/assets/excel_doc/0033/513699/contract-disclosure-template.xlsx" TargetMode="External"/><Relationship Id="rId45" Type="http://schemas.openxmlformats.org/officeDocument/2006/relationships/hyperlink" Target="mailto:betterprocurement@hpw.qld.gov.au" TargetMode="External"/><Relationship Id="rId53" Type="http://schemas.openxmlformats.org/officeDocument/2006/relationships/hyperlink" Target="https://publications.qld.gov.au/dataset/publishing-standards-data-qld-gov-au"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tandard.open-contracting.org/latest/en/" TargetMode="External"/><Relationship Id="rId31" Type="http://schemas.openxmlformats.org/officeDocument/2006/relationships/hyperlink" Target="https://www.forgov.qld.gov.au/search-procurement-resources/contract-disclosure-guidelines" TargetMode="External"/><Relationship Id="rId44" Type="http://schemas.openxmlformats.org/officeDocument/2006/relationships/hyperlink" Target="https://www.data.qld.gov.au/article/standards-and-guidance/strategies" TargetMode="External"/><Relationship Id="rId52" Type="http://schemas.openxmlformats.org/officeDocument/2006/relationships/hyperlink" Target="https://www.data.qld.gov.au/article/standards-and-guidance/publishing-guides-standards/open-data-portal-publishing-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ce.gov.au/government/procurement/commonwealth-procurement-rules" TargetMode="External"/><Relationship Id="rId22" Type="http://schemas.openxmlformats.org/officeDocument/2006/relationships/hyperlink" Target="https://www.forgov.qld.gov.au/search-procurement-resources/contract-disclosure-guideline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4.xml"/><Relationship Id="rId43" Type="http://schemas.openxmlformats.org/officeDocument/2006/relationships/hyperlink" Target="https://www.data.qld.gov.au/article/standards-and-guidance/publishing-guides-standards/open-data-portal-publishing-guide" TargetMode="External"/><Relationship Id="rId48" Type="http://schemas.openxmlformats.org/officeDocument/2006/relationships/hyperlink" Target="http://data.qld.gov.au/user/login" TargetMode="External"/><Relationship Id="rId8" Type="http://schemas.openxmlformats.org/officeDocument/2006/relationships/webSettings" Target="webSettings.xml"/><Relationship Id="rId51" Type="http://schemas.openxmlformats.org/officeDocument/2006/relationships/hyperlink" Target="mailto:onlineproducts@smartservice.qld.gov.au" TargetMode="External"/><Relationship Id="rId3" Type="http://schemas.openxmlformats.org/officeDocument/2006/relationships/customXml" Target="../customXml/item3.xml"/><Relationship Id="rId12" Type="http://schemas.openxmlformats.org/officeDocument/2006/relationships/hyperlink" Target="http://creativecommons.org/licenses/by/4.0/deed.en" TargetMode="External"/><Relationship Id="rId17" Type="http://schemas.openxmlformats.org/officeDocument/2006/relationships/hyperlink" Target="https://www.dfat.gov.au/trade/agreements/not-yet-in-force/tpp/Pages/tpp-text-and-associated-documents" TargetMode="External"/><Relationship Id="rId25" Type="http://schemas.openxmlformats.org/officeDocument/2006/relationships/hyperlink" Target="https://data.qld.gov.au/" TargetMode="External"/><Relationship Id="rId33" Type="http://schemas.openxmlformats.org/officeDocument/2006/relationships/hyperlink" Target="https://www.dfat.gov.au/sites/default/files/15-government-procurement.pdf" TargetMode="External"/><Relationship Id="rId38" Type="http://schemas.openxmlformats.org/officeDocument/2006/relationships/image" Target="media/image7.png"/><Relationship Id="rId46" Type="http://schemas.openxmlformats.org/officeDocument/2006/relationships/hyperlink" Target="https://data.qld.gov.au/article/contact" TargetMode="External"/><Relationship Id="rId20" Type="http://schemas.openxmlformats.org/officeDocument/2006/relationships/hyperlink" Target="https://www.forgov.qld.gov.au/procurement-policy" TargetMode="External"/><Relationship Id="rId41" Type="http://schemas.openxmlformats.org/officeDocument/2006/relationships/hyperlink" Target="https://www.forgov.qld.gov.au/procurement-polic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au/Details/C2012C00761" TargetMode="External"/><Relationship Id="rId23" Type="http://schemas.openxmlformats.org/officeDocument/2006/relationships/hyperlink" Target="https://www.forgov.qld.gov.au/search-procurement-resources/use-and-disclosure-confidentiality-provisions-government-contracts" TargetMode="External"/><Relationship Id="rId28" Type="http://schemas.openxmlformats.org/officeDocument/2006/relationships/footer" Target="footer1.xml"/><Relationship Id="rId36" Type="http://schemas.openxmlformats.org/officeDocument/2006/relationships/header" Target="header5.xml"/><Relationship Id="rId49" Type="http://schemas.openxmlformats.org/officeDocument/2006/relationships/hyperlink" Target="https://staging.publications.qld.gov.au/user/logi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PW Colours 2023">
      <a:dk1>
        <a:sysClr val="windowText" lastClr="000000"/>
      </a:dk1>
      <a:lt1>
        <a:sysClr val="window" lastClr="FFFFFF"/>
      </a:lt1>
      <a:dk2>
        <a:srgbClr val="44546A"/>
      </a:dk2>
      <a:lt2>
        <a:srgbClr val="E7E6E6"/>
      </a:lt2>
      <a:accent1>
        <a:srgbClr val="8B153D"/>
      </a:accent1>
      <a:accent2>
        <a:srgbClr val="008D97"/>
      </a:accent2>
      <a:accent3>
        <a:srgbClr val="8DBAD8"/>
      </a:accent3>
      <a:accent4>
        <a:srgbClr val="BD4830"/>
      </a:accent4>
      <a:accent5>
        <a:srgbClr val="F3D148"/>
      </a:accent5>
      <a:accent6>
        <a:srgbClr val="6ECEC1"/>
      </a:accent6>
      <a:hlink>
        <a:srgbClr val="008D97"/>
      </a:hlink>
      <a:folHlink>
        <a:srgbClr val="4155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A59EE58A4E345A25B3A9178926C72" ma:contentTypeVersion="27" ma:contentTypeDescription="Create a new document." ma:contentTypeScope="" ma:versionID="58e0666be8d253bec5edf0602b9b814d">
  <xsd:schema xmlns:xsd="http://www.w3.org/2001/XMLSchema" xmlns:xs="http://www.w3.org/2001/XMLSchema" xmlns:p="http://schemas.microsoft.com/office/2006/metadata/properties" xmlns:ns2="6164c57a-bc80-43a9-9581-569824be6d95" xmlns:ns3="d8c1de0c-14be-4349-9595-c66631253391" xmlns:ns4="1f18235b-1f1d-494e-9473-a77a4a9d27c9" targetNamespace="http://schemas.microsoft.com/office/2006/metadata/properties" ma:root="true" ma:fieldsID="262d455037986ea2cdf88aa874a078d3" ns2:_="" ns3:_="" ns4:_="">
    <xsd:import namespace="6164c57a-bc80-43a9-9581-569824be6d95"/>
    <xsd:import namespace="d8c1de0c-14be-4349-9595-c66631253391"/>
    <xsd:import namespace="1f18235b-1f1d-494e-9473-a77a4a9d27c9"/>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element ref="ns2:Jo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c57a-bc80-43a9-9581-569824be6d95"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Jobnumber" ma:index="28" nillable="true" ma:displayName="Job number" ma:description="Job ticket ID number." ma:format="Dropdown" ma:internalName="Job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1a4827-8d8f-441a-b242-dae82501f7e5}"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18235b-1f1d-494e-9473-a77a4a9d27c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c1de0c-14be-4349-9595-c66631253391" xsi:nil="true"/>
    <lcf76f155ced4ddcb4097134ff3c332f xmlns="6164c57a-bc80-43a9-9581-569824be6d95">
      <Terms xmlns="http://schemas.microsoft.com/office/infopath/2007/PartnerControls"/>
    </lcf76f155ced4ddcb4097134ff3c332f>
    <Documenttype xmlns="6164c57a-bc80-43a9-9581-569824be6d95">Update documents</Documenttype>
    <Jobnumber xmlns="6164c57a-bc80-43a9-9581-569824be6d95" xsi:nil="true"/>
    <JobGUID xmlns="6164c57a-bc80-43a9-9581-569824be6d95">5b0bce2a-8c23-403a-b0c7-0dd58e9e8923</JobGU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387EA-1C32-44D4-8BE2-8ACE971487AB}"/>
</file>

<file path=customXml/itemProps2.xml><?xml version="1.0" encoding="utf-8"?>
<ds:datastoreItem xmlns:ds="http://schemas.openxmlformats.org/officeDocument/2006/customXml" ds:itemID="{F1BF326D-EF98-4A6B-9E0B-1DFF41BCFD6D}">
  <ds:schemaRefs>
    <ds:schemaRef ds:uri="http://schemas.openxmlformats.org/officeDocument/2006/bibliography"/>
  </ds:schemaRefs>
</ds:datastoreItem>
</file>

<file path=customXml/itemProps3.xml><?xml version="1.0" encoding="utf-8"?>
<ds:datastoreItem xmlns:ds="http://schemas.openxmlformats.org/officeDocument/2006/customXml" ds:itemID="{E420F789-F66E-44AF-A1C4-5E81C356DFB5}">
  <ds:schemaRefs>
    <ds:schemaRef ds:uri="http://schemas.microsoft.com/office/2006/metadata/properties"/>
    <ds:schemaRef ds:uri="http://schemas.microsoft.com/office/infopath/2007/PartnerControls"/>
    <ds:schemaRef ds:uri="354f425c-c9c8-41ca-b507-68e2db21ce82"/>
    <ds:schemaRef ds:uri="cc9ade0d-5b89-462f-bac0-50353ef81f22"/>
  </ds:schemaRefs>
</ds:datastoreItem>
</file>

<file path=customXml/itemProps4.xml><?xml version="1.0" encoding="utf-8"?>
<ds:datastoreItem xmlns:ds="http://schemas.openxmlformats.org/officeDocument/2006/customXml" ds:itemID="{E96F4EE8-8F09-40CB-B9FE-12DCF2BCC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4559</Words>
  <Characters>25989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Open data portal manual for contract disclosure</vt:lpstr>
    </vt:vector>
  </TitlesOfParts>
  <Company>Department of Energy and Public Works</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data portal manual for contract disclosure</dc:title>
  <dc:subject/>
  <dc:creator>Matthew Lauder</dc:creator>
  <dc:description>3137</dc:description>
  <cp:lastModifiedBy>Susan Greaves</cp:lastModifiedBy>
  <cp:revision>7</cp:revision>
  <cp:lastPrinted>2018-11-01T02:25:00Z</cp:lastPrinted>
  <dcterms:created xsi:type="dcterms:W3CDTF">2024-08-06T01:55:00Z</dcterms:created>
  <dcterms:modified xsi:type="dcterms:W3CDTF">2024-08-08T01:19:00Z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0x010100253A59EE58A4E345A25B3A9178926C72</vt:lpwstr>
  </property>
  <property fmtid="{D5CDD505-2E9C-101B-9397-08002B2CF9AE}" pid="3" name="TaxKeyword">
    <vt:lpwstr>27;#Template|4cae74c2-1c99-4c44-96e5-6902aebf4c10;#26;#document|0560fe81-d13d-4d41-b61f-4823a1e8cbd2;#23;#a4|28079928-679d-48a2-8883-835d1d514c3f;#535;#half cover|0fbcec69-eeb4-477e-ba58-5d07794bb3d9;#534;#maroon|bcc5145b-21b5-40ff-80a4-66b42d69380c</vt:lpwstr>
  </property>
  <property fmtid="{D5CDD505-2E9C-101B-9397-08002B2CF9AE}" pid="4" name="MediaServiceImageTags">
    <vt:lpwstr/>
  </property>
</Properties>
</file>